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DAD" w:rsidRPr="00135DAD" w:rsidRDefault="00135DAD" w:rsidP="00135DAD">
      <w:pPr>
        <w:tabs>
          <w:tab w:val="center" w:pos="4536"/>
          <w:tab w:val="right" w:pos="8280"/>
          <w:tab w:val="right" w:pos="9639"/>
        </w:tabs>
        <w:ind w:right="2"/>
        <w:rPr>
          <w:rFonts w:ascii="Arial" w:hAnsi="Arial" w:cs="Arial"/>
          <w:b/>
          <w:bCs/>
          <w:sz w:val="24"/>
          <w:szCs w:val="24"/>
        </w:rPr>
      </w:pPr>
      <w:bookmarkStart w:id="0" w:name="_Ref399006623"/>
      <w:bookmarkStart w:id="1" w:name="_Toc92513360"/>
      <w:r w:rsidRPr="00135DAD">
        <w:rPr>
          <w:rFonts w:ascii="Arial" w:hAnsi="Arial" w:cs="Arial"/>
          <w:b/>
          <w:bCs/>
          <w:sz w:val="24"/>
          <w:szCs w:val="24"/>
        </w:rPr>
        <w:t>3GPP TSG RAN WG1 Meeting #93</w:t>
      </w:r>
      <w:r w:rsidRPr="00135DAD">
        <w:rPr>
          <w:rFonts w:ascii="Arial" w:hAnsi="Arial" w:cs="Arial"/>
          <w:b/>
          <w:bCs/>
          <w:sz w:val="24"/>
          <w:szCs w:val="24"/>
        </w:rPr>
        <w:tab/>
      </w:r>
      <w:r w:rsidRPr="00135DAD">
        <w:rPr>
          <w:rFonts w:ascii="Arial" w:hAnsi="Arial" w:cs="Arial"/>
          <w:b/>
          <w:bCs/>
          <w:sz w:val="24"/>
          <w:szCs w:val="24"/>
        </w:rPr>
        <w:tab/>
      </w:r>
      <w:r w:rsidR="00725705">
        <w:rPr>
          <w:rFonts w:ascii="Arial" w:hAnsi="Arial" w:cs="Arial"/>
          <w:b/>
          <w:bCs/>
          <w:sz w:val="24"/>
          <w:szCs w:val="24"/>
        </w:rPr>
        <w:tab/>
      </w:r>
      <w:r w:rsidRPr="00135DAD">
        <w:rPr>
          <w:rFonts w:ascii="Arial" w:hAnsi="Arial" w:cs="Arial"/>
          <w:b/>
          <w:bCs/>
          <w:sz w:val="24"/>
          <w:szCs w:val="24"/>
        </w:rPr>
        <w:t>R1-18</w:t>
      </w:r>
      <w:r w:rsidR="00725705">
        <w:rPr>
          <w:rFonts w:ascii="Arial" w:eastAsia="MS Mincho" w:hAnsi="Arial" w:cs="Arial"/>
          <w:b/>
          <w:bCs/>
          <w:sz w:val="24"/>
          <w:szCs w:val="24"/>
          <w:lang w:eastAsia="ja-JP"/>
        </w:rPr>
        <w:t>06321</w:t>
      </w:r>
    </w:p>
    <w:p w:rsidR="00135DAD" w:rsidRPr="00135DAD" w:rsidRDefault="00135DAD" w:rsidP="00135DAD">
      <w:pPr>
        <w:tabs>
          <w:tab w:val="center" w:pos="4536"/>
          <w:tab w:val="right" w:pos="9072"/>
        </w:tabs>
        <w:rPr>
          <w:rFonts w:ascii="Arial" w:eastAsia="MS Mincho" w:hAnsi="Arial" w:cs="Arial"/>
          <w:b/>
          <w:bCs/>
          <w:sz w:val="24"/>
          <w:szCs w:val="24"/>
          <w:lang w:eastAsia="ja-JP"/>
        </w:rPr>
      </w:pPr>
      <w:proofErr w:type="spellStart"/>
      <w:r w:rsidRPr="00135DAD">
        <w:rPr>
          <w:rFonts w:ascii="Arial" w:eastAsia="MS Mincho" w:hAnsi="Arial" w:cs="Arial"/>
          <w:b/>
          <w:bCs/>
          <w:sz w:val="24"/>
          <w:szCs w:val="24"/>
          <w:lang w:eastAsia="ja-JP"/>
        </w:rPr>
        <w:t>Busan</w:t>
      </w:r>
      <w:proofErr w:type="spellEnd"/>
      <w:r w:rsidRPr="00135DAD">
        <w:rPr>
          <w:rFonts w:ascii="Arial" w:eastAsia="MS Mincho" w:hAnsi="Arial" w:cs="Arial"/>
          <w:b/>
          <w:bCs/>
          <w:sz w:val="24"/>
          <w:szCs w:val="24"/>
          <w:lang w:eastAsia="ja-JP"/>
        </w:rPr>
        <w:t>, Korea, May 21</w:t>
      </w:r>
      <w:r w:rsidRPr="00135DAD">
        <w:rPr>
          <w:rFonts w:ascii="Arial" w:eastAsia="MS Mincho" w:hAnsi="Arial" w:cs="Arial"/>
          <w:b/>
          <w:bCs/>
          <w:sz w:val="24"/>
          <w:szCs w:val="24"/>
          <w:vertAlign w:val="superscript"/>
          <w:lang w:eastAsia="ja-JP"/>
        </w:rPr>
        <w:t>st</w:t>
      </w:r>
      <w:r w:rsidRPr="00135DAD">
        <w:rPr>
          <w:rFonts w:ascii="Arial" w:eastAsia="MS Mincho" w:hAnsi="Arial" w:cs="Arial"/>
          <w:b/>
          <w:bCs/>
          <w:sz w:val="24"/>
          <w:szCs w:val="24"/>
          <w:lang w:eastAsia="ja-JP"/>
        </w:rPr>
        <w:t xml:space="preserve"> – 25</w:t>
      </w:r>
      <w:r w:rsidRPr="00135DAD">
        <w:rPr>
          <w:rFonts w:ascii="Arial" w:eastAsia="MS Mincho" w:hAnsi="Arial" w:cs="Arial"/>
          <w:b/>
          <w:bCs/>
          <w:sz w:val="24"/>
          <w:szCs w:val="24"/>
          <w:vertAlign w:val="superscript"/>
          <w:lang w:eastAsia="ja-JP"/>
        </w:rPr>
        <w:t>th</w:t>
      </w:r>
      <w:r w:rsidRPr="00135DAD">
        <w:rPr>
          <w:rFonts w:ascii="Arial" w:eastAsia="MS Mincho" w:hAnsi="Arial" w:cs="Arial"/>
          <w:b/>
          <w:bCs/>
          <w:sz w:val="24"/>
          <w:szCs w:val="24"/>
          <w:lang w:eastAsia="ja-JP"/>
        </w:rPr>
        <w:t xml:space="preserve">, 2018 </w:t>
      </w:r>
    </w:p>
    <w:p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5451E6">
        <w:rPr>
          <w:rFonts w:ascii="Arial" w:hAnsi="Arial" w:cs="Arial"/>
          <w:sz w:val="24"/>
          <w:szCs w:val="24"/>
        </w:rPr>
        <w:t>7.1</w:t>
      </w:r>
    </w:p>
    <w:p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135DAD">
        <w:rPr>
          <w:rFonts w:ascii="Arial" w:hAnsi="Arial" w:cs="Arial"/>
          <w:sz w:val="24"/>
          <w:szCs w:val="24"/>
        </w:rPr>
        <w:t>CATT</w:t>
      </w:r>
    </w:p>
    <w:p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18331F" w:rsidRPr="0018331F">
        <w:rPr>
          <w:rFonts w:ascii="Arial" w:hAnsi="Arial" w:cs="Arial"/>
          <w:sz w:val="24"/>
          <w:szCs w:val="24"/>
        </w:rPr>
        <w:t>NR Phys</w:t>
      </w:r>
      <w:r w:rsidR="0018331F">
        <w:rPr>
          <w:rFonts w:ascii="Arial" w:hAnsi="Arial" w:cs="Arial"/>
          <w:sz w:val="24"/>
          <w:szCs w:val="24"/>
        </w:rPr>
        <w:t>ical Layer design for IAB backh</w:t>
      </w:r>
      <w:r w:rsidR="0018331F" w:rsidRPr="0018331F">
        <w:rPr>
          <w:rFonts w:ascii="Arial" w:hAnsi="Arial" w:cs="Arial"/>
          <w:sz w:val="24"/>
          <w:szCs w:val="24"/>
        </w:rPr>
        <w:t>a</w:t>
      </w:r>
      <w:r w:rsidR="0018331F">
        <w:rPr>
          <w:rFonts w:ascii="Arial" w:hAnsi="Arial" w:cs="Arial"/>
          <w:sz w:val="24"/>
          <w:szCs w:val="24"/>
        </w:rPr>
        <w:t>u</w:t>
      </w:r>
      <w:r w:rsidR="0018331F" w:rsidRPr="0018331F">
        <w:rPr>
          <w:rFonts w:ascii="Arial" w:hAnsi="Arial" w:cs="Arial"/>
          <w:sz w:val="24"/>
          <w:szCs w:val="24"/>
        </w:rPr>
        <w:t>l link</w:t>
      </w:r>
      <w:r w:rsidR="005451E6">
        <w:rPr>
          <w:rFonts w:ascii="Arial" w:hAnsi="Arial" w:cs="Arial"/>
          <w:sz w:val="24"/>
          <w:szCs w:val="24"/>
        </w:rPr>
        <w:t xml:space="preserve"> </w:t>
      </w:r>
    </w:p>
    <w:p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rsidR="00BB7889" w:rsidRPr="007C2F71" w:rsidRDefault="00BB7889" w:rsidP="00C23B88">
      <w:pPr>
        <w:pStyle w:val="1"/>
        <w:rPr>
          <w:lang w:eastAsia="zh-CN"/>
        </w:rPr>
      </w:pPr>
      <w:r w:rsidRPr="00C23B88">
        <w:t>Introduction</w:t>
      </w:r>
    </w:p>
    <w:p w:rsidR="00767A6C" w:rsidRPr="00E271F9" w:rsidRDefault="00767A6C" w:rsidP="000360A3">
      <w:r w:rsidRPr="00E271F9">
        <w:t xml:space="preserve">NR-IAB (Integrated Access and Backhaul) targets to support the NR access link as the backhaul link for other NR node.   In RAN1#92bis, the physical layer aspects for IAB were discussed with the following agreements, </w:t>
      </w:r>
    </w:p>
    <w:p w:rsidR="00767A6C" w:rsidRPr="00767A6C" w:rsidRDefault="00767A6C" w:rsidP="00767A6C">
      <w:r w:rsidRPr="00767A6C">
        <w:rPr>
          <w:highlight w:val="green"/>
        </w:rPr>
        <w:t>Agreements</w:t>
      </w:r>
      <w:r w:rsidRPr="00767A6C">
        <w:t>:</w:t>
      </w:r>
    </w:p>
    <w:p w:rsidR="00767A6C" w:rsidRPr="00767A6C" w:rsidRDefault="00767A6C" w:rsidP="00767A6C">
      <w:pPr>
        <w:pStyle w:val="maintext"/>
        <w:numPr>
          <w:ilvl w:val="0"/>
          <w:numId w:val="26"/>
        </w:numPr>
        <w:ind w:firstLineChars="0"/>
        <w:rPr>
          <w:b/>
        </w:rPr>
      </w:pPr>
      <w:r w:rsidRPr="00767A6C">
        <w:t>The Release 15 NR physical layer should be the starting point for the physical layer of the IAB backhaul link.</w:t>
      </w:r>
    </w:p>
    <w:p w:rsidR="00767A6C" w:rsidRPr="00767A6C" w:rsidRDefault="00767A6C" w:rsidP="00767A6C">
      <w:pPr>
        <w:rPr>
          <w:b/>
        </w:rPr>
      </w:pPr>
    </w:p>
    <w:p w:rsidR="00767A6C" w:rsidRPr="00767A6C" w:rsidRDefault="00767A6C" w:rsidP="00767A6C">
      <w:r w:rsidRPr="00767A6C">
        <w:rPr>
          <w:highlight w:val="green"/>
        </w:rPr>
        <w:t>Agreements</w:t>
      </w:r>
      <w:r w:rsidRPr="00767A6C">
        <w:t>:</w:t>
      </w:r>
    </w:p>
    <w:p w:rsidR="00767A6C" w:rsidRPr="00767A6C" w:rsidRDefault="00767A6C" w:rsidP="00767A6C">
      <w:pPr>
        <w:numPr>
          <w:ilvl w:val="0"/>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An IAB-node can follow the same initial access procedure as an access UE, including cell search, SI acquisition, and random access, in order to connect to an IAB node/donor and initially integrate to the network.</w:t>
      </w:r>
    </w:p>
    <w:p w:rsidR="00767A6C" w:rsidRPr="00767A6C" w:rsidRDefault="00767A6C" w:rsidP="00767A6C">
      <w:pPr>
        <w:numPr>
          <w:ilvl w:val="0"/>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 xml:space="preserve">Two cases: (1) donor and relay node share the same cell ID and (2) donor and relay maintain separate cell ID can be further studied. </w:t>
      </w:r>
    </w:p>
    <w:p w:rsidR="00767A6C" w:rsidRPr="00767A6C" w:rsidRDefault="00767A6C" w:rsidP="00767A6C">
      <w:pPr>
        <w:numPr>
          <w:ilvl w:val="1"/>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 xml:space="preserve">Note: The feasibility of (1) may depend on architectures considered in RAN2/3. </w:t>
      </w:r>
    </w:p>
    <w:p w:rsidR="00767A6C" w:rsidRPr="00767A6C" w:rsidRDefault="00767A6C" w:rsidP="00767A6C">
      <w:pPr>
        <w:numPr>
          <w:ilvl w:val="0"/>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 xml:space="preserve">The SSB/CSI-RS based RRM measurement defined in NR R15 are considered as a starting point for IAB node discovery and measurement. </w:t>
      </w:r>
    </w:p>
    <w:p w:rsidR="00767A6C" w:rsidRPr="00767A6C" w:rsidRDefault="00767A6C" w:rsidP="00767A6C">
      <w:pPr>
        <w:numPr>
          <w:ilvl w:val="1"/>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How to avoid conflicting SSB configurations among IAB nodes, as well as the feasibility of CSI-RS based IAB node discovery, should be studied.</w:t>
      </w:r>
    </w:p>
    <w:p w:rsidR="00767A6C" w:rsidRPr="00767A6C" w:rsidRDefault="00767A6C" w:rsidP="00767A6C">
      <w:pPr>
        <w:numPr>
          <w:ilvl w:val="0"/>
          <w:numId w:val="27"/>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RAN1 should further study inter-relay discovery procedure subject to half-duplex constraint and multi-hop topologies.</w:t>
      </w:r>
    </w:p>
    <w:p w:rsidR="00767A6C" w:rsidRPr="00767A6C" w:rsidRDefault="00767A6C" w:rsidP="00767A6C">
      <w:r w:rsidRPr="00767A6C">
        <w:rPr>
          <w:highlight w:val="green"/>
        </w:rPr>
        <w:t>Agreements</w:t>
      </w:r>
      <w:r w:rsidRPr="00767A6C">
        <w:t>:</w:t>
      </w:r>
    </w:p>
    <w:p w:rsidR="00767A6C" w:rsidRPr="00767A6C" w:rsidRDefault="00767A6C" w:rsidP="00767A6C">
      <w:pPr>
        <w:numPr>
          <w:ilvl w:val="0"/>
          <w:numId w:val="28"/>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 xml:space="preserve">Study the feasibility of over-the-air (OTA) synchronization and the impact of timing misalignment on IAB performance (e.g. the number of supportable hops). </w:t>
      </w:r>
    </w:p>
    <w:p w:rsidR="00767A6C" w:rsidRPr="00767A6C" w:rsidRDefault="00767A6C" w:rsidP="00767A6C">
      <w:pPr>
        <w:numPr>
          <w:ilvl w:val="0"/>
          <w:numId w:val="28"/>
        </w:numPr>
        <w:overflowPunct/>
        <w:autoSpaceDE/>
        <w:autoSpaceDN/>
        <w:adjustRightInd/>
        <w:spacing w:before="60" w:after="120"/>
        <w:jc w:val="both"/>
        <w:textAlignment w:val="auto"/>
        <w:rPr>
          <w:rFonts w:eastAsia="Arial"/>
        </w:rPr>
      </w:pPr>
      <w:r w:rsidRPr="00767A6C">
        <w:rPr>
          <w:rFonts w:eastAsia="Malgun Gothic"/>
          <w:lang w:eastAsia="ko-KR"/>
        </w:rPr>
        <w:t>Mechanisms for timing alignment across multi-hop NR-IAB networks should be studied.</w:t>
      </w:r>
      <w:r w:rsidRPr="00767A6C">
        <w:rPr>
          <w:rFonts w:eastAsia="Arial"/>
        </w:rPr>
        <w:t xml:space="preserve"> </w:t>
      </w:r>
    </w:p>
    <w:p w:rsidR="00767A6C" w:rsidRPr="00767A6C" w:rsidRDefault="00767A6C" w:rsidP="00767A6C">
      <w:r w:rsidRPr="00767A6C">
        <w:rPr>
          <w:highlight w:val="green"/>
        </w:rPr>
        <w:t>Agreements</w:t>
      </w:r>
      <w:r w:rsidRPr="00767A6C">
        <w:t>:</w:t>
      </w:r>
    </w:p>
    <w:p w:rsidR="00767A6C" w:rsidRPr="00767A6C" w:rsidRDefault="00767A6C" w:rsidP="00767A6C">
      <w:pPr>
        <w:pStyle w:val="maintext"/>
        <w:numPr>
          <w:ilvl w:val="0"/>
          <w:numId w:val="29"/>
        </w:numPr>
        <w:ind w:firstLineChars="0"/>
      </w:pPr>
      <w:r w:rsidRPr="00767A6C">
        <w:t xml:space="preserve">Measurements on multiple backhaul links for link management and route selection should be studied. </w:t>
      </w:r>
    </w:p>
    <w:p w:rsidR="00767A6C" w:rsidRPr="00767A6C" w:rsidRDefault="00767A6C" w:rsidP="00767A6C">
      <w:pPr>
        <w:pStyle w:val="maintext"/>
        <w:numPr>
          <w:ilvl w:val="0"/>
          <w:numId w:val="29"/>
        </w:numPr>
        <w:ind w:firstLineChars="0"/>
      </w:pPr>
      <w:r w:rsidRPr="00767A6C">
        <w:t>Mechanisms for efficient route switching or transmission/reception on multiple backhaul links simultaneously (e.g. multi-TRP operation and intra-frequency dual connectivity) should be studied.</w:t>
      </w:r>
    </w:p>
    <w:p w:rsidR="00767A6C" w:rsidRPr="00767A6C" w:rsidRDefault="00767A6C" w:rsidP="00767A6C">
      <w:pPr>
        <w:numPr>
          <w:ilvl w:val="1"/>
          <w:numId w:val="29"/>
        </w:numPr>
        <w:overflowPunct/>
        <w:autoSpaceDE/>
        <w:autoSpaceDN/>
        <w:adjustRightInd/>
        <w:spacing w:before="60" w:after="120"/>
        <w:jc w:val="both"/>
        <w:textAlignment w:val="auto"/>
        <w:rPr>
          <w:rFonts w:eastAsia="Malgun Gothic"/>
          <w:lang w:eastAsia="ko-KR"/>
        </w:rPr>
      </w:pPr>
      <w:r w:rsidRPr="00767A6C">
        <w:rPr>
          <w:rFonts w:eastAsia="Malgun Gothic"/>
          <w:lang w:eastAsia="ko-KR"/>
        </w:rPr>
        <w:t xml:space="preserve">Note: The feasibility of (1) may depend on architectures considered in RAN2/3. </w:t>
      </w:r>
    </w:p>
    <w:p w:rsidR="00767A6C" w:rsidRPr="00767A6C" w:rsidRDefault="00767A6C" w:rsidP="00767A6C">
      <w:pPr>
        <w:numPr>
          <w:ilvl w:val="0"/>
          <w:numId w:val="29"/>
        </w:numPr>
        <w:overflowPunct/>
        <w:autoSpaceDE/>
        <w:autoSpaceDN/>
        <w:adjustRightInd/>
        <w:spacing w:after="0"/>
        <w:textAlignment w:val="auto"/>
      </w:pPr>
      <w:r w:rsidRPr="00767A6C">
        <w:t>Mechanisms for scheduling coordination, resource allocation, and route selection across IAB nodes/donors and multiple backhaul hops should be studied.</w:t>
      </w:r>
    </w:p>
    <w:p w:rsidR="00767A6C" w:rsidRPr="00767A6C" w:rsidRDefault="00767A6C" w:rsidP="00767A6C">
      <w:pPr>
        <w:numPr>
          <w:ilvl w:val="0"/>
          <w:numId w:val="29"/>
        </w:numPr>
        <w:overflowPunct/>
        <w:autoSpaceDE/>
        <w:autoSpaceDN/>
        <w:adjustRightInd/>
        <w:spacing w:after="0"/>
        <w:textAlignment w:val="auto"/>
      </w:pPr>
      <w:r w:rsidRPr="00767A6C">
        <w:t>Mechanisms for efficient TDM/FDM/SDM multiplexing of access/backhaul traffic across multiple hops considering an IAB-node half-duplex constraint should be studied.</w:t>
      </w:r>
    </w:p>
    <w:p w:rsidR="00767A6C" w:rsidRPr="00767A6C" w:rsidRDefault="00767A6C" w:rsidP="00767A6C">
      <w:pPr>
        <w:numPr>
          <w:ilvl w:val="0"/>
          <w:numId w:val="29"/>
        </w:numPr>
        <w:overflowPunct/>
        <w:autoSpaceDE/>
        <w:autoSpaceDN/>
        <w:adjustRightInd/>
        <w:spacing w:after="0"/>
        <w:textAlignment w:val="auto"/>
      </w:pPr>
      <w:r w:rsidRPr="00767A6C">
        <w:t>The impact of cross-link interference on access and backhaul links (including across multiple hops) should be studied.</w:t>
      </w:r>
    </w:p>
    <w:p w:rsidR="00767A6C" w:rsidRPr="00767A6C" w:rsidRDefault="00767A6C" w:rsidP="00767A6C">
      <w:pPr>
        <w:numPr>
          <w:ilvl w:val="0"/>
          <w:numId w:val="29"/>
        </w:numPr>
        <w:overflowPunct/>
        <w:autoSpaceDE/>
        <w:autoSpaceDN/>
        <w:adjustRightInd/>
        <w:spacing w:after="0"/>
        <w:textAlignment w:val="auto"/>
      </w:pPr>
      <w:r w:rsidRPr="00767A6C">
        <w:t xml:space="preserve">Interference measurement and management solutions should be studied. </w:t>
      </w:r>
    </w:p>
    <w:p w:rsidR="00767A6C" w:rsidRPr="00767A6C" w:rsidRDefault="00767A6C" w:rsidP="00767A6C">
      <w:pPr>
        <w:numPr>
          <w:ilvl w:val="0"/>
          <w:numId w:val="29"/>
        </w:numPr>
        <w:overflowPunct/>
        <w:autoSpaceDE/>
        <w:autoSpaceDN/>
        <w:adjustRightInd/>
        <w:spacing w:after="0"/>
        <w:textAlignment w:val="auto"/>
      </w:pPr>
      <w:r w:rsidRPr="00767A6C">
        <w:lastRenderedPageBreak/>
        <w:t>1024QAM for the backhaul link should be studied.</w:t>
      </w:r>
    </w:p>
    <w:p w:rsidR="00767A6C" w:rsidRPr="00767A6C" w:rsidRDefault="00767A6C" w:rsidP="00767A6C">
      <w:pPr>
        <w:numPr>
          <w:ilvl w:val="1"/>
          <w:numId w:val="29"/>
        </w:numPr>
        <w:overflowPunct/>
        <w:autoSpaceDE/>
        <w:autoSpaceDN/>
        <w:adjustRightInd/>
        <w:spacing w:after="0"/>
        <w:textAlignment w:val="auto"/>
      </w:pPr>
      <w:r w:rsidRPr="00767A6C">
        <w:t xml:space="preserve">FFS: whether solutions should be specified as part of an IAB WI or other NR WI </w:t>
      </w:r>
    </w:p>
    <w:p w:rsidR="00767A6C" w:rsidRDefault="00767A6C" w:rsidP="000360A3">
      <w:pPr>
        <w:rPr>
          <w:sz w:val="22"/>
        </w:rPr>
      </w:pPr>
    </w:p>
    <w:p w:rsidR="008E0942" w:rsidRDefault="005451E6" w:rsidP="000360A3">
      <w:pPr>
        <w:rPr>
          <w:sz w:val="22"/>
        </w:rPr>
      </w:pPr>
      <w:r w:rsidRPr="00767A6C">
        <w:t>In this contribution</w:t>
      </w:r>
      <w:r w:rsidR="00C63F98">
        <w:t xml:space="preserve">, we discuss the NR physical layer design aspect in support of NR-IAB.  </w:t>
      </w:r>
    </w:p>
    <w:p w:rsidR="00674AA0" w:rsidRPr="00601F7D" w:rsidRDefault="004E5A5E" w:rsidP="00AC36ED">
      <w:pPr>
        <w:pStyle w:val="1"/>
      </w:pPr>
      <w:r>
        <w:t xml:space="preserve">Physical Layer Design for </w:t>
      </w:r>
      <w:r w:rsidR="003127CB">
        <w:t>NR-</w:t>
      </w:r>
      <w:r w:rsidR="00AC36ED">
        <w:t>IAB</w:t>
      </w:r>
    </w:p>
    <w:p w:rsidR="005014A7" w:rsidRPr="005014A7" w:rsidRDefault="00EC097B" w:rsidP="005014A7">
      <w:pPr>
        <w:rPr>
          <w:rFonts w:eastAsia="Malgun Gothic"/>
          <w:lang w:eastAsia="ko-KR"/>
        </w:rPr>
      </w:pPr>
      <w:r>
        <w:rPr>
          <w:rFonts w:eastAsia="Malgun Gothic"/>
          <w:lang w:eastAsia="ko-KR"/>
        </w:rPr>
        <w:t xml:space="preserve">The requirements and aspects in the IAB study in </w:t>
      </w:r>
      <w:r w:rsidR="0053499E">
        <w:rPr>
          <w:rFonts w:eastAsia="Malgun Gothic"/>
          <w:lang w:eastAsia="ko-KR"/>
        </w:rPr>
        <w:fldChar w:fldCharType="begin"/>
      </w:r>
      <w:r w:rsidR="008547F7">
        <w:rPr>
          <w:rFonts w:eastAsia="Malgun Gothic"/>
          <w:lang w:eastAsia="ko-KR"/>
        </w:rPr>
        <w:instrText xml:space="preserve"> REF _Ref513630011 \r \h </w:instrText>
      </w:r>
      <w:r w:rsidR="0053499E">
        <w:rPr>
          <w:rFonts w:eastAsia="Malgun Gothic"/>
          <w:lang w:eastAsia="ko-KR"/>
        </w:rPr>
      </w:r>
      <w:r w:rsidR="0053499E">
        <w:rPr>
          <w:rFonts w:eastAsia="Malgun Gothic"/>
          <w:lang w:eastAsia="ko-KR"/>
        </w:rPr>
        <w:fldChar w:fldCharType="separate"/>
      </w:r>
      <w:r w:rsidR="008547F7">
        <w:rPr>
          <w:rFonts w:eastAsia="Malgun Gothic"/>
          <w:lang w:eastAsia="ko-KR"/>
        </w:rPr>
        <w:t>[1]</w:t>
      </w:r>
      <w:r w:rsidR="0053499E">
        <w:rPr>
          <w:rFonts w:eastAsia="Malgun Gothic"/>
          <w:lang w:eastAsia="ko-KR"/>
        </w:rPr>
        <w:fldChar w:fldCharType="end"/>
      </w:r>
      <w:r w:rsidR="008547F7">
        <w:rPr>
          <w:rFonts w:eastAsia="Malgun Gothic"/>
          <w:lang w:eastAsia="ko-KR"/>
        </w:rPr>
        <w:t xml:space="preserve"> are as follows, </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 xml:space="preserve">Efficient and flexible operation for both </w:t>
      </w:r>
      <w:proofErr w:type="spellStart"/>
      <w:r w:rsidRPr="005014A7">
        <w:rPr>
          <w:rFonts w:eastAsia="Malgun Gothic"/>
          <w:lang w:eastAsia="ko-KR"/>
        </w:rPr>
        <w:t>inband</w:t>
      </w:r>
      <w:proofErr w:type="spellEnd"/>
      <w:r w:rsidRPr="005014A7">
        <w:rPr>
          <w:rFonts w:eastAsia="Malgun Gothic"/>
          <w:lang w:eastAsia="ko-KR"/>
        </w:rPr>
        <w:t xml:space="preserve"> and </w:t>
      </w:r>
      <w:proofErr w:type="spellStart"/>
      <w:r w:rsidRPr="005014A7">
        <w:rPr>
          <w:rFonts w:eastAsia="Malgun Gothic"/>
          <w:lang w:eastAsia="ko-KR"/>
        </w:rPr>
        <w:t>outband</w:t>
      </w:r>
      <w:proofErr w:type="spellEnd"/>
      <w:r w:rsidRPr="005014A7">
        <w:rPr>
          <w:rFonts w:eastAsia="Malgun Gothic"/>
          <w:lang w:eastAsia="ko-KR"/>
        </w:rPr>
        <w:t xml:space="preserve"> relaying in indoor and outdoor scenarios </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Multi-hop and redundant connectivity</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End-to-end route selection and optimization</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Support of backhaul links with high spectral efficiency</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Support of legacy NR UEs</w:t>
      </w:r>
    </w:p>
    <w:p w:rsidR="00EC097B" w:rsidRPr="005014A7" w:rsidRDefault="00EC097B" w:rsidP="00AC36ED">
      <w:pPr>
        <w:rPr>
          <w:rFonts w:eastAsia="Arial"/>
        </w:rPr>
      </w:pPr>
    </w:p>
    <w:p w:rsidR="00536565" w:rsidRPr="005014A7" w:rsidRDefault="00601F7D" w:rsidP="00601F7D">
      <w:pPr>
        <w:rPr>
          <w:rFonts w:eastAsia="Arial"/>
        </w:rPr>
      </w:pPr>
      <w:r>
        <w:rPr>
          <w:rFonts w:eastAsia="Arial"/>
        </w:rPr>
        <w:t xml:space="preserve">The </w:t>
      </w:r>
      <w:r w:rsidR="00391622" w:rsidRPr="005014A7">
        <w:rPr>
          <w:rFonts w:eastAsia="Arial"/>
        </w:rPr>
        <w:t>IAB</w:t>
      </w:r>
      <w:r>
        <w:rPr>
          <w:rFonts w:eastAsia="Arial"/>
        </w:rPr>
        <w:t xml:space="preserve"> system</w:t>
      </w:r>
      <w:r w:rsidR="00862F56">
        <w:rPr>
          <w:rFonts w:eastAsia="Arial"/>
        </w:rPr>
        <w:t xml:space="preserve"> is designed </w:t>
      </w:r>
      <w:r>
        <w:rPr>
          <w:rFonts w:eastAsia="Arial"/>
        </w:rPr>
        <w:t xml:space="preserve">based on the NR air interface for the backhaul link as shown in </w:t>
      </w:r>
      <w:r w:rsidR="0053499E">
        <w:rPr>
          <w:rFonts w:eastAsia="Arial"/>
        </w:rPr>
        <w:fldChar w:fldCharType="begin"/>
      </w:r>
      <w:r>
        <w:rPr>
          <w:rFonts w:eastAsia="Arial"/>
        </w:rPr>
        <w:instrText xml:space="preserve"> REF _Ref513631093 \h </w:instrText>
      </w:r>
      <w:r w:rsidR="0053499E">
        <w:rPr>
          <w:rFonts w:eastAsia="Arial"/>
        </w:rPr>
      </w:r>
      <w:r w:rsidR="0053499E">
        <w:rPr>
          <w:rFonts w:eastAsia="Arial"/>
        </w:rPr>
        <w:fldChar w:fldCharType="separate"/>
      </w:r>
      <w:r>
        <w:t xml:space="preserve">Figure </w:t>
      </w:r>
      <w:r>
        <w:rPr>
          <w:noProof/>
        </w:rPr>
        <w:t>1</w:t>
      </w:r>
      <w:r w:rsidR="0053499E">
        <w:rPr>
          <w:rFonts w:eastAsia="Arial"/>
        </w:rPr>
        <w:fldChar w:fldCharType="end"/>
      </w:r>
      <w:r>
        <w:rPr>
          <w:rFonts w:eastAsia="Arial"/>
        </w:rPr>
        <w:t xml:space="preserve">.  </w:t>
      </w:r>
      <w:r w:rsidR="009B20CE">
        <w:rPr>
          <w:rFonts w:eastAsia="Arial"/>
        </w:rPr>
        <w:t>The integ</w:t>
      </w:r>
      <w:r w:rsidR="00862F56">
        <w:rPr>
          <w:rFonts w:eastAsia="Arial"/>
        </w:rPr>
        <w:t>rated access backhaul system dynamically allocates the NR radio resources for both the UE access and the backhaul link of another gNB</w:t>
      </w:r>
      <w:r w:rsidR="009435F2">
        <w:rPr>
          <w:rFonts w:eastAsia="Arial"/>
        </w:rPr>
        <w:t>.</w:t>
      </w:r>
      <w:r w:rsidR="009435F2">
        <w:rPr>
          <w:rFonts w:eastAsiaTheme="minorEastAsia" w:hint="eastAsia"/>
          <w:lang w:eastAsia="zh-CN"/>
        </w:rPr>
        <w:t xml:space="preserve"> </w:t>
      </w:r>
      <w:r w:rsidR="00862F56">
        <w:rPr>
          <w:rFonts w:eastAsia="Arial"/>
        </w:rPr>
        <w:t xml:space="preserve">We could see from </w:t>
      </w:r>
      <w:r w:rsidR="0053499E">
        <w:rPr>
          <w:rFonts w:eastAsia="Arial"/>
        </w:rPr>
        <w:fldChar w:fldCharType="begin"/>
      </w:r>
      <w:r w:rsidR="00862F56">
        <w:rPr>
          <w:rFonts w:eastAsia="Arial"/>
        </w:rPr>
        <w:instrText xml:space="preserve"> REF _Ref513631093 \h </w:instrText>
      </w:r>
      <w:r w:rsidR="0053499E">
        <w:rPr>
          <w:rFonts w:eastAsia="Arial"/>
        </w:rPr>
      </w:r>
      <w:r w:rsidR="0053499E">
        <w:rPr>
          <w:rFonts w:eastAsia="Arial"/>
        </w:rPr>
        <w:fldChar w:fldCharType="separate"/>
      </w:r>
      <w:r w:rsidR="00862F56">
        <w:t xml:space="preserve">Figure </w:t>
      </w:r>
      <w:r w:rsidR="00862F56">
        <w:rPr>
          <w:noProof/>
        </w:rPr>
        <w:t>1</w:t>
      </w:r>
      <w:r w:rsidR="0053499E">
        <w:rPr>
          <w:rFonts w:eastAsia="Arial"/>
        </w:rPr>
        <w:fldChar w:fldCharType="end"/>
      </w:r>
      <w:r w:rsidR="00862F56">
        <w:rPr>
          <w:rFonts w:eastAsia="Arial"/>
        </w:rPr>
        <w:t xml:space="preserve">that the Donor </w:t>
      </w:r>
      <w:proofErr w:type="spellStart"/>
      <w:r w:rsidR="00862F56">
        <w:rPr>
          <w:rFonts w:eastAsia="Arial"/>
        </w:rPr>
        <w:t>gNB</w:t>
      </w:r>
      <w:proofErr w:type="spellEnd"/>
      <w:r w:rsidR="00862F56">
        <w:rPr>
          <w:rFonts w:eastAsia="Arial"/>
        </w:rPr>
        <w:t xml:space="preserve"> provide both UE access and backhaul access to the IAB node, which is another gNB with wireless backhaul </w:t>
      </w:r>
      <w:r w:rsidR="003B519B">
        <w:rPr>
          <w:rFonts w:eastAsia="Arial"/>
        </w:rPr>
        <w:t xml:space="preserve">link from the Donor gNB.   </w:t>
      </w:r>
      <w:r w:rsidR="00725705">
        <w:rPr>
          <w:rFonts w:eastAsia="Arial"/>
        </w:rPr>
        <w:t>The IAB node is considered as a special UE to the Donor gNB</w:t>
      </w:r>
      <w:r w:rsidR="00E362F5">
        <w:rPr>
          <w:rFonts w:eastAsia="Arial"/>
        </w:rPr>
        <w:t xml:space="preserve"> with NG backhaul protocol</w:t>
      </w:r>
      <w:r w:rsidR="007B5CA6">
        <w:rPr>
          <w:rFonts w:eastAsia="Arial"/>
        </w:rPr>
        <w:t xml:space="preserve"> running on top of the Uu access link</w:t>
      </w:r>
      <w:r w:rsidR="00E362F5">
        <w:rPr>
          <w:rFonts w:eastAsia="Arial"/>
        </w:rPr>
        <w:t xml:space="preserve">.  Other UEs would share the same radio resources with the IAB node for the wireless network access to the Donor gNB.   The IAB node is a gNB, which also provides the wireless network </w:t>
      </w:r>
      <w:r w:rsidR="004266D5">
        <w:rPr>
          <w:rFonts w:eastAsia="Arial"/>
        </w:rPr>
        <w:t xml:space="preserve">services to its own UEs.   </w:t>
      </w:r>
    </w:p>
    <w:p w:rsidR="00AC36ED" w:rsidRPr="005014A7" w:rsidRDefault="00AC36ED" w:rsidP="00AC36ED">
      <w:pPr>
        <w:rPr>
          <w:rFonts w:eastAsia="Arial"/>
        </w:rPr>
      </w:pPr>
    </w:p>
    <w:p w:rsidR="00601F7D" w:rsidRDefault="001B5A06" w:rsidP="00601F7D">
      <w:pPr>
        <w:keepNext/>
        <w:jc w:val="center"/>
      </w:pPr>
      <w:r>
        <w:rPr>
          <w:rFonts w:eastAsia="Arial"/>
          <w:noProof/>
          <w:sz w:val="22"/>
          <w:lang w:val="en-US" w:eastAsia="zh-CN"/>
        </w:rPr>
        <w:drawing>
          <wp:inline distT="0" distB="0" distL="0" distR="0">
            <wp:extent cx="3736046" cy="15280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736904" cy="1528449"/>
                    </a:xfrm>
                    <a:prstGeom prst="rect">
                      <a:avLst/>
                    </a:prstGeom>
                    <a:noFill/>
                    <a:ln w="9525">
                      <a:noFill/>
                      <a:miter lim="800000"/>
                      <a:headEnd/>
                      <a:tailEnd/>
                    </a:ln>
                  </pic:spPr>
                </pic:pic>
              </a:graphicData>
            </a:graphic>
          </wp:inline>
        </w:drawing>
      </w:r>
    </w:p>
    <w:p w:rsidR="001B5A06" w:rsidRDefault="00601F7D" w:rsidP="00601F7D">
      <w:pPr>
        <w:pStyle w:val="ad"/>
        <w:jc w:val="center"/>
        <w:rPr>
          <w:rFonts w:eastAsia="Arial"/>
          <w:sz w:val="22"/>
        </w:rPr>
      </w:pPr>
      <w:bookmarkStart w:id="2" w:name="_Ref513631093"/>
      <w:r>
        <w:t xml:space="preserve">Figure </w:t>
      </w:r>
      <w:fldSimple w:instr=" SEQ Figure \* ARABIC ">
        <w:r w:rsidR="006F56B8">
          <w:rPr>
            <w:noProof/>
          </w:rPr>
          <w:t>1</w:t>
        </w:r>
      </w:fldSimple>
      <w:bookmarkEnd w:id="2"/>
      <w:r>
        <w:rPr>
          <w:noProof/>
        </w:rPr>
        <w:t>: IAB architecture with NR air interface as the backhaul access link</w:t>
      </w:r>
    </w:p>
    <w:p w:rsidR="001B5A06" w:rsidRDefault="001B5A06" w:rsidP="00402AF5">
      <w:pPr>
        <w:rPr>
          <w:rFonts w:eastAsia="Arial"/>
          <w:sz w:val="22"/>
        </w:rPr>
      </w:pPr>
    </w:p>
    <w:p w:rsidR="003127CB" w:rsidRDefault="00E362F5" w:rsidP="00E362F5">
      <w:pPr>
        <w:pStyle w:val="2"/>
        <w:spacing w:after="240"/>
      </w:pPr>
      <w:r>
        <w:t>NR Physical Links</w:t>
      </w:r>
      <w:r w:rsidR="00E271F9">
        <w:t xml:space="preserve"> for </w:t>
      </w:r>
      <w:r w:rsidR="003127CB">
        <w:t>IAB</w:t>
      </w:r>
    </w:p>
    <w:p w:rsidR="003758FB" w:rsidRDefault="00E271F9" w:rsidP="003758FB">
      <w:pPr>
        <w:rPr>
          <w:bCs/>
        </w:rPr>
      </w:pPr>
      <w:r>
        <w:rPr>
          <w:bCs/>
          <w:lang w:val="en-US"/>
        </w:rPr>
        <w:t>The system design for integrated access and backhaul feature is to fully utilize the NR physical layer design as the wireless physical link for the backhaul access of the IAB node.  The NR physical layer would provide the data transportation of backhaul access, similar to that provided by fiber optic or Gigabit Ethernet.   For the operation of a gNB, the backhaul access needs to be provisioned, configured, and tested before the power-on operat</w:t>
      </w:r>
      <w:r w:rsidR="003758FB">
        <w:rPr>
          <w:bCs/>
          <w:lang w:val="en-US"/>
        </w:rPr>
        <w:t xml:space="preserve">ion at the air interface.   </w:t>
      </w:r>
      <w:r>
        <w:rPr>
          <w:bCs/>
          <w:lang w:val="en-US"/>
        </w:rPr>
        <w:t xml:space="preserve"> </w:t>
      </w:r>
      <w:r w:rsidR="003758FB">
        <w:rPr>
          <w:bCs/>
          <w:lang w:val="en-US"/>
        </w:rPr>
        <w:t xml:space="preserve">It is agreed in RAN1#92bis that </w:t>
      </w:r>
      <w:r w:rsidR="003758FB">
        <w:rPr>
          <w:rFonts w:eastAsia="Malgun Gothic"/>
          <w:lang w:eastAsia="ko-KR"/>
        </w:rPr>
        <w:t>a</w:t>
      </w:r>
      <w:r w:rsidR="003758FB" w:rsidRPr="00767A6C">
        <w:rPr>
          <w:rFonts w:eastAsia="Malgun Gothic"/>
          <w:lang w:eastAsia="ko-KR"/>
        </w:rPr>
        <w:t>n IAB-node can follow the same initial access procedure as an access UE, including cell search, SI acquisition, and random access, in order to connect to an IAB node/donor and initially integrate to the network.</w:t>
      </w:r>
      <w:r w:rsidR="003758FB">
        <w:rPr>
          <w:rFonts w:eastAsia="Malgun Gothic"/>
          <w:lang w:eastAsia="ko-KR"/>
        </w:rPr>
        <w:t xml:space="preserve">  </w:t>
      </w:r>
      <w:r w:rsidR="00DE059E">
        <w:rPr>
          <w:rFonts w:eastAsia="Malgun Gothic"/>
          <w:lang w:eastAsia="ko-KR"/>
        </w:rPr>
        <w:t>Since any admission of UE’s network access at the gNB requires the confirmation of backhaul resource allocation, t</w:t>
      </w:r>
      <w:r w:rsidR="003758FB">
        <w:rPr>
          <w:rFonts w:eastAsia="Malgun Gothic"/>
          <w:lang w:eastAsia="ko-KR"/>
        </w:rPr>
        <w:t xml:space="preserve">he initial access procedure for the backhaul access of an IAB-node needs to be provisioned, configured, and tested before the </w:t>
      </w:r>
      <w:r w:rsidR="00DE059E">
        <w:rPr>
          <w:bCs/>
        </w:rPr>
        <w:t xml:space="preserve">air interface starts providing service to its UE for the network access.  If the backhaul resource of an IAB node could be guaranteed, the IAB-node has to buffer all UL data arrival.  </w:t>
      </w:r>
      <w:r w:rsidR="00273490">
        <w:rPr>
          <w:bCs/>
        </w:rPr>
        <w:t xml:space="preserve">This will not only increase the latency of end-to-end data transmission but also potential data dropping at the IAB-node when the UL data arrival rate is over than the buffer size.  </w:t>
      </w:r>
      <w:r w:rsidR="00DE059E">
        <w:rPr>
          <w:bCs/>
        </w:rPr>
        <w:t>Thus, the</w:t>
      </w:r>
      <w:r w:rsidR="00273490">
        <w:rPr>
          <w:bCs/>
        </w:rPr>
        <w:t xml:space="preserve"> measurement for IAB-node</w:t>
      </w:r>
      <w:r w:rsidR="00DE059E">
        <w:rPr>
          <w:bCs/>
        </w:rPr>
        <w:t xml:space="preserve"> </w:t>
      </w:r>
      <w:r w:rsidR="00273490">
        <w:rPr>
          <w:bCs/>
        </w:rPr>
        <w:t>discovery and initial access procedure should be provisioned, configured, and tested before the operation of an IAB node.</w:t>
      </w:r>
    </w:p>
    <w:p w:rsidR="00273490" w:rsidRDefault="00273490" w:rsidP="003758FB">
      <w:pPr>
        <w:rPr>
          <w:bCs/>
        </w:rPr>
      </w:pPr>
    </w:p>
    <w:p w:rsidR="00273490" w:rsidRPr="00273490" w:rsidRDefault="00273490" w:rsidP="003758FB">
      <w:pPr>
        <w:rPr>
          <w:b/>
          <w:bCs/>
        </w:rPr>
      </w:pPr>
      <w:r>
        <w:rPr>
          <w:b/>
          <w:bCs/>
        </w:rPr>
        <w:lastRenderedPageBreak/>
        <w:t>Proposal 1:  The</w:t>
      </w:r>
      <w:r w:rsidRPr="00273490">
        <w:rPr>
          <w:b/>
          <w:bCs/>
        </w:rPr>
        <w:t xml:space="preserve"> measurement for IAB-node discovery and initial access procedure should be provisioned, configured, and tested before the operation of an IAB node.</w:t>
      </w:r>
    </w:p>
    <w:p w:rsidR="00E271F9" w:rsidRDefault="00E271F9" w:rsidP="00601F7D">
      <w:pPr>
        <w:rPr>
          <w:bCs/>
        </w:rPr>
      </w:pPr>
    </w:p>
    <w:p w:rsidR="00273490" w:rsidRDefault="00273490" w:rsidP="00601F7D">
      <w:pPr>
        <w:rPr>
          <w:bCs/>
        </w:rPr>
      </w:pPr>
      <w:r>
        <w:rPr>
          <w:bCs/>
        </w:rPr>
        <w:t>If the IAB-node is configured with the same cell ID as that of the Donor gNB, the IAB-node and the Donor gNB need tight coordination in scheduli</w:t>
      </w:r>
      <w:r w:rsidR="007E2B63">
        <w:rPr>
          <w:bCs/>
        </w:rPr>
        <w:t xml:space="preserve">ng and transmission similar to beam management coordination among distributed TRPs.   In the mean time, the wireless link between the IAB-node and the Donor gNB would be running F1 interface for the CU-DU link and not the NG interface of the backhaul link if the IAB-node and the Donor gNB share the same cell ID.  </w:t>
      </w:r>
      <w:r w:rsidR="00C64373">
        <w:rPr>
          <w:bCs/>
        </w:rPr>
        <w:t>The advantage of the IAB-node and the Donor gNB sharing the same cell ID is for UE to perform implicitly combining of signals transmitting from both nodes.  However, t</w:t>
      </w:r>
      <w:r w:rsidR="006C7D76">
        <w:rPr>
          <w:bCs/>
        </w:rPr>
        <w:t>he IAB-node would not be able to transmit to its serving UEs during the time of receiving the backhaul link from the Donor gNB</w:t>
      </w:r>
      <w:r w:rsidR="00C64373">
        <w:rPr>
          <w:bCs/>
        </w:rPr>
        <w:t xml:space="preserve"> if the backhaul antenna and Uu antenna are not isolated to minimize the self interference</w:t>
      </w:r>
      <w:r w:rsidR="006C7D76">
        <w:rPr>
          <w:bCs/>
        </w:rPr>
        <w:t xml:space="preserve">.  The IAB-node and the Donor gNB could not transmit the same data in the same time for UE to perform coherent/non-coherent combining of data.   </w:t>
      </w:r>
      <w:r w:rsidR="007E2B63">
        <w:rPr>
          <w:bCs/>
        </w:rPr>
        <w:t xml:space="preserve">The current IAB architecture supports the several alternatives, which only the cell ID of the IAB-node is different to that of the gNB.   Thus, the IAB study should </w:t>
      </w:r>
      <w:r w:rsidR="006C7D76">
        <w:rPr>
          <w:bCs/>
        </w:rPr>
        <w:t>con</w:t>
      </w:r>
      <w:r w:rsidR="007E2B63">
        <w:rPr>
          <w:bCs/>
        </w:rPr>
        <w:t xml:space="preserve">fine to the case that the IAB-node and </w:t>
      </w:r>
      <w:r w:rsidR="00B203DA">
        <w:rPr>
          <w:bCs/>
        </w:rPr>
        <w:t xml:space="preserve">the Donor gNB have different cell ID.  </w:t>
      </w:r>
    </w:p>
    <w:p w:rsidR="00B203DA" w:rsidRDefault="00B203DA" w:rsidP="00601F7D">
      <w:pPr>
        <w:rPr>
          <w:bCs/>
        </w:rPr>
      </w:pPr>
    </w:p>
    <w:p w:rsidR="00B203DA" w:rsidRDefault="00B203DA" w:rsidP="00601F7D">
      <w:pPr>
        <w:rPr>
          <w:b/>
          <w:bCs/>
        </w:rPr>
      </w:pPr>
      <w:r>
        <w:rPr>
          <w:b/>
          <w:bCs/>
        </w:rPr>
        <w:t>Proposal 2:  T</w:t>
      </w:r>
      <w:r w:rsidRPr="00B203DA">
        <w:rPr>
          <w:b/>
          <w:bCs/>
        </w:rPr>
        <w:t xml:space="preserve">he IAB study should </w:t>
      </w:r>
      <w:r w:rsidR="00576AE7">
        <w:rPr>
          <w:b/>
          <w:bCs/>
        </w:rPr>
        <w:t>con</w:t>
      </w:r>
      <w:r w:rsidRPr="00B203DA">
        <w:rPr>
          <w:b/>
          <w:bCs/>
        </w:rPr>
        <w:t>fine to the case that the IAB-node and the Donor gNB have different cell ID</w:t>
      </w:r>
      <w:r>
        <w:rPr>
          <w:b/>
          <w:bCs/>
        </w:rPr>
        <w:t>s</w:t>
      </w:r>
      <w:r w:rsidRPr="00B203DA">
        <w:rPr>
          <w:b/>
          <w:bCs/>
        </w:rPr>
        <w:t xml:space="preserve">.  </w:t>
      </w:r>
    </w:p>
    <w:p w:rsidR="00483CDC" w:rsidRPr="00483CDC" w:rsidRDefault="00B203DA" w:rsidP="00601F7D">
      <w:pPr>
        <w:rPr>
          <w:b/>
          <w:bCs/>
        </w:rPr>
      </w:pPr>
      <w:r>
        <w:rPr>
          <w:bCs/>
        </w:rPr>
        <w:t xml:space="preserve">For inband operation of backhaul link and IAB Uu access link, the transmission side lobe would cause the self interference when one link is in transmission and the other link is in reception.   To avoid self interference for inband operation, </w:t>
      </w:r>
      <w:r w:rsidR="00C40AFE">
        <w:rPr>
          <w:bCs/>
        </w:rPr>
        <w:t>the antenna of Uu link and the antenna of the backhaul link need to be separated and isolated to contain the interference generated by side lobe.  If there is no antenna isolation, the transmission and reception of backhaul link and Uu link needs to be coordinated in time to minimize the self interference cause d by the side</w:t>
      </w:r>
      <w:r w:rsidR="00483CDC">
        <w:rPr>
          <w:bCs/>
        </w:rPr>
        <w:t xml:space="preserve"> </w:t>
      </w:r>
      <w:r w:rsidR="00C40AFE">
        <w:rPr>
          <w:bCs/>
        </w:rPr>
        <w:t>lobe.</w:t>
      </w:r>
    </w:p>
    <w:p w:rsidR="00483CDC" w:rsidRPr="00483CDC" w:rsidRDefault="00483CDC" w:rsidP="00601F7D">
      <w:pPr>
        <w:rPr>
          <w:b/>
          <w:bCs/>
        </w:rPr>
      </w:pPr>
      <w:r>
        <w:rPr>
          <w:b/>
          <w:bCs/>
        </w:rPr>
        <w:t xml:space="preserve">Proposal 3:  For inband backhaul access, the solution of handling self interference caused by transmission side lobe between backhaul link and access link should be studied.   </w:t>
      </w:r>
    </w:p>
    <w:p w:rsidR="00B203DA" w:rsidRPr="00B203DA" w:rsidRDefault="00C40AFE" w:rsidP="00601F7D">
      <w:pPr>
        <w:rPr>
          <w:bCs/>
        </w:rPr>
      </w:pPr>
      <w:r>
        <w:rPr>
          <w:bCs/>
        </w:rPr>
        <w:t xml:space="preserve">   </w:t>
      </w:r>
    </w:p>
    <w:p w:rsidR="00193C16" w:rsidRPr="006F56B8" w:rsidRDefault="00483CDC" w:rsidP="006F56B8">
      <w:pPr>
        <w:pStyle w:val="2"/>
        <w:spacing w:after="240"/>
      </w:pPr>
      <w:bookmarkStart w:id="3" w:name="_GoBack"/>
      <w:bookmarkEnd w:id="3"/>
      <w:r>
        <w:t>Node Sy</w:t>
      </w:r>
      <w:r w:rsidR="00DE0CBB">
        <w:t>nchronization</w:t>
      </w:r>
    </w:p>
    <w:p w:rsidR="00536565" w:rsidRDefault="006F56B8" w:rsidP="00AC36ED">
      <w:pPr>
        <w:rPr>
          <w:rFonts w:eastAsia="Arial"/>
        </w:rPr>
      </w:pPr>
      <w:r>
        <w:rPr>
          <w:rFonts w:eastAsia="Arial"/>
        </w:rPr>
        <w:t xml:space="preserve">For the integrated access and backhaul systems, the node synchronization is to synchronization between the Donor gNB and the IAB-node with the condition of each node operates independently.  </w:t>
      </w:r>
      <w:r w:rsidR="00EB2B02">
        <w:rPr>
          <w:rFonts w:eastAsia="Arial"/>
        </w:rPr>
        <w:t xml:space="preserve">The node synchronization is to align the reference radio frame boundary and SFN counter between the master node of the Donor gNB and the slave node of the IAB-node as shown in </w:t>
      </w:r>
      <w:r w:rsidR="0053499E">
        <w:rPr>
          <w:rFonts w:eastAsia="Arial"/>
        </w:rPr>
        <w:fldChar w:fldCharType="begin"/>
      </w:r>
      <w:r w:rsidR="00EB2B02">
        <w:rPr>
          <w:rFonts w:eastAsia="Arial"/>
        </w:rPr>
        <w:instrText xml:space="preserve"> REF _Ref513673647 \h </w:instrText>
      </w:r>
      <w:r w:rsidR="0053499E">
        <w:rPr>
          <w:rFonts w:eastAsia="Arial"/>
        </w:rPr>
      </w:r>
      <w:r w:rsidR="0053499E">
        <w:rPr>
          <w:rFonts w:eastAsia="Arial"/>
        </w:rPr>
        <w:fldChar w:fldCharType="separate"/>
      </w:r>
      <w:r w:rsidR="00EB2B02">
        <w:t xml:space="preserve">Figure </w:t>
      </w:r>
      <w:r w:rsidR="00EB2B02">
        <w:rPr>
          <w:noProof/>
        </w:rPr>
        <w:t>2</w:t>
      </w:r>
      <w:r w:rsidR="0053499E">
        <w:rPr>
          <w:rFonts w:eastAsia="Arial"/>
        </w:rPr>
        <w:fldChar w:fldCharType="end"/>
      </w:r>
      <w:r w:rsidR="00EB2B02">
        <w:rPr>
          <w:rFonts w:eastAsia="Arial"/>
        </w:rPr>
        <w:t xml:space="preserve">.   </w:t>
      </w:r>
      <w:r>
        <w:rPr>
          <w:rFonts w:eastAsia="Arial"/>
        </w:rPr>
        <w:t xml:space="preserve">The node synchronization for the IAB system would have benefit of </w:t>
      </w:r>
      <w:r w:rsidR="00EB2B02">
        <w:rPr>
          <w:rFonts w:eastAsia="Arial"/>
        </w:rPr>
        <w:t xml:space="preserve">interference alignment between the Donor gNB and the IAB-node when they have overlapped coverage area.  For node synchronization in the IAB system, the IAB-node would perform network access as an UE and synchronize with the Donor gNB as shown in </w:t>
      </w:r>
      <w:r w:rsidR="0053499E">
        <w:rPr>
          <w:rFonts w:eastAsia="Arial"/>
        </w:rPr>
        <w:fldChar w:fldCharType="begin"/>
      </w:r>
      <w:r w:rsidR="00EB2B02">
        <w:rPr>
          <w:rFonts w:eastAsia="Arial"/>
        </w:rPr>
        <w:instrText xml:space="preserve"> REF _Ref513673647 \h </w:instrText>
      </w:r>
      <w:r w:rsidR="0053499E">
        <w:rPr>
          <w:rFonts w:eastAsia="Arial"/>
        </w:rPr>
      </w:r>
      <w:r w:rsidR="0053499E">
        <w:rPr>
          <w:rFonts w:eastAsia="Arial"/>
        </w:rPr>
        <w:fldChar w:fldCharType="separate"/>
      </w:r>
      <w:r w:rsidR="00EB2B02">
        <w:t xml:space="preserve">Figure </w:t>
      </w:r>
      <w:r w:rsidR="00EB2B02">
        <w:rPr>
          <w:noProof/>
        </w:rPr>
        <w:t>2</w:t>
      </w:r>
      <w:r w:rsidR="0053499E">
        <w:rPr>
          <w:rFonts w:eastAsia="Arial"/>
        </w:rPr>
        <w:fldChar w:fldCharType="end"/>
      </w:r>
      <w:r w:rsidR="00EB2B02">
        <w:rPr>
          <w:rFonts w:eastAsia="Arial"/>
        </w:rPr>
        <w:t>. The IAB-node would synchronize with the Donor gNB based on the</w:t>
      </w:r>
      <w:r w:rsidR="00945EC5" w:rsidRPr="00193C16">
        <w:rPr>
          <w:rFonts w:eastAsia="Arial"/>
        </w:rPr>
        <w:t xml:space="preserve"> DL RX timing reference acquired and tracked via availa</w:t>
      </w:r>
      <w:r w:rsidR="00EB2B02">
        <w:rPr>
          <w:rFonts w:eastAsia="Arial"/>
        </w:rPr>
        <w:t>ble DL signals (SSBs)</w:t>
      </w:r>
      <w:r w:rsidR="00754A8F">
        <w:rPr>
          <w:rFonts w:eastAsia="Arial"/>
        </w:rPr>
        <w:t xml:space="preserve">.  The </w:t>
      </w:r>
      <w:r w:rsidR="00945EC5" w:rsidRPr="00193C16">
        <w:rPr>
          <w:rFonts w:eastAsia="Arial"/>
        </w:rPr>
        <w:t>UL TX timing</w:t>
      </w:r>
      <w:r w:rsidR="00754A8F">
        <w:rPr>
          <w:rFonts w:eastAsia="Arial"/>
        </w:rPr>
        <w:t xml:space="preserve"> of the backhaul link form the IAB-node would be similar to those UEs network access to the Donor gNB</w:t>
      </w:r>
      <w:r w:rsidR="00945EC5" w:rsidRPr="00193C16">
        <w:rPr>
          <w:rFonts w:eastAsia="Arial"/>
        </w:rPr>
        <w:t xml:space="preserve"> based on </w:t>
      </w:r>
      <w:r w:rsidR="00754A8F">
        <w:rPr>
          <w:rFonts w:eastAsia="Arial"/>
        </w:rPr>
        <w:t xml:space="preserve">the received timing advance (TA) command in order to align the all UL received signals at the Donor </w:t>
      </w:r>
      <w:proofErr w:type="spellStart"/>
      <w:r w:rsidR="00754A8F">
        <w:rPr>
          <w:rFonts w:eastAsia="Arial"/>
        </w:rPr>
        <w:t>gNB</w:t>
      </w:r>
      <w:proofErr w:type="spellEnd"/>
      <w:r w:rsidR="00754A8F">
        <w:rPr>
          <w:rFonts w:eastAsia="Arial"/>
        </w:rPr>
        <w:t xml:space="preserve"> as in </w:t>
      </w:r>
      <w:r w:rsidR="0053499E">
        <w:rPr>
          <w:rFonts w:eastAsia="Arial"/>
        </w:rPr>
        <w:fldChar w:fldCharType="begin"/>
      </w:r>
      <w:r w:rsidR="00754A8F">
        <w:rPr>
          <w:rFonts w:eastAsia="Arial"/>
        </w:rPr>
        <w:instrText xml:space="preserve"> REF _Ref513673647 \h </w:instrText>
      </w:r>
      <w:r w:rsidR="0053499E">
        <w:rPr>
          <w:rFonts w:eastAsia="Arial"/>
        </w:rPr>
      </w:r>
      <w:r w:rsidR="0053499E">
        <w:rPr>
          <w:rFonts w:eastAsia="Arial"/>
        </w:rPr>
        <w:fldChar w:fldCharType="separate"/>
      </w:r>
      <w:r w:rsidR="00754A8F">
        <w:t xml:space="preserve">Figure </w:t>
      </w:r>
      <w:r w:rsidR="00754A8F">
        <w:rPr>
          <w:noProof/>
        </w:rPr>
        <w:t>2</w:t>
      </w:r>
      <w:r w:rsidR="0053499E">
        <w:rPr>
          <w:rFonts w:eastAsia="Arial"/>
        </w:rPr>
        <w:fldChar w:fldCharType="end"/>
      </w:r>
      <w:r w:rsidR="00945EC5" w:rsidRPr="00193C16">
        <w:rPr>
          <w:rFonts w:eastAsia="Arial"/>
        </w:rPr>
        <w:t xml:space="preserve">. </w:t>
      </w:r>
    </w:p>
    <w:p w:rsidR="00754A8F" w:rsidRDefault="00754A8F" w:rsidP="00AC36ED">
      <w:pPr>
        <w:rPr>
          <w:rFonts w:eastAsia="Arial"/>
        </w:rPr>
      </w:pPr>
    </w:p>
    <w:p w:rsidR="006F56B8" w:rsidRDefault="006F56B8" w:rsidP="006F56B8">
      <w:pPr>
        <w:keepNext/>
        <w:jc w:val="center"/>
      </w:pPr>
      <w:r w:rsidRPr="006F56B8">
        <w:rPr>
          <w:rFonts w:eastAsia="Arial"/>
          <w:noProof/>
          <w:lang w:val="en-US" w:eastAsia="zh-CN"/>
        </w:rPr>
        <w:drawing>
          <wp:inline distT="0" distB="0" distL="0" distR="0">
            <wp:extent cx="4387755" cy="1781033"/>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60" cy="2376264"/>
                      <a:chOff x="179512" y="1844824"/>
                      <a:chExt cx="5040560" cy="2376264"/>
                    </a:xfrm>
                  </a:grpSpPr>
                  <a:grpSp>
                    <a:nvGrpSpPr>
                      <a:cNvPr id="93" name="组合 92"/>
                      <a:cNvGrpSpPr/>
                    </a:nvGrpSpPr>
                    <a:grpSpPr>
                      <a:xfrm>
                        <a:off x="179512" y="1844824"/>
                        <a:ext cx="5040560" cy="2376264"/>
                        <a:chOff x="179512" y="1844824"/>
                        <a:chExt cx="5040560" cy="2376264"/>
                      </a:xfrm>
                    </a:grpSpPr>
                    <a:sp>
                      <a:nvSpPr>
                        <a:cNvPr id="50" name="矩形 49"/>
                        <a:cNvSpPr/>
                      </a:nvSpPr>
                      <a:spPr>
                        <a:xfrm>
                          <a:off x="2771800" y="1916832"/>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179512" y="2060848"/>
                          <a:ext cx="638316"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sp>
                      <a:nvSpPr>
                        <a:cNvPr id="52" name="矩形 51"/>
                        <a:cNvSpPr/>
                      </a:nvSpPr>
                      <a:spPr>
                        <a:xfrm>
                          <a:off x="3923928" y="1916832"/>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TextBox 52"/>
                        <a:cNvSpPr txBox="1"/>
                      </a:nvSpPr>
                      <a:spPr>
                        <a:xfrm>
                          <a:off x="251520" y="3212976"/>
                          <a:ext cx="572593"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IAB-node</a:t>
                            </a:r>
                            <a:endParaRPr lang="en-US" sz="800" dirty="0"/>
                          </a:p>
                        </a:txBody>
                        <a:useSpRect/>
                      </a:txSp>
                    </a:sp>
                    <a:cxnSp>
                      <a:nvCxnSpPr>
                        <a:cNvPr id="55" name="直接连接符 54"/>
                        <a:cNvCxnSpPr/>
                      </a:nvCxnSpPr>
                      <a:spPr>
                        <a:xfrm>
                          <a:off x="1619672" y="1916832"/>
                          <a:ext cx="0" cy="23042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56" name="直接连接符 55"/>
                        <a:cNvCxnSpPr/>
                      </a:nvCxnSpPr>
                      <a:spPr>
                        <a:xfrm>
                          <a:off x="2771800" y="1916832"/>
                          <a:ext cx="0" cy="23042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57" name="直接连接符 56"/>
                        <a:cNvCxnSpPr/>
                      </a:nvCxnSpPr>
                      <a:spPr>
                        <a:xfrm>
                          <a:off x="3923928" y="1916832"/>
                          <a:ext cx="0" cy="23042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58" name="矩形 57"/>
                        <a:cNvSpPr/>
                      </a:nvSpPr>
                      <a:spPr>
                        <a:xfrm>
                          <a:off x="1763688" y="2708920"/>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TextBox 61"/>
                        <a:cNvSpPr txBox="1"/>
                      </a:nvSpPr>
                      <a:spPr>
                        <a:xfrm>
                          <a:off x="899592" y="2564904"/>
                          <a:ext cx="627095"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Backhaul </a:t>
                            </a:r>
                          </a:p>
                          <a:p>
                            <a:r>
                              <a:rPr lang="en-US" sz="800" dirty="0" smtClean="0"/>
                              <a:t>DL Rx time</a:t>
                            </a:r>
                            <a:endParaRPr lang="en-US" sz="800" dirty="0"/>
                          </a:p>
                        </a:txBody>
                        <a:useSpRect/>
                      </a:txSp>
                    </a:sp>
                    <a:sp>
                      <a:nvSpPr>
                        <a:cNvPr id="63" name="矩形 62"/>
                        <a:cNvSpPr/>
                      </a:nvSpPr>
                      <a:spPr>
                        <a:xfrm>
                          <a:off x="2915816" y="2708920"/>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4067944" y="2708920"/>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2627784" y="2996952"/>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3779912" y="2996952"/>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0" name="直接连接符 59"/>
                        <a:cNvCxnSpPr/>
                      </a:nvCxnSpPr>
                      <a:spPr>
                        <a:xfrm>
                          <a:off x="1619672" y="2204864"/>
                          <a:ext cx="144016" cy="504056"/>
                        </a:xfrm>
                        <a:prstGeom prst="line">
                          <a:avLst/>
                        </a:prstGeom>
                        <a:ln>
                          <a:tailEnd type="stealth"/>
                        </a:ln>
                      </a:spPr>
                      <a:style>
                        <a:lnRef idx="1">
                          <a:schemeClr val="accent1"/>
                        </a:lnRef>
                        <a:fillRef idx="0">
                          <a:schemeClr val="accent1"/>
                        </a:fillRef>
                        <a:effectRef idx="0">
                          <a:schemeClr val="accent1"/>
                        </a:effectRef>
                        <a:fontRef idx="minor">
                          <a:schemeClr val="tx1"/>
                        </a:fontRef>
                      </a:style>
                    </a:cxnSp>
                    <a:sp>
                      <a:nvSpPr>
                        <a:cNvPr id="69" name="矩形 68"/>
                        <a:cNvSpPr/>
                      </a:nvSpPr>
                      <a:spPr>
                        <a:xfrm>
                          <a:off x="2771800" y="2204864"/>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3923928" y="2204864"/>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2" name="直接箭头连接符 71"/>
                        <a:cNvCxnSpPr/>
                      </a:nvCxnSpPr>
                      <a:spPr>
                        <a:xfrm flipV="1">
                          <a:off x="1475656" y="2204864"/>
                          <a:ext cx="144016" cy="792088"/>
                        </a:xfrm>
                        <a:prstGeom prst="straightConnector1">
                          <a:avLst/>
                        </a:prstGeom>
                        <a:ln>
                          <a:solidFill>
                            <a:srgbClr val="00B050"/>
                          </a:solidFill>
                          <a:tailEnd type="stealth"/>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899592" y="2996952"/>
                          <a:ext cx="623889"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Backhaul </a:t>
                            </a:r>
                          </a:p>
                          <a:p>
                            <a:r>
                              <a:rPr lang="en-US" sz="800" dirty="0" smtClean="0"/>
                              <a:t>UL </a:t>
                            </a:r>
                            <a:r>
                              <a:rPr lang="en-US" sz="800" dirty="0" err="1" smtClean="0"/>
                              <a:t>Tx</a:t>
                            </a:r>
                            <a:r>
                              <a:rPr lang="en-US" sz="800" dirty="0" smtClean="0"/>
                              <a:t> time</a:t>
                            </a:r>
                            <a:endParaRPr lang="en-US" sz="800" dirty="0"/>
                          </a:p>
                        </a:txBody>
                        <a:useSpRect/>
                      </a:txSp>
                    </a:sp>
                    <a:sp>
                      <a:nvSpPr>
                        <a:cNvPr id="65" name="矩形 64"/>
                        <a:cNvSpPr/>
                      </a:nvSpPr>
                      <a:spPr>
                        <a:xfrm>
                          <a:off x="1475656" y="2996952"/>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1619672" y="3573016"/>
                          <a:ext cx="1152128" cy="28803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2771800" y="3573016"/>
                          <a:ext cx="1152128" cy="28803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3923928" y="3573016"/>
                          <a:ext cx="1152128" cy="28803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1619672" y="3861048"/>
                          <a:ext cx="1152128" cy="288032"/>
                        </a:xfrm>
                        <a:prstGeom prst="rect">
                          <a:avLst/>
                        </a:prstGeom>
                        <a:solidFill>
                          <a:srgbClr val="CEEAB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矩形 83"/>
                        <a:cNvSpPr/>
                      </a:nvSpPr>
                      <a:spPr>
                        <a:xfrm>
                          <a:off x="2771800" y="3861048"/>
                          <a:ext cx="1152128" cy="288032"/>
                        </a:xfrm>
                        <a:prstGeom prst="rect">
                          <a:avLst/>
                        </a:prstGeom>
                        <a:solidFill>
                          <a:srgbClr val="CEEAB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矩形 84"/>
                        <a:cNvSpPr/>
                      </a:nvSpPr>
                      <a:spPr>
                        <a:xfrm>
                          <a:off x="3923928" y="3861048"/>
                          <a:ext cx="1152128" cy="288032"/>
                        </a:xfrm>
                        <a:prstGeom prst="rect">
                          <a:avLst/>
                        </a:prstGeom>
                        <a:solidFill>
                          <a:srgbClr val="CEEAB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6" name="直接连接符 85"/>
                        <a:cNvCxnSpPr/>
                      </a:nvCxnSpPr>
                      <a:spPr>
                        <a:xfrm>
                          <a:off x="5076056" y="1916832"/>
                          <a:ext cx="0" cy="23042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87" name="TextBox 86"/>
                        <a:cNvSpPr txBox="1"/>
                      </a:nvSpPr>
                      <a:spPr>
                        <a:xfrm>
                          <a:off x="1043608" y="3501008"/>
                          <a:ext cx="492443"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Uu DL</a:t>
                            </a:r>
                            <a:endParaRPr lang="en-US" sz="800" dirty="0" smtClean="0"/>
                          </a:p>
                          <a:p>
                            <a:r>
                              <a:rPr lang="en-US" sz="800" dirty="0" err="1" smtClean="0"/>
                              <a:t>T</a:t>
                            </a:r>
                            <a:r>
                              <a:rPr lang="en-US" sz="800" dirty="0" err="1" smtClean="0"/>
                              <a:t>x</a:t>
                            </a:r>
                            <a:r>
                              <a:rPr lang="en-US" sz="800" dirty="0" smtClean="0"/>
                              <a:t> time</a:t>
                            </a:r>
                            <a:endParaRPr lang="en-US" sz="800" dirty="0"/>
                          </a:p>
                        </a:txBody>
                        <a:useSpRect/>
                      </a:txSp>
                    </a:sp>
                    <a:sp>
                      <a:nvSpPr>
                        <a:cNvPr id="88" name="TextBox 87"/>
                        <a:cNvSpPr txBox="1"/>
                      </a:nvSpPr>
                      <a:spPr>
                        <a:xfrm>
                          <a:off x="1043608" y="3861048"/>
                          <a:ext cx="498855"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Uu UL</a:t>
                            </a:r>
                            <a:endParaRPr lang="en-US" sz="800" dirty="0" smtClean="0"/>
                          </a:p>
                          <a:p>
                            <a:r>
                              <a:rPr lang="en-US" sz="800" dirty="0" smtClean="0"/>
                              <a:t>Rx time</a:t>
                            </a:r>
                            <a:endParaRPr lang="en-US" sz="800" dirty="0"/>
                          </a:p>
                        </a:txBody>
                        <a:useSpRect/>
                      </a:txSp>
                    </a:sp>
                    <a:sp>
                      <a:nvSpPr>
                        <a:cNvPr id="89" name="左大括号 88"/>
                        <a:cNvSpPr/>
                      </a:nvSpPr>
                      <a:spPr>
                        <a:xfrm>
                          <a:off x="755576" y="2564904"/>
                          <a:ext cx="155448" cy="1584176"/>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0" name="TextBox 89"/>
                        <a:cNvSpPr txBox="1"/>
                      </a:nvSpPr>
                      <a:spPr>
                        <a:xfrm>
                          <a:off x="899592" y="1844824"/>
                          <a:ext cx="745717"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Uu/Backhaul </a:t>
                            </a:r>
                          </a:p>
                          <a:p>
                            <a:r>
                              <a:rPr lang="en-US" sz="800" dirty="0" smtClean="0"/>
                              <a:t>DL </a:t>
                            </a:r>
                            <a:r>
                              <a:rPr lang="en-US" sz="800" dirty="0" err="1" smtClean="0"/>
                              <a:t>Tx</a:t>
                            </a:r>
                            <a:r>
                              <a:rPr lang="en-US" sz="800" dirty="0" smtClean="0"/>
                              <a:t> time</a:t>
                            </a:r>
                            <a:endParaRPr lang="en-US" sz="800" dirty="0"/>
                          </a:p>
                        </a:txBody>
                        <a:useSpRect/>
                      </a:txSp>
                    </a:sp>
                    <a:sp>
                      <a:nvSpPr>
                        <a:cNvPr id="49" name="矩形 48"/>
                        <a:cNvSpPr/>
                      </a:nvSpPr>
                      <a:spPr>
                        <a:xfrm>
                          <a:off x="1619672" y="1916832"/>
                          <a:ext cx="1152128" cy="288032"/>
                        </a:xfrm>
                        <a:prstGeom prst="rect">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TextBox 90"/>
                        <a:cNvSpPr txBox="1"/>
                      </a:nvSpPr>
                      <a:spPr>
                        <a:xfrm>
                          <a:off x="899592" y="2132856"/>
                          <a:ext cx="745717"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Uu/Backhaul </a:t>
                            </a:r>
                          </a:p>
                          <a:p>
                            <a:r>
                              <a:rPr lang="en-US" sz="800" dirty="0" smtClean="0"/>
                              <a:t>UL </a:t>
                            </a:r>
                            <a:r>
                              <a:rPr lang="en-US" sz="800" dirty="0" smtClean="0"/>
                              <a:t>R</a:t>
                            </a:r>
                            <a:r>
                              <a:rPr lang="en-US" sz="800" dirty="0" smtClean="0"/>
                              <a:t>x time</a:t>
                            </a:r>
                            <a:endParaRPr lang="en-US" sz="800" dirty="0"/>
                          </a:p>
                        </a:txBody>
                        <a:useSpRect/>
                      </a:txSp>
                    </a:sp>
                    <a:sp>
                      <a:nvSpPr>
                        <a:cNvPr id="68" name="矩形 67"/>
                        <a:cNvSpPr/>
                      </a:nvSpPr>
                      <a:spPr>
                        <a:xfrm>
                          <a:off x="1619672" y="2204864"/>
                          <a:ext cx="1152128" cy="288032"/>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 slot</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左大括号 91"/>
                        <a:cNvSpPr/>
                      </a:nvSpPr>
                      <a:spPr>
                        <a:xfrm>
                          <a:off x="755576" y="1844824"/>
                          <a:ext cx="144016" cy="64807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6F56B8" w:rsidRDefault="006F56B8" w:rsidP="006F56B8">
      <w:pPr>
        <w:pStyle w:val="ad"/>
        <w:jc w:val="center"/>
        <w:rPr>
          <w:rFonts w:eastAsia="Arial"/>
        </w:rPr>
      </w:pPr>
      <w:bookmarkStart w:id="4" w:name="_Ref513673647"/>
      <w:r>
        <w:t xml:space="preserve">Figure </w:t>
      </w:r>
      <w:fldSimple w:instr=" SEQ Figure \* ARABIC ">
        <w:r>
          <w:rPr>
            <w:noProof/>
          </w:rPr>
          <w:t>2</w:t>
        </w:r>
      </w:fldSimple>
      <w:bookmarkEnd w:id="4"/>
      <w:r>
        <w:rPr>
          <w:noProof/>
        </w:rPr>
        <w:t>: Tx/Rx timing of IAB-node backhaul link and Uu link</w:t>
      </w:r>
    </w:p>
    <w:p w:rsidR="006F56B8" w:rsidRDefault="006F56B8" w:rsidP="006F56B8">
      <w:pPr>
        <w:rPr>
          <w:rFonts w:eastAsia="Arial"/>
        </w:rPr>
      </w:pPr>
    </w:p>
    <w:p w:rsidR="006F56B8" w:rsidRPr="00193C16" w:rsidRDefault="006F56B8" w:rsidP="006F56B8">
      <w:pPr>
        <w:rPr>
          <w:rFonts w:eastAsia="Arial"/>
        </w:rPr>
      </w:pPr>
      <w:r w:rsidRPr="00193C16">
        <w:rPr>
          <w:rFonts w:eastAsia="Arial"/>
        </w:rPr>
        <w:t>In RA</w:t>
      </w:r>
      <w:r>
        <w:rPr>
          <w:rFonts w:eastAsia="Arial"/>
        </w:rPr>
        <w:t xml:space="preserve">N1#92bis, node synchronization were discussed with the following agreements, </w:t>
      </w:r>
    </w:p>
    <w:p w:rsidR="006F56B8" w:rsidRPr="00193C16" w:rsidRDefault="006F56B8" w:rsidP="006F56B8">
      <w:pPr>
        <w:numPr>
          <w:ilvl w:val="0"/>
          <w:numId w:val="28"/>
        </w:numPr>
        <w:overflowPunct/>
        <w:autoSpaceDE/>
        <w:autoSpaceDN/>
        <w:adjustRightInd/>
        <w:spacing w:before="60" w:after="120"/>
        <w:jc w:val="both"/>
        <w:textAlignment w:val="auto"/>
        <w:rPr>
          <w:rFonts w:eastAsia="Malgun Gothic"/>
          <w:lang w:eastAsia="ko-KR"/>
        </w:rPr>
      </w:pPr>
      <w:r w:rsidRPr="00193C16">
        <w:rPr>
          <w:rFonts w:eastAsia="Malgun Gothic"/>
          <w:lang w:eastAsia="ko-KR"/>
        </w:rPr>
        <w:t xml:space="preserve">Study the feasibility of over-the-air (OTA) synchronization and the impact of timing misalignment on IAB performance (e.g. the number of supportable hops). </w:t>
      </w:r>
    </w:p>
    <w:p w:rsidR="006F56B8" w:rsidRDefault="006F56B8" w:rsidP="006F56B8">
      <w:pPr>
        <w:numPr>
          <w:ilvl w:val="0"/>
          <w:numId w:val="28"/>
        </w:numPr>
        <w:overflowPunct/>
        <w:autoSpaceDE/>
        <w:autoSpaceDN/>
        <w:adjustRightInd/>
        <w:spacing w:before="60" w:after="120"/>
        <w:jc w:val="both"/>
        <w:textAlignment w:val="auto"/>
        <w:rPr>
          <w:rFonts w:eastAsia="Arial"/>
        </w:rPr>
      </w:pPr>
      <w:r w:rsidRPr="00193C16">
        <w:rPr>
          <w:rFonts w:eastAsia="Malgun Gothic"/>
          <w:lang w:eastAsia="ko-KR"/>
        </w:rPr>
        <w:t>Mechanisms for timing alignment across multi-hop NR-IAB networks should be studied.</w:t>
      </w:r>
      <w:r w:rsidRPr="00193C16">
        <w:rPr>
          <w:rFonts w:eastAsia="Arial"/>
        </w:rPr>
        <w:t xml:space="preserve"> </w:t>
      </w:r>
    </w:p>
    <w:p w:rsidR="00754A8F" w:rsidRDefault="00754A8F" w:rsidP="00754A8F">
      <w:pPr>
        <w:overflowPunct/>
        <w:autoSpaceDE/>
        <w:autoSpaceDN/>
        <w:adjustRightInd/>
        <w:spacing w:before="60" w:after="120"/>
        <w:jc w:val="both"/>
        <w:textAlignment w:val="auto"/>
        <w:rPr>
          <w:rFonts w:eastAsia="Arial"/>
        </w:rPr>
      </w:pPr>
    </w:p>
    <w:p w:rsidR="00754A8F" w:rsidRPr="00163FCD" w:rsidRDefault="00754A8F" w:rsidP="00A0391D">
      <w:pPr>
        <w:rPr>
          <w:rFonts w:eastAsia="Arial"/>
          <w:sz w:val="22"/>
        </w:rPr>
      </w:pPr>
      <w:r>
        <w:rPr>
          <w:rFonts w:eastAsia="Arial"/>
          <w:sz w:val="22"/>
        </w:rPr>
        <w:t>The over-the-air synchronization (OTA) techniques fo</w:t>
      </w:r>
      <w:r w:rsidR="00DA4FB8">
        <w:rPr>
          <w:rFonts w:eastAsia="Arial"/>
          <w:sz w:val="22"/>
        </w:rPr>
        <w:t>r node</w:t>
      </w:r>
      <w:r>
        <w:rPr>
          <w:rFonts w:eastAsia="Arial"/>
          <w:sz w:val="22"/>
        </w:rPr>
        <w:t xml:space="preserve"> synchronization have been discussed in UMTS Rel-99 and in LTE Rel-12/14.  The OTA synchronization is to have a slave node synchronized with the master node.  For IAB system, the IAB-node plays the role as an UE to synchronize with the Donor gNB.  The node synchronization accuracy in the IAB system depends on the quality of backhaul link and the frequency stability of local oscillator at both the Donor gNB and the IAB-node.  </w:t>
      </w:r>
      <w:r w:rsidR="00A0391D">
        <w:rPr>
          <w:rFonts w:eastAsia="Arial"/>
          <w:sz w:val="22"/>
        </w:rPr>
        <w:t xml:space="preserve">The interference and noise of the backhaul link would incur the synchronization error.  The drifting of the local oscillators at the Donor gNB and the </w:t>
      </w:r>
      <w:r w:rsidR="00DA4FB8">
        <w:rPr>
          <w:rFonts w:eastAsia="Arial"/>
          <w:sz w:val="22"/>
        </w:rPr>
        <w:t xml:space="preserve">IAB-node would double the synchronization error when the IAB-node would use the DL signals from the Donor gNB as the reference time.   The synchronization error would propagate when the network access timing at the IAB-node is derived from the backhaul timing, which is synchronized with the Donor gNB.  The OTA techniques would not achieve the accurate node synchronization for the IAB system.  </w:t>
      </w:r>
      <w:r w:rsidRPr="00163FCD">
        <w:rPr>
          <w:rFonts w:eastAsia="Arial"/>
          <w:sz w:val="22"/>
        </w:rPr>
        <w:t xml:space="preserve">To achieve </w:t>
      </w:r>
      <w:r w:rsidR="00DA4FB8">
        <w:rPr>
          <w:rFonts w:eastAsia="Arial"/>
          <w:sz w:val="22"/>
        </w:rPr>
        <w:t xml:space="preserve">desired accuracy of nodes </w:t>
      </w:r>
      <w:r w:rsidRPr="00163FCD">
        <w:rPr>
          <w:rFonts w:eastAsia="Arial"/>
          <w:sz w:val="22"/>
        </w:rPr>
        <w:t>synchronization across</w:t>
      </w:r>
      <w:r w:rsidR="00DA4FB8">
        <w:rPr>
          <w:rFonts w:eastAsia="Arial"/>
          <w:sz w:val="22"/>
        </w:rPr>
        <w:t xml:space="preserve"> IAB nodes in the</w:t>
      </w:r>
      <w:r w:rsidRPr="00163FCD">
        <w:rPr>
          <w:rFonts w:eastAsia="Arial"/>
          <w:sz w:val="22"/>
        </w:rPr>
        <w:t xml:space="preserve"> clu</w:t>
      </w:r>
      <w:r w:rsidR="00DA4FB8">
        <w:rPr>
          <w:rFonts w:eastAsia="Arial"/>
          <w:sz w:val="22"/>
        </w:rPr>
        <w:t>sters, the IAB-donors should be synchronized with absolute reference resources, such as GPS/GNSS</w:t>
      </w:r>
      <w:r w:rsidRPr="00163FCD">
        <w:rPr>
          <w:rFonts w:eastAsia="Arial"/>
          <w:sz w:val="22"/>
        </w:rPr>
        <w:t xml:space="preserve">. </w:t>
      </w:r>
    </w:p>
    <w:p w:rsidR="00754A8F" w:rsidRPr="00193C16" w:rsidRDefault="00754A8F" w:rsidP="00754A8F">
      <w:pPr>
        <w:overflowPunct/>
        <w:autoSpaceDE/>
        <w:autoSpaceDN/>
        <w:adjustRightInd/>
        <w:spacing w:before="60" w:after="120"/>
        <w:jc w:val="both"/>
        <w:textAlignment w:val="auto"/>
        <w:rPr>
          <w:rFonts w:eastAsia="Arial"/>
        </w:rPr>
      </w:pPr>
    </w:p>
    <w:p w:rsidR="00996E3B" w:rsidRDefault="00996E3B" w:rsidP="00996E3B">
      <w:pPr>
        <w:rPr>
          <w:rFonts w:eastAsia="Arial"/>
          <w:b/>
          <w:sz w:val="22"/>
        </w:rPr>
      </w:pPr>
      <w:r w:rsidRPr="00BB0E2E">
        <w:rPr>
          <w:rFonts w:eastAsia="Arial"/>
          <w:b/>
          <w:sz w:val="22"/>
        </w:rPr>
        <w:t xml:space="preserve">Proposal </w:t>
      </w:r>
      <w:r w:rsidR="00DA4FB8">
        <w:rPr>
          <w:rFonts w:eastAsia="Arial"/>
          <w:b/>
          <w:sz w:val="22"/>
        </w:rPr>
        <w:t>4</w:t>
      </w:r>
      <w:r w:rsidRPr="00BB0E2E">
        <w:rPr>
          <w:rFonts w:eastAsia="Arial"/>
          <w:b/>
          <w:sz w:val="22"/>
        </w:rPr>
        <w:t xml:space="preserve">: </w:t>
      </w:r>
      <w:r w:rsidR="00DA4FB8" w:rsidRPr="00DA4FB8">
        <w:rPr>
          <w:rFonts w:eastAsia="Arial"/>
          <w:b/>
          <w:sz w:val="22"/>
        </w:rPr>
        <w:t xml:space="preserve">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1A1571" w:rsidRDefault="001A1571" w:rsidP="00AC36ED">
      <w:pPr>
        <w:rPr>
          <w:rFonts w:eastAsia="Arial"/>
          <w:sz w:val="22"/>
        </w:rPr>
      </w:pPr>
    </w:p>
    <w:p w:rsidR="000035F2" w:rsidRPr="000035F2" w:rsidRDefault="000035F2" w:rsidP="000035F2">
      <w:pPr>
        <w:rPr>
          <w:rFonts w:eastAsia="SimSun"/>
          <w:lang w:eastAsia="zh-CN"/>
        </w:rPr>
      </w:pPr>
    </w:p>
    <w:p w:rsidR="00877A98" w:rsidRDefault="00877A98" w:rsidP="00FA4CFC">
      <w:pPr>
        <w:pStyle w:val="1"/>
        <w:rPr>
          <w:lang w:eastAsia="zh-CN"/>
        </w:rPr>
      </w:pPr>
      <w:r w:rsidRPr="00FA4CFC">
        <w:rPr>
          <w:lang w:eastAsia="zh-CN"/>
        </w:rPr>
        <w:t>Conclusion</w:t>
      </w:r>
    </w:p>
    <w:p w:rsidR="00B31DA8" w:rsidRPr="00B31DA8" w:rsidRDefault="00B31DA8" w:rsidP="00B31DA8">
      <w:pPr>
        <w:pStyle w:val="ad"/>
        <w:rPr>
          <w:rFonts w:eastAsia="Arial"/>
          <w:sz w:val="22"/>
        </w:rPr>
      </w:pPr>
      <w:r>
        <w:rPr>
          <w:rFonts w:eastAsia="Arial"/>
          <w:b w:val="0"/>
          <w:sz w:val="22"/>
        </w:rPr>
        <w:t>In this co</w:t>
      </w:r>
      <w:r w:rsidR="00BB531F">
        <w:rPr>
          <w:rFonts w:eastAsia="Arial"/>
          <w:b w:val="0"/>
          <w:sz w:val="22"/>
        </w:rPr>
        <w:t xml:space="preserve">ntribution, we provide some analysis on the system design aspect in support </w:t>
      </w:r>
      <w:r>
        <w:rPr>
          <w:rFonts w:eastAsia="Arial"/>
          <w:b w:val="0"/>
          <w:sz w:val="22"/>
        </w:rPr>
        <w:t>IAB</w:t>
      </w:r>
      <w:r w:rsidR="00BB531F">
        <w:rPr>
          <w:rFonts w:eastAsia="Arial"/>
          <w:b w:val="0"/>
          <w:sz w:val="22"/>
        </w:rPr>
        <w:t xml:space="preserve"> in NR with the following</w:t>
      </w:r>
      <w:r w:rsidRPr="00B31DA8">
        <w:rPr>
          <w:rFonts w:eastAsia="Arial"/>
          <w:b w:val="0"/>
          <w:sz w:val="22"/>
        </w:rPr>
        <w:t xml:space="preserve"> proposals:</w:t>
      </w:r>
    </w:p>
    <w:p w:rsidR="0080498F" w:rsidRPr="0080498F" w:rsidRDefault="0080498F" w:rsidP="0080498F">
      <w:pPr>
        <w:pStyle w:val="afc"/>
        <w:numPr>
          <w:ilvl w:val="0"/>
          <w:numId w:val="33"/>
        </w:numPr>
        <w:ind w:firstLineChars="0"/>
        <w:rPr>
          <w:bCs/>
        </w:rPr>
      </w:pPr>
      <w:r w:rsidRPr="0080498F">
        <w:rPr>
          <w:bCs/>
        </w:rPr>
        <w:t>Proposal 1:  The measurement for IAB-node discovery and initial access procedure should be provisioned, configured, and tested before the operation of an IAB node.</w:t>
      </w:r>
    </w:p>
    <w:p w:rsidR="0080498F" w:rsidRPr="0080498F" w:rsidRDefault="0080498F" w:rsidP="0080498F">
      <w:pPr>
        <w:pStyle w:val="afc"/>
        <w:numPr>
          <w:ilvl w:val="0"/>
          <w:numId w:val="33"/>
        </w:numPr>
        <w:ind w:firstLineChars="0"/>
        <w:rPr>
          <w:bCs/>
        </w:rPr>
      </w:pPr>
      <w:r w:rsidRPr="0080498F">
        <w:rPr>
          <w:bCs/>
        </w:rPr>
        <w:t xml:space="preserve">Proposal 2:  The IAB study should refine to the case that the IAB-node and the Donor gNB have different cell IDs.  </w:t>
      </w:r>
    </w:p>
    <w:p w:rsidR="0080498F" w:rsidRPr="0080498F" w:rsidRDefault="0080498F" w:rsidP="0080498F">
      <w:pPr>
        <w:pStyle w:val="afc"/>
        <w:numPr>
          <w:ilvl w:val="0"/>
          <w:numId w:val="33"/>
        </w:numPr>
        <w:ind w:firstLineChars="0"/>
        <w:rPr>
          <w:bCs/>
        </w:rPr>
      </w:pPr>
      <w:r w:rsidRPr="0080498F">
        <w:rPr>
          <w:bCs/>
        </w:rPr>
        <w:t xml:space="preserve">Proposal 3:  For inband backhaul access, the solution of handling self interference caused by transmission side lobe between backhaul link and access link should be studied.   </w:t>
      </w:r>
    </w:p>
    <w:p w:rsidR="00BB531F" w:rsidRPr="00BB531F" w:rsidRDefault="00BB531F" w:rsidP="00BB531F">
      <w:pPr>
        <w:pStyle w:val="afc"/>
        <w:numPr>
          <w:ilvl w:val="0"/>
          <w:numId w:val="33"/>
        </w:numPr>
        <w:ind w:firstLineChars="0"/>
        <w:rPr>
          <w:rFonts w:eastAsia="Arial"/>
          <w:sz w:val="22"/>
        </w:rPr>
      </w:pPr>
      <w:r w:rsidRPr="00BB531F">
        <w:rPr>
          <w:rFonts w:eastAsia="Arial"/>
          <w:sz w:val="22"/>
        </w:rPr>
        <w:t xml:space="preserve">Proposal 4: 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B31DA8" w:rsidRDefault="00B31DA8" w:rsidP="00DA3BDF">
      <w:pPr>
        <w:rPr>
          <w:rFonts w:eastAsia="Arial"/>
          <w:b/>
          <w:sz w:val="22"/>
        </w:rPr>
      </w:pPr>
    </w:p>
    <w:p w:rsidR="00996E3B" w:rsidRPr="00996E3B" w:rsidRDefault="00996E3B" w:rsidP="00996E3B">
      <w:pPr>
        <w:rPr>
          <w:rFonts w:eastAsia="Arial"/>
          <w:b/>
          <w:sz w:val="22"/>
        </w:rPr>
      </w:pPr>
    </w:p>
    <w:p w:rsidR="00A314B3" w:rsidRPr="006E13D1" w:rsidRDefault="00A314B3" w:rsidP="00DE0CBB">
      <w:pPr>
        <w:pStyle w:val="1"/>
      </w:pPr>
      <w:r w:rsidRPr="006E13D1">
        <w:t>References</w:t>
      </w:r>
    </w:p>
    <w:p w:rsidR="005014A7" w:rsidRPr="005014A7" w:rsidRDefault="00EC097B" w:rsidP="005014A7">
      <w:pPr>
        <w:pStyle w:val="2222"/>
        <w:numPr>
          <w:ilvl w:val="0"/>
          <w:numId w:val="31"/>
        </w:numPr>
        <w:spacing w:after="120" w:line="288" w:lineRule="auto"/>
        <w:ind w:firstLineChars="0"/>
        <w:jc w:val="left"/>
      </w:pPr>
      <w:bookmarkStart w:id="5" w:name="_Ref513630011"/>
      <w:r>
        <w:rPr>
          <w:rFonts w:cs="Times New Roman"/>
          <w:lang w:eastAsia="ko-KR"/>
        </w:rPr>
        <w:t>RP-172290</w:t>
      </w:r>
      <w:r w:rsidR="005014A7" w:rsidRPr="005014A7">
        <w:rPr>
          <w:rFonts w:cs="Times New Roman"/>
          <w:lang w:eastAsia="ko-KR"/>
        </w:rPr>
        <w:t xml:space="preserve">, </w:t>
      </w:r>
      <w:r w:rsidR="005014A7">
        <w:rPr>
          <w:rFonts w:cs="Times New Roman"/>
          <w:lang w:eastAsia="ko-KR"/>
        </w:rPr>
        <w:t>“</w:t>
      </w:r>
      <w:r w:rsidR="005014A7" w:rsidRPr="005014A7">
        <w:rPr>
          <w:rFonts w:cs="Times New Roman"/>
          <w:lang w:eastAsia="ko-KR"/>
        </w:rPr>
        <w:t>Study on Integrated Access and Backhaul for NR</w:t>
      </w:r>
      <w:r w:rsidR="005014A7">
        <w:rPr>
          <w:rFonts w:cs="Times New Roman"/>
          <w:lang w:eastAsia="ko-KR"/>
        </w:rPr>
        <w:t>”</w:t>
      </w:r>
      <w:r w:rsidR="005014A7" w:rsidRPr="005014A7">
        <w:rPr>
          <w:rFonts w:cs="Times New Roman"/>
          <w:lang w:eastAsia="ko-KR"/>
        </w:rPr>
        <w:t>, AT&amp;T, Qualcomm, Samsung.</w:t>
      </w:r>
      <w:bookmarkEnd w:id="5"/>
    </w:p>
    <w:p w:rsidR="005014A7" w:rsidRPr="005014A7" w:rsidRDefault="005014A7" w:rsidP="005014A7">
      <w:pPr>
        <w:pStyle w:val="2222"/>
        <w:numPr>
          <w:ilvl w:val="0"/>
          <w:numId w:val="31"/>
        </w:numPr>
        <w:spacing w:after="120" w:line="288" w:lineRule="auto"/>
        <w:ind w:firstLineChars="0"/>
        <w:jc w:val="left"/>
      </w:pPr>
      <w:r w:rsidRPr="005014A7">
        <w:t>R1-1804620</w:t>
      </w:r>
      <w:r>
        <w:t>, “</w:t>
      </w:r>
      <w:r w:rsidRPr="005014A7">
        <w:t>Enhancements to support NR backhaul links</w:t>
      </w:r>
      <w:r w:rsidRPr="005014A7">
        <w:tab/>
        <w:t>Nokia</w:t>
      </w:r>
      <w:r>
        <w:t>”</w:t>
      </w:r>
      <w:r w:rsidRPr="005014A7">
        <w:t>, Nokia Shanghai Bell</w:t>
      </w:r>
    </w:p>
    <w:p w:rsidR="005014A7" w:rsidRPr="005014A7" w:rsidRDefault="005014A7" w:rsidP="005014A7">
      <w:pPr>
        <w:pStyle w:val="afc"/>
        <w:numPr>
          <w:ilvl w:val="0"/>
          <w:numId w:val="31"/>
        </w:numPr>
        <w:ind w:firstLineChars="0"/>
      </w:pPr>
      <w:r w:rsidRPr="005014A7">
        <w:lastRenderedPageBreak/>
        <w:t>R1-1804662</w:t>
      </w:r>
      <w:r>
        <w:t>,”</w:t>
      </w:r>
      <w:r w:rsidRPr="005014A7">
        <w:t>Overview of Physical layer enhancements for IAB</w:t>
      </w:r>
      <w:r>
        <w:t xml:space="preserve">”, </w:t>
      </w:r>
      <w:r w:rsidRPr="005014A7">
        <w:t>AT&amp;T</w:t>
      </w:r>
    </w:p>
    <w:p w:rsidR="005014A7" w:rsidRPr="005014A7" w:rsidRDefault="005014A7" w:rsidP="005014A7">
      <w:pPr>
        <w:pStyle w:val="afc"/>
        <w:numPr>
          <w:ilvl w:val="0"/>
          <w:numId w:val="31"/>
        </w:numPr>
        <w:ind w:firstLineChars="0"/>
      </w:pPr>
      <w:r w:rsidRPr="005014A7">
        <w:t>R1-1804</w:t>
      </w:r>
      <w:r>
        <w:t>835, “</w:t>
      </w:r>
      <w:r w:rsidRPr="005014A7">
        <w:t>Enhancements to support NR backhaul links</w:t>
      </w:r>
      <w:r w:rsidRPr="005014A7">
        <w:tab/>
      </w:r>
      <w:r>
        <w:t xml:space="preserve">“, </w:t>
      </w:r>
      <w:r w:rsidRPr="005014A7">
        <w:t>Qualcomm Incorporated</w:t>
      </w:r>
    </w:p>
    <w:p w:rsidR="005014A7" w:rsidRPr="005014A7" w:rsidRDefault="005014A7" w:rsidP="005014A7">
      <w:pPr>
        <w:pStyle w:val="afc"/>
        <w:numPr>
          <w:ilvl w:val="0"/>
          <w:numId w:val="31"/>
        </w:numPr>
        <w:ind w:firstLineChars="0"/>
        <w:outlineLvl w:val="0"/>
      </w:pPr>
      <w:r w:rsidRPr="005014A7">
        <w:t>R1-1805673</w:t>
      </w:r>
      <w:r>
        <w:t>, “</w:t>
      </w:r>
      <w:r w:rsidRPr="005014A7">
        <w:t>Summary of 7.7.1 Enhancements to support NR backhaul links</w:t>
      </w:r>
      <w:r>
        <w:t>”, AT&amp;T</w:t>
      </w:r>
    </w:p>
    <w:p w:rsidR="005014A7" w:rsidRDefault="005014A7" w:rsidP="005014A7">
      <w:pPr>
        <w:pStyle w:val="2222"/>
        <w:spacing w:after="120" w:line="288" w:lineRule="auto"/>
        <w:ind w:firstLineChars="0"/>
        <w:jc w:val="left"/>
        <w:rPr>
          <w:rFonts w:cs="Times New Roman"/>
          <w:lang w:eastAsia="ko-KR"/>
        </w:rPr>
      </w:pPr>
    </w:p>
    <w:p w:rsidR="00402AF5" w:rsidRPr="00EE38E0" w:rsidRDefault="00402AF5" w:rsidP="005014A7">
      <w:pPr>
        <w:ind w:left="357"/>
      </w:pPr>
    </w:p>
    <w:p w:rsidR="00A314B3" w:rsidRPr="00581C51" w:rsidRDefault="00A314B3" w:rsidP="00A314B3">
      <w:pPr>
        <w:pStyle w:val="Doc-text2"/>
        <w:rPr>
          <w:rFonts w:ascii="Times New Roman" w:eastAsia="Times New Roman" w:hAnsi="Times New Roman"/>
          <w:sz w:val="22"/>
          <w:szCs w:val="20"/>
          <w:lang w:eastAsia="en-US"/>
        </w:rPr>
      </w:pPr>
    </w:p>
    <w:p w:rsidR="00586905" w:rsidRPr="00581C51" w:rsidRDefault="00586905" w:rsidP="00586905">
      <w:pPr>
        <w:pStyle w:val="Doc-text2"/>
        <w:rPr>
          <w:rFonts w:ascii="Times New Roman" w:eastAsia="Times New Roman" w:hAnsi="Times New Roman"/>
          <w:sz w:val="22"/>
          <w:szCs w:val="20"/>
          <w:lang w:eastAsia="en-US"/>
        </w:rPr>
      </w:pPr>
    </w:p>
    <w:sectPr w:rsidR="00586905" w:rsidRPr="00581C51"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706" w:rsidRDefault="00792706">
      <w:r>
        <w:separator/>
      </w:r>
    </w:p>
  </w:endnote>
  <w:endnote w:type="continuationSeparator" w:id="0">
    <w:p w:rsidR="00792706" w:rsidRDefault="007927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Meiryo"/>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A8" w:rsidRDefault="00F712A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706" w:rsidRDefault="00792706">
      <w:r>
        <w:separator/>
      </w:r>
    </w:p>
  </w:footnote>
  <w:footnote w:type="continuationSeparator" w:id="0">
    <w:p w:rsidR="00792706" w:rsidRDefault="007927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306DBB"/>
    <w:multiLevelType w:val="hybridMultilevel"/>
    <w:tmpl w:val="D870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6">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7"/>
  </w:num>
  <w:num w:numId="4">
    <w:abstractNumId w:val="12"/>
  </w:num>
  <w:num w:numId="5">
    <w:abstractNumId w:val="30"/>
  </w:num>
  <w:num w:numId="6">
    <w:abstractNumId w:val="5"/>
  </w:num>
  <w:num w:numId="7">
    <w:abstractNumId w:val="1"/>
  </w:num>
  <w:num w:numId="8">
    <w:abstractNumId w:val="22"/>
  </w:num>
  <w:num w:numId="9">
    <w:abstractNumId w:val="3"/>
  </w:num>
  <w:num w:numId="10">
    <w:abstractNumId w:val="18"/>
  </w:num>
  <w:num w:numId="11">
    <w:abstractNumId w:val="6"/>
  </w:num>
  <w:num w:numId="12">
    <w:abstractNumId w:val="25"/>
  </w:num>
  <w:num w:numId="13">
    <w:abstractNumId w:val="0"/>
  </w:num>
  <w:num w:numId="14">
    <w:abstractNumId w:val="20"/>
  </w:num>
  <w:num w:numId="15">
    <w:abstractNumId w:val="10"/>
  </w:num>
  <w:num w:numId="16">
    <w:abstractNumId w:val="24"/>
  </w:num>
  <w:num w:numId="17">
    <w:abstractNumId w:val="31"/>
  </w:num>
  <w:num w:numId="18">
    <w:abstractNumId w:val="23"/>
  </w:num>
  <w:num w:numId="19">
    <w:abstractNumId w:val="16"/>
  </w:num>
  <w:num w:numId="20">
    <w:abstractNumId w:val="14"/>
  </w:num>
  <w:num w:numId="21">
    <w:abstractNumId w:val="13"/>
  </w:num>
  <w:num w:numId="22">
    <w:abstractNumId w:val="9"/>
  </w:num>
  <w:num w:numId="23">
    <w:abstractNumId w:val="2"/>
  </w:num>
  <w:num w:numId="24">
    <w:abstractNumId w:val="29"/>
  </w:num>
  <w:num w:numId="25">
    <w:abstractNumId w:val="11"/>
  </w:num>
  <w:num w:numId="26">
    <w:abstractNumId w:val="26"/>
  </w:num>
  <w:num w:numId="27">
    <w:abstractNumId w:val="28"/>
  </w:num>
  <w:num w:numId="28">
    <w:abstractNumId w:val="27"/>
  </w:num>
  <w:num w:numId="29">
    <w:abstractNumId w:val="19"/>
  </w:num>
  <w:num w:numId="30">
    <w:abstractNumId w:val="7"/>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1D23"/>
    <w:rsid w:val="00002583"/>
    <w:rsid w:val="000035F2"/>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36F"/>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562"/>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43C"/>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5DAD"/>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19A2"/>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31F"/>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C16"/>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1D2"/>
    <w:rsid w:val="001B57DA"/>
    <w:rsid w:val="001B5A06"/>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AD9"/>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028"/>
    <w:rsid w:val="00243513"/>
    <w:rsid w:val="002436BD"/>
    <w:rsid w:val="0024385E"/>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CBF"/>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490"/>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58FB"/>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19B"/>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7FB"/>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248"/>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6D5"/>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307"/>
    <w:rsid w:val="0046639A"/>
    <w:rsid w:val="004668D4"/>
    <w:rsid w:val="004674B2"/>
    <w:rsid w:val="004676E5"/>
    <w:rsid w:val="004677D1"/>
    <w:rsid w:val="00467BE4"/>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3CDC"/>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152"/>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A5E"/>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4A7"/>
    <w:rsid w:val="00501A5B"/>
    <w:rsid w:val="00502279"/>
    <w:rsid w:val="0050247B"/>
    <w:rsid w:val="00502710"/>
    <w:rsid w:val="00502C94"/>
    <w:rsid w:val="00503307"/>
    <w:rsid w:val="00503D5E"/>
    <w:rsid w:val="00503E57"/>
    <w:rsid w:val="00503ECC"/>
    <w:rsid w:val="00504F54"/>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499E"/>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6AE7"/>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826"/>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1F7D"/>
    <w:rsid w:val="006034A7"/>
    <w:rsid w:val="00603D13"/>
    <w:rsid w:val="00604275"/>
    <w:rsid w:val="0060451A"/>
    <w:rsid w:val="00604847"/>
    <w:rsid w:val="00604D12"/>
    <w:rsid w:val="00604D2A"/>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AA0"/>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3CE"/>
    <w:rsid w:val="00693495"/>
    <w:rsid w:val="00693582"/>
    <w:rsid w:val="006939F6"/>
    <w:rsid w:val="0069446A"/>
    <w:rsid w:val="00694498"/>
    <w:rsid w:val="00694D5D"/>
    <w:rsid w:val="00694E59"/>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C7D76"/>
    <w:rsid w:val="006D004D"/>
    <w:rsid w:val="006D0DAB"/>
    <w:rsid w:val="006D135E"/>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56B8"/>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16F01"/>
    <w:rsid w:val="00721FBA"/>
    <w:rsid w:val="0072216B"/>
    <w:rsid w:val="00722C89"/>
    <w:rsid w:val="00723240"/>
    <w:rsid w:val="00723743"/>
    <w:rsid w:val="0072428F"/>
    <w:rsid w:val="00724347"/>
    <w:rsid w:val="007245D5"/>
    <w:rsid w:val="007246E8"/>
    <w:rsid w:val="00724826"/>
    <w:rsid w:val="00724D7B"/>
    <w:rsid w:val="00725705"/>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A8F"/>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234"/>
    <w:rsid w:val="00765421"/>
    <w:rsid w:val="0076546D"/>
    <w:rsid w:val="00766479"/>
    <w:rsid w:val="00766483"/>
    <w:rsid w:val="0076656F"/>
    <w:rsid w:val="00766A2B"/>
    <w:rsid w:val="007670F0"/>
    <w:rsid w:val="00767A6C"/>
    <w:rsid w:val="007707D4"/>
    <w:rsid w:val="00770991"/>
    <w:rsid w:val="00770C60"/>
    <w:rsid w:val="00770E78"/>
    <w:rsid w:val="00771D69"/>
    <w:rsid w:val="007726A7"/>
    <w:rsid w:val="007726F1"/>
    <w:rsid w:val="0077302C"/>
    <w:rsid w:val="00773B75"/>
    <w:rsid w:val="00773B9E"/>
    <w:rsid w:val="007742C2"/>
    <w:rsid w:val="007743F6"/>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706"/>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CA6"/>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2B6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98F"/>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7F7"/>
    <w:rsid w:val="0085498E"/>
    <w:rsid w:val="00855690"/>
    <w:rsid w:val="00855F51"/>
    <w:rsid w:val="008567D3"/>
    <w:rsid w:val="00856D48"/>
    <w:rsid w:val="00857A1F"/>
    <w:rsid w:val="00857ABD"/>
    <w:rsid w:val="008603B1"/>
    <w:rsid w:val="00862B09"/>
    <w:rsid w:val="00862E0F"/>
    <w:rsid w:val="00862F56"/>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5F2"/>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20CE"/>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313C"/>
    <w:rsid w:val="009C3492"/>
    <w:rsid w:val="009C3558"/>
    <w:rsid w:val="009C44A4"/>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91D"/>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275"/>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3F53"/>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0F"/>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3DA"/>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303"/>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0E"/>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06F9"/>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531F"/>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0E"/>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0AFE"/>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3F98"/>
    <w:rsid w:val="00C64373"/>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6A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732"/>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4FB8"/>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A53"/>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59E"/>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1F9"/>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2F5"/>
    <w:rsid w:val="00E36478"/>
    <w:rsid w:val="00E3668D"/>
    <w:rsid w:val="00E36AD0"/>
    <w:rsid w:val="00E373BD"/>
    <w:rsid w:val="00E402A1"/>
    <w:rsid w:val="00E40AA3"/>
    <w:rsid w:val="00E40FF7"/>
    <w:rsid w:val="00E4258C"/>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2B02"/>
    <w:rsid w:val="00EB3663"/>
    <w:rsid w:val="00EB3835"/>
    <w:rsid w:val="00EB3DEC"/>
    <w:rsid w:val="00EB4F2B"/>
    <w:rsid w:val="00EB58C7"/>
    <w:rsid w:val="00EB59A8"/>
    <w:rsid w:val="00EB621B"/>
    <w:rsid w:val="00EB643B"/>
    <w:rsid w:val="00EB73DA"/>
    <w:rsid w:val="00EC036E"/>
    <w:rsid w:val="00EC07E1"/>
    <w:rsid w:val="00EC097B"/>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3B"/>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37A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0EB"/>
    <w:rsid w:val="00FC147A"/>
    <w:rsid w:val="00FC174F"/>
    <w:rsid w:val="00FC1B09"/>
    <w:rsid w:val="00FC20C4"/>
    <w:rsid w:val="00FC36E4"/>
    <w:rsid w:val="00FC3C34"/>
    <w:rsid w:val="00FC45CE"/>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rFonts w:ascii="Arial" w:eastAsia="Arial"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w:basedOn w:val="a1"/>
    <w:next w:val="a1"/>
    <w:link w:val="Char0"/>
    <w:qFormat/>
    <w:rsid w:val="004A4093"/>
    <w:pPr>
      <w:spacing w:before="120" w:after="120"/>
    </w:pPr>
    <w:rPr>
      <w:b/>
    </w:rPr>
  </w:style>
  <w:style w:type="character" w:styleId="ae">
    <w:name w:val="Hyperlink"/>
    <w:basedOn w:val="a2"/>
    <w:uiPriority w:val="99"/>
    <w:rsid w:val="004A4093"/>
    <w:rPr>
      <w:color w:val="0000FF"/>
      <w:u w:val="single"/>
    </w:rPr>
  </w:style>
  <w:style w:type="character" w:styleId="af">
    <w:name w:val="FollowedHyperlink"/>
    <w:basedOn w:val="a2"/>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sid w:val="004A4093"/>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2"/>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C0008A"/>
    <w:rPr>
      <w:rFonts w:ascii="Arial" w:eastAsia="Times New Roman" w:hAnsi="Arial"/>
      <w:b/>
      <w:noProof/>
      <w:sz w:val="18"/>
      <w:lang w:val="en-GB" w:eastAsia="en-US" w:bidi="ar-SA"/>
    </w:rPr>
  </w:style>
  <w:style w:type="character" w:customStyle="1" w:styleId="Char4">
    <w:name w:val="样式 页眉 Char"/>
    <w:basedOn w:val="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basedOn w:val="a2"/>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a2"/>
    <w:rsid w:val="005557DE"/>
    <w:rPr>
      <w:rFonts w:ascii="Arial" w:eastAsia="SimSun"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a2"/>
    <w:link w:val="B3"/>
    <w:rsid w:val="005557DE"/>
    <w:rPr>
      <w:rFonts w:eastAsia="SimSun"/>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SimSun"/>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afd">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a1"/>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a2"/>
    <w:rsid w:val="000D5108"/>
    <w:rPr>
      <w:vanish w:val="0"/>
      <w:webHidden w:val="0"/>
      <w:color w:val="333333"/>
      <w:specVanish w:val="0"/>
    </w:rPr>
  </w:style>
  <w:style w:type="character" w:customStyle="1" w:styleId="Char0">
    <w:name w:val="题注 Char"/>
    <w:aliases w:val="cap Char1,cap Char Char,Caption Char Char,Caption Char1 Char Char,cap Char Char1 Char,Caption Char Char1 Char Char,cap Char2 Char"/>
    <w:link w:val="ad"/>
    <w:rsid w:val="00FA0E9F"/>
    <w:rPr>
      <w:rFonts w:eastAsia="Times New Roman"/>
      <w:b/>
      <w:lang w:val="en-GB" w:eastAsia="en-US"/>
    </w:rPr>
  </w:style>
  <w:style w:type="character" w:customStyle="1" w:styleId="Char2">
    <w:name w:val="批注文字 Char"/>
    <w:link w:val="af5"/>
    <w:rsid w:val="00607D22"/>
    <w:rPr>
      <w:rFonts w:ascii="Arial" w:eastAsia="–¾’©" w:hAnsi="Arial"/>
      <w:sz w:val="18"/>
      <w:lang w:val="en-GB" w:eastAsia="en-US"/>
    </w:rPr>
  </w:style>
  <w:style w:type="paragraph" w:styleId="afe">
    <w:name w:val="Normal (Web)"/>
    <w:basedOn w:val="a1"/>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a1"/>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a2"/>
    <w:link w:val="Doc-title"/>
    <w:rsid w:val="006E21B9"/>
    <w:rPr>
      <w:rFonts w:ascii="Arial" w:hAnsi="Arial"/>
      <w:szCs w:val="24"/>
      <w:lang w:val="en-GB" w:eastAsia="en-GB"/>
    </w:rPr>
  </w:style>
  <w:style w:type="character" w:customStyle="1" w:styleId="Char5">
    <w:name w:val="列出段落 Char"/>
    <w:link w:val="afc"/>
    <w:uiPriority w:val="34"/>
    <w:locked/>
    <w:rsid w:val="00B117C0"/>
    <w:rPr>
      <w:rFonts w:eastAsia="Times New Roman"/>
      <w:lang w:val="en-GB" w:eastAsia="en-US"/>
    </w:rPr>
  </w:style>
  <w:style w:type="paragraph" w:customStyle="1" w:styleId="DocInfo">
    <w:name w:val="DocInfo"/>
    <w:basedOn w:val="a1"/>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a1"/>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maintext">
    <w:name w:val="main text"/>
    <w:basedOn w:val="a1"/>
    <w:link w:val="maintextChar"/>
    <w:qFormat/>
    <w:rsid w:val="00767A6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67A6C"/>
    <w:rPr>
      <w:rFonts w:eastAsia="Malgun Gothic"/>
      <w:lang w:val="en-GB" w:eastAsia="ko-KR"/>
    </w:rPr>
  </w:style>
  <w:style w:type="paragraph" w:customStyle="1" w:styleId="2222">
    <w:name w:val="스타일 스타일 스타일 스타일 양쪽 첫 줄:  2 글자 + 첫 줄:  2 글자 + 첫 줄:  2 글자 + 첫 줄:  2..."/>
    <w:basedOn w:val="a1"/>
    <w:link w:val="2222Char"/>
    <w:rsid w:val="005014A7"/>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014A7"/>
    <w:rPr>
      <w:rFonts w:eastAsia="Malgun Gothic" w:cs="Batang"/>
      <w:lang w:val="en-GB"/>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2.xml><?xml version="1.0" encoding="utf-8"?>
<ds:datastoreItem xmlns:ds="http://schemas.openxmlformats.org/officeDocument/2006/customXml" ds:itemID="{35882515-ADC1-4D74-A55F-467CC961E9BF}">
  <ds:schemaRefs>
    <ds:schemaRef ds:uri="office.server.policy"/>
  </ds:schemaRefs>
</ds:datastoreItem>
</file>

<file path=customXml/itemProps3.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6.xml><?xml version="1.0" encoding="utf-8"?>
<ds:datastoreItem xmlns:ds="http://schemas.openxmlformats.org/officeDocument/2006/customXml" ds:itemID="{C3717C97-6689-4CC1-B160-A6980B47B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CATT</Company>
  <LinksUpToDate>false</LinksUpToDate>
  <CharactersWithSpaces>12226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IAB</dc:title>
  <dc:creator>FCC</dc:creator>
  <cp:lastModifiedBy>mateng</cp:lastModifiedBy>
  <cp:revision>3</cp:revision>
  <cp:lastPrinted>2016-08-09T16:44:00Z</cp:lastPrinted>
  <dcterms:created xsi:type="dcterms:W3CDTF">2018-05-12T00:32:00Z</dcterms:created>
  <dcterms:modified xsi:type="dcterms:W3CDTF">2018-05-12T03:22:00Z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NewReviewCycle">
    <vt:lpwstr/>
  </property>
  <property fmtid="{D5CDD505-2E9C-101B-9397-08002B2CF9AE}" pid="21" name="ContentTypeId">
    <vt:lpwstr>0x010100B09692573C08054E936A1BBD3D3E084A</vt:lpwstr>
  </property>
  <property fmtid="{D5CDD505-2E9C-101B-9397-08002B2CF9AE}" pid="22" name="_dlc_DocIdItemGuid">
    <vt:lpwstr>91e35fa0-67a0-47b6-933e-9c5f103d01b2</vt:lpwstr>
  </property>
</Properties>
</file>