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C1E" w:rsidRPr="00D63788" w:rsidRDefault="00413C1E" w:rsidP="00413C1E">
      <w:pPr>
        <w:tabs>
          <w:tab w:val="left" w:pos="1701"/>
          <w:tab w:val="right" w:pos="9072"/>
          <w:tab w:val="right" w:pos="10206"/>
        </w:tabs>
        <w:spacing w:after="80"/>
        <w:jc w:val="both"/>
        <w:rPr>
          <w:rFonts w:ascii="Arial" w:hAnsi="Arial"/>
          <w:b/>
          <w:sz w:val="24"/>
          <w:szCs w:val="24"/>
        </w:rPr>
      </w:pPr>
      <w:r w:rsidRPr="00D63788">
        <w:rPr>
          <w:rFonts w:ascii="Arial" w:hAnsi="Arial"/>
          <w:b/>
          <w:sz w:val="24"/>
          <w:szCs w:val="24"/>
        </w:rPr>
        <w:t xml:space="preserve">3GPP TSG RAN WG1 Meeting 90bis </w:t>
      </w:r>
      <w:r w:rsidRPr="00D63788">
        <w:rPr>
          <w:rFonts w:ascii="Arial" w:hAnsi="Arial"/>
          <w:b/>
          <w:sz w:val="24"/>
          <w:szCs w:val="24"/>
        </w:rPr>
        <w:tab/>
        <w:t>R1-17</w:t>
      </w:r>
      <w:r>
        <w:rPr>
          <w:rFonts w:ascii="Arial" w:hAnsi="Arial"/>
          <w:b/>
          <w:sz w:val="24"/>
          <w:szCs w:val="24"/>
        </w:rPr>
        <w:t>17314</w:t>
      </w:r>
    </w:p>
    <w:p w:rsidR="00413C1E" w:rsidRPr="00D63788" w:rsidRDefault="00413C1E" w:rsidP="00413C1E">
      <w:pPr>
        <w:tabs>
          <w:tab w:val="left" w:pos="1701"/>
          <w:tab w:val="right" w:pos="9072"/>
          <w:tab w:val="right" w:pos="10206"/>
        </w:tabs>
        <w:spacing w:after="80"/>
        <w:jc w:val="both"/>
        <w:rPr>
          <w:rFonts w:ascii="Arial" w:hAnsi="Arial"/>
          <w:b/>
          <w:sz w:val="24"/>
          <w:szCs w:val="24"/>
        </w:rPr>
      </w:pPr>
      <w:r w:rsidRPr="00D63788">
        <w:rPr>
          <w:rFonts w:ascii="Arial" w:hAnsi="Arial"/>
          <w:b/>
          <w:sz w:val="24"/>
          <w:szCs w:val="24"/>
        </w:rPr>
        <w:t>Prague, CZ, 9th – 13th</w:t>
      </w:r>
      <w:r w:rsidRPr="00D63788">
        <w:rPr>
          <w:rFonts w:ascii="Arial" w:hAnsi="Arial" w:hint="eastAsia"/>
          <w:b/>
          <w:sz w:val="24"/>
          <w:szCs w:val="24"/>
        </w:rPr>
        <w:t xml:space="preserve">, </w:t>
      </w:r>
      <w:r w:rsidRPr="00D63788">
        <w:rPr>
          <w:rFonts w:ascii="Arial" w:hAnsi="Arial"/>
          <w:b/>
          <w:sz w:val="24"/>
          <w:szCs w:val="24"/>
        </w:rPr>
        <w:t>October 201</w:t>
      </w:r>
      <w:r w:rsidRPr="00D63788">
        <w:rPr>
          <w:rFonts w:ascii="Arial" w:hAnsi="Arial" w:hint="eastAsia"/>
          <w:b/>
          <w:sz w:val="24"/>
          <w:szCs w:val="24"/>
        </w:rPr>
        <w:t>7</w:t>
      </w:r>
    </w:p>
    <w:p w:rsidR="00413C1E" w:rsidRPr="009C718A" w:rsidRDefault="00413C1E" w:rsidP="00413C1E">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t>5</w:t>
      </w:r>
    </w:p>
    <w:p w:rsidR="00413C1E" w:rsidRPr="009C718A" w:rsidRDefault="00413C1E" w:rsidP="00413C1E">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413C1E" w:rsidRPr="009C718A" w:rsidRDefault="00413C1E" w:rsidP="00413C1E">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8D0FC4">
        <w:rPr>
          <w:rFonts w:ascii="Arial" w:hAnsi="Arial"/>
          <w:b/>
          <w:sz w:val="24"/>
          <w:szCs w:val="24"/>
        </w:rPr>
        <w:t>On UE categories and capabilities in NR</w:t>
      </w:r>
    </w:p>
    <w:p w:rsidR="00413C1E" w:rsidRPr="009C718A" w:rsidRDefault="00413C1E" w:rsidP="00413C1E">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413C1E" w:rsidRPr="002B5BBB" w:rsidRDefault="00413C1E" w:rsidP="00413C1E">
      <w:pPr>
        <w:pStyle w:val="Heading1"/>
        <w:numPr>
          <w:ilvl w:val="0"/>
          <w:numId w:val="1"/>
        </w:numPr>
        <w:ind w:left="360"/>
        <w:jc w:val="both"/>
        <w:textAlignment w:val="auto"/>
        <w:rPr>
          <w:sz w:val="32"/>
        </w:rPr>
      </w:pPr>
      <w:r w:rsidRPr="002B5BBB">
        <w:rPr>
          <w:sz w:val="32"/>
        </w:rPr>
        <w:t>Introduction</w:t>
      </w:r>
    </w:p>
    <w:p w:rsidR="00413C1E" w:rsidRDefault="00413C1E" w:rsidP="00413C1E">
      <w:pPr>
        <w:jc w:val="both"/>
      </w:pPr>
      <w:r>
        <w:t xml:space="preserve"> In RAN1#AH3, RAN1 sent an LS reply to RAN2’s LS on UE categories and capabilities [4]. We discuss some related aspects in this document with respect to the RAN LS to RAN1 [2]. </w:t>
      </w:r>
    </w:p>
    <w:p w:rsidR="00413C1E" w:rsidRPr="00955CB8" w:rsidRDefault="00413C1E" w:rsidP="00413C1E">
      <w:pPr>
        <w:pStyle w:val="Heading1"/>
        <w:numPr>
          <w:ilvl w:val="0"/>
          <w:numId w:val="1"/>
        </w:numPr>
        <w:ind w:left="360"/>
        <w:jc w:val="both"/>
        <w:textAlignment w:val="auto"/>
        <w:rPr>
          <w:sz w:val="32"/>
        </w:rPr>
      </w:pPr>
      <w:r>
        <w:rPr>
          <w:sz w:val="32"/>
        </w:rPr>
        <w:t>Discussion</w:t>
      </w:r>
    </w:p>
    <w:p w:rsidR="00413C1E" w:rsidRDefault="00413C1E" w:rsidP="00413C1E">
      <w:pPr>
        <w:jc w:val="both"/>
        <w:rPr>
          <w:lang w:val="en-GB"/>
        </w:rPr>
      </w:pPr>
      <w:r>
        <w:rPr>
          <w:lang w:val="en-GB"/>
        </w:rPr>
        <w:t xml:space="preserve">In the LS reply to RAN2’s LS, </w:t>
      </w:r>
      <w:r w:rsidRPr="00F937A9">
        <w:rPr>
          <w:lang w:val="en-GB"/>
        </w:rPr>
        <w:t xml:space="preserve">RAN1 </w:t>
      </w:r>
      <w:r>
        <w:rPr>
          <w:lang w:val="en-GB"/>
        </w:rPr>
        <w:t>mention</w:t>
      </w:r>
      <w:r w:rsidRPr="00F937A9">
        <w:rPr>
          <w:lang w:val="en-GB"/>
        </w:rPr>
        <w:t xml:space="preserve">ed that an explicitly signalled UE category (for NR and NR-NR DC and MR-DC) is not </w:t>
      </w:r>
      <w:r>
        <w:rPr>
          <w:lang w:val="en-GB"/>
        </w:rPr>
        <w:t>required</w:t>
      </w:r>
      <w:r w:rsidRPr="00F937A9">
        <w:rPr>
          <w:lang w:val="en-GB"/>
        </w:rPr>
        <w:t xml:space="preserve"> if the UE supports a peak data rate at least eq</w:t>
      </w:r>
      <w:r>
        <w:rPr>
          <w:lang w:val="en-GB"/>
        </w:rPr>
        <w:t xml:space="preserve">ual to the calculated data rate based on signalled band combinations and baseband capabilities. This indicates that if there are cases where the UE supports a </w:t>
      </w:r>
      <w:r w:rsidRPr="003D4B7D">
        <w:rPr>
          <w:lang w:val="en-GB"/>
        </w:rPr>
        <w:t>lower peak rate than the peak rate from band comb</w:t>
      </w:r>
      <w:r>
        <w:rPr>
          <w:lang w:val="en-GB"/>
        </w:rPr>
        <w:t xml:space="preserve">ination and baseband capability, then there would be a need to explicitly indicate the peak rate supported by the UE. This may be done by explicit signalling of actual peak data rate, or similar mechanisms, such as indicating the supported peak rate in the baseband capabilities. </w:t>
      </w:r>
    </w:p>
    <w:p w:rsidR="00413C1E" w:rsidRDefault="00413C1E" w:rsidP="00413C1E">
      <w:pPr>
        <w:jc w:val="both"/>
        <w:rPr>
          <w:lang w:val="en-GB"/>
        </w:rPr>
      </w:pPr>
      <w:r w:rsidRPr="00C57E95">
        <w:t>In LTE,</w:t>
      </w:r>
      <w:r>
        <w:t xml:space="preserve"> modulation order is indicated per UE because it is considered as pure baseband capability. </w:t>
      </w:r>
      <w:r>
        <w:rPr>
          <w:lang w:val="en-GB"/>
        </w:rPr>
        <w:t>For NR and the case where</w:t>
      </w:r>
      <w:r w:rsidRPr="00F937A9">
        <w:rPr>
          <w:lang w:val="en-GB"/>
        </w:rPr>
        <w:t xml:space="preserve"> UE supports a peak data rate at least eq</w:t>
      </w:r>
      <w:r>
        <w:rPr>
          <w:lang w:val="en-GB"/>
        </w:rPr>
        <w:t xml:space="preserve">ual to the calculated data rate based on signalled band combinations and baseband capabilities, the modulation order can be included in or associated with the band combination. Otherwise, the UE </w:t>
      </w:r>
      <w:r>
        <w:t>will be forced to support higher data rate than actually required.</w:t>
      </w:r>
      <w:r>
        <w:rPr>
          <w:lang w:val="en-GB"/>
        </w:rPr>
        <w:t xml:space="preserve"> </w:t>
      </w:r>
    </w:p>
    <w:p w:rsidR="00413C1E" w:rsidRDefault="00413C1E" w:rsidP="00413C1E">
      <w:pPr>
        <w:jc w:val="both"/>
        <w:rPr>
          <w:color w:val="1F497D"/>
        </w:rPr>
      </w:pPr>
      <w:r>
        <w:rPr>
          <w:b/>
        </w:rPr>
        <w:t xml:space="preserve">Proposal </w:t>
      </w:r>
      <w:r>
        <w:rPr>
          <w:b/>
          <w:lang w:eastAsia="ko-KR"/>
        </w:rPr>
        <w:t>1: Modulation order is indicated in the corresponding band combinations or associated baseband capability.</w:t>
      </w:r>
    </w:p>
    <w:p w:rsidR="00413C1E" w:rsidRDefault="00413C1E" w:rsidP="00413C1E">
      <w:pPr>
        <w:jc w:val="both"/>
        <w:rPr>
          <w:lang w:eastAsia="ko-KR"/>
        </w:rPr>
      </w:pPr>
      <w:r>
        <w:t>W</w:t>
      </w:r>
      <w:r w:rsidRPr="00F937A9">
        <w:t>e see the</w:t>
      </w:r>
      <w:r>
        <w:t xml:space="preserve">re are </w:t>
      </w:r>
      <w:r w:rsidRPr="00F937A9">
        <w:t>benefit</w:t>
      </w:r>
      <w:r>
        <w:t xml:space="preserve">s in allowing </w:t>
      </w:r>
      <w:r w:rsidRPr="00F937A9">
        <w:t xml:space="preserve">decoupling peak data rate in baseband processing and </w:t>
      </w:r>
      <w:r>
        <w:t>calculated peak</w:t>
      </w:r>
      <w:r w:rsidRPr="00F937A9">
        <w:t xml:space="preserve"> data rate </w:t>
      </w:r>
      <w:r>
        <w:t>from</w:t>
      </w:r>
      <w:r w:rsidRPr="00F937A9">
        <w:t xml:space="preserve"> band co</w:t>
      </w:r>
      <w:r>
        <w:t>mbination/baseband capabilities</w:t>
      </w:r>
      <w:r w:rsidRPr="00F937A9">
        <w:t xml:space="preserve">. </w:t>
      </w:r>
      <w:r w:rsidRPr="006979DA">
        <w:rPr>
          <w:lang w:eastAsia="ko-KR"/>
        </w:rPr>
        <w:t>A peak rate supported by a UE can be lower than the peak data rate calculated based on band combination and baseband capability</w:t>
      </w:r>
      <w:r>
        <w:rPr>
          <w:lang w:eastAsia="ko-KR"/>
        </w:rPr>
        <w:t xml:space="preserve">. </w:t>
      </w:r>
      <w:r w:rsidRPr="00F937A9">
        <w:t xml:space="preserve">For example, the peak data rate based on </w:t>
      </w:r>
      <w:r>
        <w:t xml:space="preserve">certain </w:t>
      </w:r>
      <w:r w:rsidRPr="00F937A9">
        <w:t xml:space="preserve">band combination/baseband capabilities </w:t>
      </w:r>
      <w:r>
        <w:t>may</w:t>
      </w:r>
      <w:r w:rsidRPr="00F937A9">
        <w:t xml:space="preserve"> be achievable in very ideal scenario</w:t>
      </w:r>
      <w:r>
        <w:t>s</w:t>
      </w:r>
      <w:r w:rsidRPr="00F937A9">
        <w:t xml:space="preserve">. </w:t>
      </w:r>
      <w:r>
        <w:t>T</w:t>
      </w:r>
      <w:r w:rsidRPr="00F937A9">
        <w:t>he</w:t>
      </w:r>
      <w:r>
        <w:t xml:space="preserve">re can be cases where a UE support of a lower peak data rate (than the calculated peak data rate) would be beneficial in cases where it can provide benefit to the network in terms of increased system-level performance, such as increased peak data rate from network perspective.  </w:t>
      </w:r>
    </w:p>
    <w:p w:rsidR="00413C1E" w:rsidRDefault="00413C1E" w:rsidP="00413C1E">
      <w:pPr>
        <w:jc w:val="both"/>
      </w:pPr>
      <w:r>
        <w:t>In other cases, s</w:t>
      </w:r>
      <w:r w:rsidRPr="00F937A9">
        <w:t xml:space="preserve">imilar level of throughput </w:t>
      </w:r>
      <w:r>
        <w:t xml:space="preserve">(as calculated peak rate from a band combination/baseband capabilities) </w:t>
      </w:r>
      <w:r w:rsidRPr="00F937A9">
        <w:t xml:space="preserve">can be achievable without requiring such ideal scenario for example if the number of carriers is increased or BW is increased even without higher MIMO and high modulation although the UE can support higher MIMO and higher modulation. In this case, the target data rate in baseband processing doesn’t need to support the peak data rate calculated from band combination/baseband capabilities. </w:t>
      </w:r>
    </w:p>
    <w:p w:rsidR="00413C1E" w:rsidRDefault="00413C1E" w:rsidP="00413C1E">
      <w:pPr>
        <w:jc w:val="both"/>
      </w:pPr>
      <w:r>
        <w:t xml:space="preserve">Following table shows an example where actual peak rate is determined from calculated peak rate and signaled peak rate. Note that in cases where there is no explicit signaled peak rate, the actual peak rate can be determined form the calculated peak rate from the band combination and baseband capability signaling. </w:t>
      </w:r>
    </w:p>
    <w:p w:rsidR="00413C1E" w:rsidRDefault="00413C1E" w:rsidP="00413C1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Illustration of actual peak rate determination from calculated peak rate and signaled peak rate.</w:t>
      </w:r>
    </w:p>
    <w:tbl>
      <w:tblPr>
        <w:tblW w:w="6385" w:type="dxa"/>
        <w:jc w:val="center"/>
        <w:tblLook w:val="04A0" w:firstRow="1" w:lastRow="0" w:firstColumn="1" w:lastColumn="0" w:noHBand="0" w:noVBand="1"/>
      </w:tblPr>
      <w:tblGrid>
        <w:gridCol w:w="1615"/>
        <w:gridCol w:w="1260"/>
        <w:gridCol w:w="1440"/>
        <w:gridCol w:w="2070"/>
      </w:tblGrid>
      <w:tr w:rsidR="00413C1E" w:rsidRPr="00DD262C" w:rsidTr="00DD1B6F">
        <w:trPr>
          <w:trHeight w:val="288"/>
          <w:jc w:val="center"/>
        </w:trPr>
        <w:tc>
          <w:tcPr>
            <w:tcW w:w="1615"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5carriers, Scenario</w:t>
            </w:r>
          </w:p>
        </w:tc>
        <w:tc>
          <w:tcPr>
            <w:tcW w:w="1260" w:type="dxa"/>
            <w:tcBorders>
              <w:top w:val="single" w:sz="4" w:space="0" w:color="auto"/>
              <w:left w:val="nil"/>
              <w:bottom w:val="single" w:sz="4" w:space="0" w:color="auto"/>
              <w:right w:val="single" w:sz="4" w:space="0" w:color="auto"/>
            </w:tcBorders>
            <w:shd w:val="clear" w:color="000000" w:fill="D0CECE"/>
            <w:noWrap/>
            <w:vAlign w:val="bottom"/>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Calculated Peak Rate (Gbps)</w:t>
            </w:r>
          </w:p>
        </w:tc>
        <w:tc>
          <w:tcPr>
            <w:tcW w:w="1440" w:type="dxa"/>
            <w:tcBorders>
              <w:top w:val="single" w:sz="4" w:space="0" w:color="auto"/>
              <w:left w:val="nil"/>
              <w:bottom w:val="single" w:sz="4" w:space="0" w:color="auto"/>
              <w:right w:val="single" w:sz="4" w:space="0" w:color="auto"/>
            </w:tcBorders>
            <w:shd w:val="clear" w:color="000000" w:fill="D0CECE"/>
            <w:noWrap/>
            <w:vAlign w:val="bottom"/>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23B6E">
              <w:rPr>
                <w:rFonts w:eastAsia="Times New Roman"/>
                <w:color w:val="000000"/>
                <w:sz w:val="16"/>
                <w:szCs w:val="16"/>
              </w:rPr>
              <w:t>Signaled</w:t>
            </w:r>
            <w:r w:rsidRPr="00DD262C">
              <w:rPr>
                <w:rFonts w:eastAsia="Times New Roman"/>
                <w:color w:val="000000"/>
                <w:sz w:val="16"/>
                <w:szCs w:val="16"/>
              </w:rPr>
              <w:t xml:space="preserve"> Peak </w:t>
            </w:r>
            <w:r>
              <w:rPr>
                <w:rFonts w:eastAsia="Times New Roman"/>
                <w:color w:val="000000"/>
                <w:sz w:val="16"/>
                <w:szCs w:val="16"/>
              </w:rPr>
              <w:t>R</w:t>
            </w:r>
            <w:r w:rsidRPr="00DD262C">
              <w:rPr>
                <w:rFonts w:eastAsia="Times New Roman"/>
                <w:color w:val="000000"/>
                <w:sz w:val="16"/>
                <w:szCs w:val="16"/>
              </w:rPr>
              <w:t>ate (Gbps)</w:t>
            </w:r>
          </w:p>
        </w:tc>
        <w:tc>
          <w:tcPr>
            <w:tcW w:w="2070" w:type="dxa"/>
            <w:tcBorders>
              <w:top w:val="single" w:sz="4" w:space="0" w:color="auto"/>
              <w:left w:val="nil"/>
              <w:bottom w:val="single" w:sz="4" w:space="0" w:color="auto"/>
              <w:right w:val="single" w:sz="4" w:space="0" w:color="auto"/>
            </w:tcBorders>
            <w:shd w:val="clear" w:color="000000" w:fill="D0CECE"/>
            <w:noWrap/>
            <w:vAlign w:val="bottom"/>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 xml:space="preserve">Actual Peak </w:t>
            </w:r>
            <w:r>
              <w:rPr>
                <w:rFonts w:eastAsia="Times New Roman"/>
                <w:color w:val="000000"/>
                <w:sz w:val="16"/>
                <w:szCs w:val="16"/>
              </w:rPr>
              <w:t>R</w:t>
            </w:r>
            <w:r w:rsidRPr="00DD262C">
              <w:rPr>
                <w:rFonts w:eastAsia="Times New Roman"/>
                <w:color w:val="000000"/>
                <w:sz w:val="16"/>
                <w:szCs w:val="16"/>
              </w:rPr>
              <w:t>ate (Gbps)</w:t>
            </w:r>
          </w:p>
        </w:tc>
      </w:tr>
      <w:tr w:rsidR="00413C1E" w:rsidRPr="00DD262C" w:rsidTr="00DD1B6F">
        <w:trPr>
          <w:trHeight w:val="264"/>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lang w:val="en-GB"/>
              </w:rPr>
              <w:t>4x4 MIMO 256QAM</w:t>
            </w:r>
          </w:p>
        </w:tc>
        <w:tc>
          <w:tcPr>
            <w:tcW w:w="126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jc w:val="right"/>
              <w:textAlignment w:val="auto"/>
              <w:rPr>
                <w:rFonts w:eastAsia="Times New Roman"/>
                <w:color w:val="000000"/>
                <w:sz w:val="16"/>
                <w:szCs w:val="16"/>
              </w:rPr>
            </w:pPr>
            <w:r w:rsidRPr="00DD262C">
              <w:rPr>
                <w:rFonts w:eastAsia="Times New Roman"/>
                <w:color w:val="000000"/>
                <w:sz w:val="16"/>
                <w:szCs w:val="16"/>
              </w:rPr>
              <w:t>2</w:t>
            </w:r>
          </w:p>
        </w:tc>
        <w:tc>
          <w:tcPr>
            <w:tcW w:w="144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1.5</w:t>
            </w:r>
          </w:p>
        </w:tc>
        <w:tc>
          <w:tcPr>
            <w:tcW w:w="207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 xml:space="preserve">use min (2,1.5) </w:t>
            </w:r>
          </w:p>
        </w:tc>
      </w:tr>
      <w:tr w:rsidR="00413C1E" w:rsidRPr="00DD262C" w:rsidTr="00DD1B6F">
        <w:trPr>
          <w:trHeight w:val="288"/>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lang w:val="en-GB"/>
              </w:rPr>
              <w:t>4*4MIMO 64QAM</w:t>
            </w:r>
          </w:p>
        </w:tc>
        <w:tc>
          <w:tcPr>
            <w:tcW w:w="126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jc w:val="right"/>
              <w:textAlignment w:val="auto"/>
              <w:rPr>
                <w:rFonts w:eastAsia="Times New Roman"/>
                <w:color w:val="000000"/>
                <w:sz w:val="16"/>
                <w:szCs w:val="16"/>
              </w:rPr>
            </w:pPr>
            <w:r w:rsidRPr="00DD262C">
              <w:rPr>
                <w:rFonts w:eastAsia="Times New Roman"/>
                <w:color w:val="000000"/>
                <w:sz w:val="16"/>
                <w:szCs w:val="16"/>
              </w:rPr>
              <w:t>1.5</w:t>
            </w:r>
          </w:p>
        </w:tc>
        <w:tc>
          <w:tcPr>
            <w:tcW w:w="144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n/a or 1.5</w:t>
            </w:r>
          </w:p>
        </w:tc>
        <w:tc>
          <w:tcPr>
            <w:tcW w:w="207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use calculated</w:t>
            </w:r>
          </w:p>
        </w:tc>
      </w:tr>
      <w:tr w:rsidR="00413C1E" w:rsidRPr="00DD262C" w:rsidTr="00DD1B6F">
        <w:trPr>
          <w:trHeight w:val="312"/>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lang w:val="en-GB"/>
              </w:rPr>
              <w:t>2*2MIMO 256QAM</w:t>
            </w:r>
          </w:p>
        </w:tc>
        <w:tc>
          <w:tcPr>
            <w:tcW w:w="126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jc w:val="right"/>
              <w:textAlignment w:val="auto"/>
              <w:rPr>
                <w:rFonts w:eastAsia="Times New Roman"/>
                <w:color w:val="000000"/>
                <w:sz w:val="16"/>
                <w:szCs w:val="16"/>
              </w:rPr>
            </w:pPr>
            <w:r w:rsidRPr="00DD262C">
              <w:rPr>
                <w:rFonts w:eastAsia="Times New Roman"/>
                <w:color w:val="000000"/>
                <w:sz w:val="16"/>
                <w:szCs w:val="16"/>
                <w:lang w:val="en-GB"/>
              </w:rPr>
              <w:t>1</w:t>
            </w:r>
          </w:p>
        </w:tc>
        <w:tc>
          <w:tcPr>
            <w:tcW w:w="144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n/a or 1.5</w:t>
            </w:r>
          </w:p>
        </w:tc>
        <w:tc>
          <w:tcPr>
            <w:tcW w:w="207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use calculated</w:t>
            </w:r>
          </w:p>
        </w:tc>
      </w:tr>
      <w:tr w:rsidR="00413C1E" w:rsidRPr="00DD262C" w:rsidTr="00DD1B6F">
        <w:trPr>
          <w:trHeight w:val="219"/>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lang w:val="en-GB"/>
              </w:rPr>
              <w:t>2x2 MIMO 64QAM</w:t>
            </w:r>
          </w:p>
        </w:tc>
        <w:tc>
          <w:tcPr>
            <w:tcW w:w="126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jc w:val="right"/>
              <w:textAlignment w:val="auto"/>
              <w:rPr>
                <w:rFonts w:eastAsia="Times New Roman"/>
                <w:color w:val="000000"/>
                <w:sz w:val="16"/>
                <w:szCs w:val="16"/>
              </w:rPr>
            </w:pPr>
            <w:r w:rsidRPr="00DD262C">
              <w:rPr>
                <w:rFonts w:eastAsia="Times New Roman"/>
                <w:color w:val="000000"/>
                <w:sz w:val="16"/>
                <w:szCs w:val="16"/>
              </w:rPr>
              <w:t>0.75</w:t>
            </w:r>
          </w:p>
        </w:tc>
        <w:tc>
          <w:tcPr>
            <w:tcW w:w="144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n/a or 1.5</w:t>
            </w:r>
          </w:p>
        </w:tc>
        <w:tc>
          <w:tcPr>
            <w:tcW w:w="2070" w:type="dxa"/>
            <w:tcBorders>
              <w:top w:val="nil"/>
              <w:left w:val="nil"/>
              <w:bottom w:val="single" w:sz="4" w:space="0" w:color="auto"/>
              <w:right w:val="single" w:sz="4" w:space="0" w:color="auto"/>
            </w:tcBorders>
            <w:shd w:val="clear" w:color="auto" w:fill="auto"/>
            <w:vAlign w:val="center"/>
            <w:hideMark/>
          </w:tcPr>
          <w:p w:rsidR="00413C1E" w:rsidRPr="00DD262C" w:rsidRDefault="00413C1E" w:rsidP="00DD1B6F">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use calculated</w:t>
            </w:r>
          </w:p>
        </w:tc>
      </w:tr>
    </w:tbl>
    <w:p w:rsidR="00413C1E" w:rsidRPr="00F937A9" w:rsidRDefault="00413C1E" w:rsidP="00413C1E">
      <w:pPr>
        <w:jc w:val="both"/>
      </w:pPr>
    </w:p>
    <w:p w:rsidR="00413C1E" w:rsidRPr="00F937A9" w:rsidRDefault="00413C1E" w:rsidP="00413C1E">
      <w:pPr>
        <w:jc w:val="both"/>
      </w:pPr>
      <w:r w:rsidRPr="00F937A9">
        <w:lastRenderedPageBreak/>
        <w:t xml:space="preserve">In order to support </w:t>
      </w:r>
      <w:r>
        <w:t>the</w:t>
      </w:r>
      <w:r w:rsidRPr="00F937A9">
        <w:t xml:space="preserve"> case</w:t>
      </w:r>
      <w:r>
        <w:t>s discussed earlier</w:t>
      </w:r>
      <w:r w:rsidRPr="00F937A9">
        <w:t xml:space="preserve">, we propose to </w:t>
      </w:r>
      <w:r>
        <w:t>support</w:t>
      </w:r>
      <w:r w:rsidRPr="00F937A9">
        <w:t xml:space="preserve"> a per UE peak data rate signaling for both NSA and SA. The calculated data rate </w:t>
      </w:r>
      <w:r>
        <w:t>can still be supported</w:t>
      </w:r>
      <w:r w:rsidRPr="00F937A9">
        <w:t xml:space="preserve"> as peak data rate for the corresponding band combination/baseband capabilities if the calculated data rate is lower than the data rate indicated by the explicit signaling.</w:t>
      </w:r>
      <w:r>
        <w:t xml:space="preserve"> This can also be achieved by allowing a flexible mapping between band combinations and corresponding baseband capabilities that allows indication of lower peak rate. </w:t>
      </w:r>
    </w:p>
    <w:p w:rsidR="00413C1E" w:rsidRDefault="00413C1E" w:rsidP="00413C1E">
      <w:pPr>
        <w:jc w:val="both"/>
        <w:rPr>
          <w:lang w:val="en-GB"/>
        </w:rPr>
      </w:pPr>
      <w:r>
        <w:rPr>
          <w:lang w:val="en-GB"/>
        </w:rPr>
        <w:t xml:space="preserve">In NSA, the UE category for LTE and for NR can be defined separately. The peak data rate can be derived assumed as a minimum of calculated data rate and the peak data rate in the UE category. With this approach, inter-node coordination across LTE and NR can still be avoided. </w:t>
      </w:r>
    </w:p>
    <w:p w:rsidR="00413C1E" w:rsidRPr="002A0A0A" w:rsidRDefault="00413C1E" w:rsidP="00413C1E">
      <w:pPr>
        <w:rPr>
          <w:b/>
          <w:lang w:eastAsia="ko-KR"/>
        </w:rPr>
      </w:pPr>
      <w:r w:rsidRPr="002A0A0A">
        <w:rPr>
          <w:b/>
        </w:rPr>
        <w:t xml:space="preserve">Proposal </w:t>
      </w:r>
      <w:r w:rsidRPr="002A0A0A">
        <w:rPr>
          <w:b/>
          <w:lang w:eastAsia="ko-KR"/>
        </w:rPr>
        <w:t xml:space="preserve">2: UE peak data rate </w:t>
      </w:r>
      <w:r>
        <w:rPr>
          <w:b/>
          <w:lang w:eastAsia="ko-KR"/>
        </w:rPr>
        <w:t>is</w:t>
      </w:r>
      <w:r w:rsidRPr="002A0A0A">
        <w:rPr>
          <w:b/>
          <w:lang w:eastAsia="ko-KR"/>
        </w:rPr>
        <w:t xml:space="preserve"> explicitly signaled for NR SA. </w:t>
      </w:r>
    </w:p>
    <w:p w:rsidR="00413C1E" w:rsidRPr="002A0A0A" w:rsidRDefault="00413C1E" w:rsidP="00413C1E">
      <w:pPr>
        <w:rPr>
          <w:b/>
          <w:lang w:eastAsia="ko-KR"/>
        </w:rPr>
      </w:pPr>
      <w:r w:rsidRPr="002A0A0A">
        <w:rPr>
          <w:b/>
        </w:rPr>
        <w:t xml:space="preserve">Proposal </w:t>
      </w:r>
      <w:r w:rsidRPr="002A0A0A">
        <w:rPr>
          <w:b/>
          <w:lang w:eastAsia="ko-KR"/>
        </w:rPr>
        <w:t xml:space="preserve">3: UE peak data rate </w:t>
      </w:r>
      <w:r>
        <w:rPr>
          <w:b/>
          <w:lang w:eastAsia="ko-KR"/>
        </w:rPr>
        <w:t>is</w:t>
      </w:r>
      <w:r w:rsidRPr="002A0A0A">
        <w:rPr>
          <w:b/>
          <w:lang w:eastAsia="ko-KR"/>
        </w:rPr>
        <w:t xml:space="preserve"> explicitly signaled for LTE and NR separately for NSA. </w:t>
      </w:r>
    </w:p>
    <w:p w:rsidR="00413C1E" w:rsidRPr="002A0A0A" w:rsidRDefault="00413C1E" w:rsidP="00413C1E">
      <w:pPr>
        <w:rPr>
          <w:b/>
          <w:lang w:eastAsia="ko-KR"/>
        </w:rPr>
      </w:pPr>
      <w:r w:rsidRPr="002A0A0A">
        <w:rPr>
          <w:b/>
          <w:lang w:eastAsia="ko-KR"/>
        </w:rPr>
        <w:t xml:space="preserve">Proposal 4: Actual peak data rate </w:t>
      </w:r>
      <w:r>
        <w:rPr>
          <w:b/>
          <w:lang w:eastAsia="ko-KR"/>
        </w:rPr>
        <w:t>is</w:t>
      </w:r>
      <w:r w:rsidRPr="002A0A0A">
        <w:rPr>
          <w:b/>
          <w:lang w:eastAsia="ko-KR"/>
        </w:rPr>
        <w:t xml:space="preserve"> determined as the minimum of the calculated peak data rate and the explicitly indicated peak data rate. </w:t>
      </w:r>
    </w:p>
    <w:p w:rsidR="00413C1E" w:rsidRDefault="00413C1E" w:rsidP="00413C1E">
      <w:pPr>
        <w:pStyle w:val="Heading1"/>
        <w:numPr>
          <w:ilvl w:val="0"/>
          <w:numId w:val="1"/>
        </w:numPr>
        <w:ind w:left="360"/>
        <w:jc w:val="both"/>
        <w:textAlignment w:val="auto"/>
        <w:rPr>
          <w:sz w:val="32"/>
        </w:rPr>
      </w:pPr>
      <w:r>
        <w:rPr>
          <w:sz w:val="32"/>
        </w:rPr>
        <w:t>Proposals</w:t>
      </w:r>
    </w:p>
    <w:p w:rsidR="00413C1E" w:rsidRDefault="00413C1E" w:rsidP="00413C1E">
      <w:pPr>
        <w:jc w:val="both"/>
        <w:rPr>
          <w:b/>
        </w:rPr>
      </w:pPr>
      <w:r>
        <w:rPr>
          <w:b/>
        </w:rPr>
        <w:t xml:space="preserve">We propose the following with respect to UE category/capability signaling. </w:t>
      </w:r>
    </w:p>
    <w:p w:rsidR="00413C1E" w:rsidRDefault="00413C1E" w:rsidP="00413C1E">
      <w:pPr>
        <w:jc w:val="both"/>
        <w:rPr>
          <w:color w:val="1F497D"/>
        </w:rPr>
      </w:pPr>
      <w:r>
        <w:rPr>
          <w:b/>
        </w:rPr>
        <w:t xml:space="preserve">Proposal </w:t>
      </w:r>
      <w:r>
        <w:rPr>
          <w:b/>
          <w:lang w:eastAsia="ko-KR"/>
        </w:rPr>
        <w:t>1: Modulation order is indicated in the corresponding band combinations or associated baseband capability.</w:t>
      </w:r>
    </w:p>
    <w:p w:rsidR="00413C1E" w:rsidRPr="002A0A0A" w:rsidRDefault="00413C1E" w:rsidP="00413C1E">
      <w:pPr>
        <w:rPr>
          <w:b/>
          <w:lang w:eastAsia="ko-KR"/>
        </w:rPr>
      </w:pPr>
      <w:r w:rsidRPr="002A0A0A">
        <w:rPr>
          <w:b/>
        </w:rPr>
        <w:t xml:space="preserve">Proposal </w:t>
      </w:r>
      <w:r w:rsidRPr="002A0A0A">
        <w:rPr>
          <w:b/>
          <w:lang w:eastAsia="ko-KR"/>
        </w:rPr>
        <w:t xml:space="preserve">2: UE peak data rate </w:t>
      </w:r>
      <w:r>
        <w:rPr>
          <w:b/>
          <w:lang w:eastAsia="ko-KR"/>
        </w:rPr>
        <w:t>is</w:t>
      </w:r>
      <w:r w:rsidRPr="002A0A0A">
        <w:rPr>
          <w:b/>
          <w:lang w:eastAsia="ko-KR"/>
        </w:rPr>
        <w:t xml:space="preserve"> explicitly signaled for NR SA. </w:t>
      </w:r>
    </w:p>
    <w:p w:rsidR="00413C1E" w:rsidRPr="002A0A0A" w:rsidRDefault="00413C1E" w:rsidP="00413C1E">
      <w:pPr>
        <w:rPr>
          <w:b/>
          <w:lang w:eastAsia="ko-KR"/>
        </w:rPr>
      </w:pPr>
      <w:r w:rsidRPr="002A0A0A">
        <w:rPr>
          <w:b/>
        </w:rPr>
        <w:t xml:space="preserve">Proposal </w:t>
      </w:r>
      <w:r w:rsidRPr="002A0A0A">
        <w:rPr>
          <w:b/>
          <w:lang w:eastAsia="ko-KR"/>
        </w:rPr>
        <w:t xml:space="preserve">3: UE peak data rate </w:t>
      </w:r>
      <w:r>
        <w:rPr>
          <w:b/>
          <w:lang w:eastAsia="ko-KR"/>
        </w:rPr>
        <w:t>is</w:t>
      </w:r>
      <w:r w:rsidRPr="002A0A0A">
        <w:rPr>
          <w:b/>
          <w:lang w:eastAsia="ko-KR"/>
        </w:rPr>
        <w:t xml:space="preserve"> explicitly signaled for LTE and NR separately for NSA. </w:t>
      </w:r>
    </w:p>
    <w:p w:rsidR="00413C1E" w:rsidRPr="00195BA0" w:rsidRDefault="00413C1E" w:rsidP="00413C1E">
      <w:pPr>
        <w:rPr>
          <w:b/>
          <w:lang w:eastAsia="ko-KR"/>
        </w:rPr>
      </w:pPr>
      <w:r w:rsidRPr="002A0A0A">
        <w:rPr>
          <w:b/>
          <w:lang w:eastAsia="ko-KR"/>
        </w:rPr>
        <w:t xml:space="preserve">Proposal 4: Actual peak data rate </w:t>
      </w:r>
      <w:r>
        <w:rPr>
          <w:b/>
          <w:lang w:eastAsia="ko-KR"/>
        </w:rPr>
        <w:t>is</w:t>
      </w:r>
      <w:r w:rsidRPr="002A0A0A">
        <w:rPr>
          <w:b/>
          <w:lang w:eastAsia="ko-KR"/>
        </w:rPr>
        <w:t xml:space="preserve"> determined as the minimum of the calculated peak data rate and the explicitly indicated peak data rate. </w:t>
      </w:r>
    </w:p>
    <w:p w:rsidR="00413C1E" w:rsidRPr="00D37FC5" w:rsidRDefault="00413C1E" w:rsidP="00413C1E">
      <w:pPr>
        <w:pStyle w:val="Heading1"/>
        <w:numPr>
          <w:ilvl w:val="0"/>
          <w:numId w:val="1"/>
        </w:numPr>
        <w:ind w:left="360"/>
        <w:jc w:val="both"/>
        <w:textAlignment w:val="auto"/>
        <w:rPr>
          <w:sz w:val="32"/>
        </w:rPr>
      </w:pPr>
      <w:r w:rsidRPr="00D37FC5">
        <w:rPr>
          <w:sz w:val="32"/>
        </w:rPr>
        <w:t>References</w:t>
      </w:r>
    </w:p>
    <w:p w:rsidR="00413C1E" w:rsidRDefault="00413C1E" w:rsidP="00413C1E">
      <w:pPr>
        <w:spacing w:before="240"/>
        <w:jc w:val="both"/>
        <w:rPr>
          <w:lang w:val="en-GB"/>
        </w:rPr>
      </w:pPr>
      <w:r>
        <w:rPr>
          <w:lang w:val="en-GB"/>
        </w:rPr>
        <w:t xml:space="preserve">[1] </w:t>
      </w:r>
      <w:r w:rsidRPr="00E344A6">
        <w:rPr>
          <w:lang w:val="en-GB"/>
        </w:rPr>
        <w:t>R1-1715361</w:t>
      </w:r>
      <w:r w:rsidRPr="00E344A6">
        <w:rPr>
          <w:lang w:val="en-GB"/>
        </w:rPr>
        <w:tab/>
        <w:t>LS on UE categories and capabilities</w:t>
      </w:r>
      <w:r w:rsidRPr="00E344A6">
        <w:rPr>
          <w:lang w:val="en-GB"/>
        </w:rPr>
        <w:tab/>
        <w:t>RAN2, Ericsson</w:t>
      </w:r>
    </w:p>
    <w:p w:rsidR="00413C1E" w:rsidRDefault="00413C1E" w:rsidP="00413C1E">
      <w:pPr>
        <w:spacing w:before="240"/>
        <w:jc w:val="both"/>
        <w:rPr>
          <w:lang w:val="en-GB"/>
        </w:rPr>
      </w:pPr>
      <w:r>
        <w:rPr>
          <w:lang w:val="en-GB"/>
        </w:rPr>
        <w:t xml:space="preserve">[2] </w:t>
      </w:r>
      <w:r w:rsidRPr="00E344A6">
        <w:rPr>
          <w:lang w:val="en-GB"/>
        </w:rPr>
        <w:t>RP-172113</w:t>
      </w:r>
      <w:r w:rsidRPr="00E344A6">
        <w:rPr>
          <w:lang w:val="en-GB"/>
        </w:rPr>
        <w:tab/>
      </w:r>
      <w:r>
        <w:rPr>
          <w:lang w:val="en-GB"/>
        </w:rPr>
        <w:t>LS from RANP</w:t>
      </w:r>
    </w:p>
    <w:p w:rsidR="00413C1E" w:rsidRDefault="00413C1E" w:rsidP="00413C1E">
      <w:pPr>
        <w:spacing w:before="240"/>
        <w:jc w:val="both"/>
        <w:rPr>
          <w:lang w:val="en-GB"/>
        </w:rPr>
      </w:pPr>
      <w:r>
        <w:rPr>
          <w:lang w:val="en-GB"/>
        </w:rPr>
        <w:t xml:space="preserve">[3] R1-1716963 </w:t>
      </w:r>
      <w:r w:rsidRPr="00E344A6">
        <w:rPr>
          <w:lang w:val="en-GB"/>
        </w:rPr>
        <w:t>Reply LS to RAN2 for NR UE categories and</w:t>
      </w:r>
      <w:r>
        <w:rPr>
          <w:lang w:val="en-GB"/>
        </w:rPr>
        <w:t xml:space="preserve"> UE capabilities</w:t>
      </w:r>
      <w:r>
        <w:rPr>
          <w:lang w:val="en-GB"/>
        </w:rPr>
        <w:tab/>
        <w:t>RAN4, Ericsson</w:t>
      </w:r>
    </w:p>
    <w:p w:rsidR="00413C1E" w:rsidRPr="0030551F" w:rsidRDefault="00413C1E" w:rsidP="00413C1E">
      <w:pPr>
        <w:spacing w:before="240"/>
        <w:jc w:val="both"/>
        <w:rPr>
          <w:lang w:val="en-GB"/>
        </w:rPr>
      </w:pPr>
      <w:r>
        <w:rPr>
          <w:lang w:val="en-GB"/>
        </w:rPr>
        <w:t xml:space="preserve">[4] </w:t>
      </w:r>
      <w:r w:rsidRPr="00A05D71">
        <w:rPr>
          <w:lang w:val="en-GB"/>
        </w:rPr>
        <w:t>R1-1716924, LS from RAN1 to RAN</w:t>
      </w:r>
      <w:r>
        <w:rPr>
          <w:lang w:val="en-GB"/>
        </w:rPr>
        <w:t>2, RAN1#AH3, Sep 2017</w:t>
      </w:r>
    </w:p>
    <w:p w:rsidR="005A58A0" w:rsidRDefault="005A58A0">
      <w:bookmarkStart w:id="1" w:name="_GoBack"/>
      <w:bookmarkEnd w:id="1"/>
    </w:p>
    <w:sectPr w:rsidR="005A58A0" w:rsidSect="00B05A4B">
      <w:headerReference w:type="even" r:id="rId5"/>
      <w:footerReference w:type="even" r:id="rId6"/>
      <w:footerReference w:type="default" r:id="rId7"/>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A4B" w:rsidRDefault="00413C1E" w:rsidP="00B05A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5A4B" w:rsidRDefault="00413C1E" w:rsidP="00B05A4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840227700"/>
      <w:docPartObj>
        <w:docPartGallery w:val="Page Numbers (Bottom of Page)"/>
        <w:docPartUnique/>
      </w:docPartObj>
    </w:sdtPr>
    <w:sdtEndPr>
      <w:rPr>
        <w:noProof/>
        <w:color w:val="7F7F7F" w:themeColor="background1" w:themeShade="7F"/>
        <w:spacing w:val="60"/>
      </w:rPr>
    </w:sdtEndPr>
    <w:sdtContent>
      <w:p w:rsidR="00B05A4B" w:rsidRDefault="00413C1E">
        <w:pPr>
          <w:pStyle w:val="Footer"/>
          <w:pBdr>
            <w:top w:val="single" w:sz="4" w:space="1" w:color="D9D9D9" w:themeColor="background1" w:themeShade="D9"/>
          </w:pBdr>
          <w:jc w:val="right"/>
        </w:pPr>
        <w:r>
          <w:rPr>
            <w:noProof w:val="0"/>
          </w:rPr>
          <w:fldChar w:fldCharType="begin"/>
        </w:r>
        <w:r>
          <w:instrText xml:space="preserve"> PAGE   \* MERGEFORMAT </w:instrText>
        </w:r>
        <w:r>
          <w:rPr>
            <w:noProof w:val="0"/>
          </w:rPr>
          <w:fldChar w:fldCharType="separate"/>
        </w:r>
        <w:r>
          <w:t>2</w:t>
        </w:r>
        <w:r>
          <w:fldChar w:fldCharType="end"/>
        </w:r>
        <w:r>
          <w:t xml:space="preserve"> | </w:t>
        </w:r>
        <w:r>
          <w:rPr>
            <w:color w:val="7F7F7F" w:themeColor="background1" w:themeShade="7F"/>
            <w:spacing w:val="60"/>
          </w:rPr>
          <w:t>Page</w:t>
        </w:r>
      </w:p>
    </w:sdtContent>
  </w:sdt>
  <w:p w:rsidR="00B05A4B" w:rsidRDefault="00413C1E" w:rsidP="00B05A4B">
    <w:pPr>
      <w:pStyle w:val="Footer"/>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A4B" w:rsidRDefault="00413C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8401BC"/>
    <w:multiLevelType w:val="hybridMultilevel"/>
    <w:tmpl w:val="BBA43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C1E"/>
    <w:rsid w:val="00413C1E"/>
    <w:rsid w:val="005A5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36F4E6-A9C5-4E39-976F-05AB4F7FF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C1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413C1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13C1E"/>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413C1E"/>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413C1E"/>
    <w:rPr>
      <w:rFonts w:ascii="Arial" w:eastAsia="SimSun" w:hAnsi="Arial" w:cs="Times New Roman"/>
      <w:b/>
      <w:i/>
      <w:noProof/>
      <w:sz w:val="18"/>
      <w:szCs w:val="20"/>
    </w:rPr>
  </w:style>
  <w:style w:type="character" w:styleId="PageNumber">
    <w:name w:val="page number"/>
    <w:basedOn w:val="DefaultParagraphFont"/>
    <w:rsid w:val="00413C1E"/>
  </w:style>
  <w:style w:type="character" w:customStyle="1" w:styleId="Heading1Char1">
    <w:name w:val="Heading 1 Char1"/>
    <w:link w:val="Heading1"/>
    <w:rsid w:val="00413C1E"/>
    <w:rPr>
      <w:rFonts w:ascii="Arial" w:eastAsia="SimSun" w:hAnsi="Arial" w:cs="Times New Roman"/>
      <w:sz w:val="36"/>
      <w:szCs w:val="20"/>
      <w:lang w:val="en-GB"/>
    </w:rPr>
  </w:style>
  <w:style w:type="paragraph" w:styleId="Caption">
    <w:name w:val="caption"/>
    <w:basedOn w:val="Normal"/>
    <w:next w:val="Normal"/>
    <w:uiPriority w:val="35"/>
    <w:unhideWhenUsed/>
    <w:qFormat/>
    <w:rsid w:val="00413C1E"/>
    <w:pPr>
      <w:spacing w:after="200"/>
    </w:pPr>
    <w:rPr>
      <w:i/>
      <w:iCs/>
      <w:color w:val="44546A" w:themeColor="text2"/>
      <w:sz w:val="18"/>
      <w:szCs w:val="18"/>
    </w:rPr>
  </w:style>
  <w:style w:type="paragraph" w:styleId="Header">
    <w:name w:val="header"/>
    <w:basedOn w:val="Normal"/>
    <w:link w:val="HeaderChar"/>
    <w:uiPriority w:val="99"/>
    <w:semiHidden/>
    <w:unhideWhenUsed/>
    <w:rsid w:val="00413C1E"/>
    <w:pPr>
      <w:tabs>
        <w:tab w:val="center" w:pos="4680"/>
        <w:tab w:val="right" w:pos="9360"/>
      </w:tabs>
      <w:spacing w:after="0"/>
    </w:pPr>
  </w:style>
  <w:style w:type="character" w:customStyle="1" w:styleId="HeaderChar">
    <w:name w:val="Header Char"/>
    <w:basedOn w:val="DefaultParagraphFont"/>
    <w:link w:val="Header"/>
    <w:uiPriority w:val="99"/>
    <w:semiHidden/>
    <w:rsid w:val="00413C1E"/>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2017-10-03T05:19:00Z</dcterms:created>
  <dcterms:modified xsi:type="dcterms:W3CDTF">2017-10-03T05:20:00Z</dcterms:modified>
</cp:coreProperties>
</file>