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69B" w:rsidRPr="00AB369B" w:rsidRDefault="00AB369B" w:rsidP="00AB369B">
      <w:pPr>
        <w:tabs>
          <w:tab w:val="center" w:pos="4536"/>
          <w:tab w:val="right" w:pos="8280"/>
          <w:tab w:val="right" w:pos="9781"/>
        </w:tabs>
        <w:overflowPunct w:val="0"/>
        <w:autoSpaceDE w:val="0"/>
        <w:autoSpaceDN w:val="0"/>
        <w:adjustRightInd w:val="0"/>
        <w:spacing w:after="0" w:line="240" w:lineRule="auto"/>
        <w:ind w:right="-58"/>
        <w:textAlignment w:val="baseline"/>
        <w:rPr>
          <w:rFonts w:ascii="Arial" w:eastAsia="SimSun" w:hAnsi="Arial" w:cs="Arial"/>
          <w:b/>
          <w:bCs/>
          <w:sz w:val="24"/>
          <w:szCs w:val="24"/>
        </w:rPr>
      </w:pPr>
      <w:r w:rsidRPr="00AB369B">
        <w:rPr>
          <w:rFonts w:ascii="Arial" w:eastAsia="SimSun" w:hAnsi="Arial" w:cs="Arial"/>
          <w:b/>
          <w:bCs/>
          <w:sz w:val="24"/>
          <w:szCs w:val="24"/>
        </w:rPr>
        <w:t>3GPP TSG RAN WG1 Meeting #</w:t>
      </w:r>
      <w:r w:rsidRPr="00AB369B">
        <w:rPr>
          <w:rFonts w:ascii="Arial" w:eastAsia="MS Mincho" w:hAnsi="Arial" w:cs="Arial" w:hint="eastAsia"/>
          <w:b/>
          <w:bCs/>
          <w:sz w:val="24"/>
          <w:szCs w:val="24"/>
          <w:lang w:eastAsia="ja-JP"/>
        </w:rPr>
        <w:t>90</w:t>
      </w:r>
      <w:r w:rsidRPr="00AB369B">
        <w:rPr>
          <w:rFonts w:ascii="Arial" w:eastAsia="SimSun" w:hAnsi="Arial" w:cs="Arial" w:hint="eastAsia"/>
          <w:b/>
          <w:bCs/>
          <w:sz w:val="24"/>
          <w:szCs w:val="24"/>
        </w:rPr>
        <w:t xml:space="preserve">               </w:t>
      </w:r>
      <w:r w:rsidRPr="00AB369B">
        <w:rPr>
          <w:rFonts w:ascii="Arial" w:eastAsia="MS Mincho" w:hAnsi="Arial" w:cs="Arial" w:hint="eastAsia"/>
          <w:b/>
          <w:bCs/>
          <w:sz w:val="24"/>
          <w:szCs w:val="24"/>
          <w:lang w:eastAsia="ja-JP"/>
        </w:rPr>
        <w:t xml:space="preserve">                             </w:t>
      </w:r>
      <w:r w:rsidRPr="00AB369B">
        <w:rPr>
          <w:rFonts w:ascii="Arial" w:eastAsia="SimSun" w:hAnsi="Arial" w:cs="Arial"/>
          <w:b/>
          <w:bCs/>
          <w:sz w:val="24"/>
          <w:szCs w:val="24"/>
        </w:rPr>
        <w:tab/>
      </w:r>
      <w:r w:rsidRPr="00AB369B">
        <w:rPr>
          <w:rFonts w:ascii="Arial" w:eastAsia="SimSun" w:hAnsi="Arial" w:cs="Arial"/>
          <w:b/>
          <w:bCs/>
          <w:sz w:val="24"/>
          <w:szCs w:val="24"/>
        </w:rPr>
        <w:tab/>
        <w:t>R1-1</w:t>
      </w:r>
      <w:r w:rsidRPr="00AB369B">
        <w:rPr>
          <w:rFonts w:ascii="Arial" w:eastAsia="MS Mincho" w:hAnsi="Arial" w:cs="Arial" w:hint="eastAsia"/>
          <w:b/>
          <w:bCs/>
          <w:sz w:val="24"/>
          <w:szCs w:val="24"/>
          <w:lang w:eastAsia="ja-JP"/>
        </w:rPr>
        <w:t>7</w:t>
      </w:r>
      <w:r w:rsidRPr="00AB369B">
        <w:rPr>
          <w:rFonts w:ascii="Arial" w:eastAsia="SimSun" w:hAnsi="Arial" w:cs="Arial"/>
          <w:b/>
          <w:bCs/>
          <w:sz w:val="24"/>
          <w:szCs w:val="24"/>
        </w:rPr>
        <w:t>14123</w:t>
      </w:r>
    </w:p>
    <w:p w:rsidR="00AB369B" w:rsidRPr="00AB369B" w:rsidRDefault="00AB369B" w:rsidP="00AB369B">
      <w:pPr>
        <w:tabs>
          <w:tab w:val="center" w:pos="4536"/>
          <w:tab w:val="right" w:pos="9072"/>
        </w:tabs>
        <w:overflowPunct w:val="0"/>
        <w:autoSpaceDE w:val="0"/>
        <w:autoSpaceDN w:val="0"/>
        <w:adjustRightInd w:val="0"/>
        <w:spacing w:after="180" w:line="240" w:lineRule="auto"/>
        <w:textAlignment w:val="baseline"/>
        <w:rPr>
          <w:rFonts w:ascii="Arial" w:eastAsia="MS Mincho" w:hAnsi="Arial" w:cs="Arial"/>
          <w:b/>
          <w:bCs/>
          <w:sz w:val="24"/>
          <w:szCs w:val="24"/>
          <w:lang w:eastAsia="ja-JP"/>
        </w:rPr>
      </w:pPr>
      <w:r w:rsidRPr="00AB369B">
        <w:rPr>
          <w:rFonts w:ascii="Arial" w:eastAsia="MS Mincho" w:hAnsi="Arial" w:cs="Arial" w:hint="eastAsia"/>
          <w:b/>
          <w:bCs/>
          <w:sz w:val="24"/>
          <w:szCs w:val="24"/>
          <w:lang w:eastAsia="ja-JP"/>
        </w:rPr>
        <w:t>Prague</w:t>
      </w:r>
      <w:r w:rsidRPr="00AB369B">
        <w:rPr>
          <w:rFonts w:ascii="Arial" w:eastAsia="SimSun" w:hAnsi="Arial" w:cs="Arial"/>
          <w:b/>
          <w:bCs/>
          <w:sz w:val="24"/>
          <w:szCs w:val="24"/>
        </w:rPr>
        <w:t xml:space="preserve">, </w:t>
      </w:r>
      <w:r>
        <w:rPr>
          <w:rFonts w:ascii="Arial" w:eastAsia="MS Mincho" w:hAnsi="Arial" w:cs="Arial" w:hint="eastAsia"/>
          <w:b/>
          <w:bCs/>
          <w:sz w:val="24"/>
          <w:szCs w:val="24"/>
          <w:lang w:eastAsia="ja-JP"/>
        </w:rPr>
        <w:t>P.R. Czech</w:t>
      </w:r>
      <w:r>
        <w:rPr>
          <w:rFonts w:ascii="Arial" w:eastAsia="MS Mincho" w:hAnsi="Arial" w:cs="Arial"/>
          <w:b/>
          <w:bCs/>
          <w:sz w:val="24"/>
          <w:szCs w:val="24"/>
          <w:lang w:eastAsia="ja-JP"/>
        </w:rPr>
        <w:t xml:space="preserve"> Republic</w:t>
      </w:r>
      <w:bookmarkStart w:id="0" w:name="_GoBack"/>
      <w:bookmarkEnd w:id="0"/>
      <w:r w:rsidRPr="00AB369B">
        <w:rPr>
          <w:rFonts w:ascii="Arial" w:eastAsia="SimSun" w:hAnsi="Arial" w:cs="Arial"/>
          <w:b/>
          <w:bCs/>
          <w:sz w:val="24"/>
          <w:szCs w:val="24"/>
        </w:rPr>
        <w:t xml:space="preserve"> </w:t>
      </w:r>
      <w:r w:rsidRPr="00AB369B">
        <w:rPr>
          <w:rFonts w:ascii="Arial" w:eastAsia="MS Mincho" w:hAnsi="Arial" w:cs="Arial" w:hint="eastAsia"/>
          <w:b/>
          <w:bCs/>
          <w:sz w:val="24"/>
          <w:szCs w:val="24"/>
          <w:lang w:eastAsia="ja-JP"/>
        </w:rPr>
        <w:t xml:space="preserve">21th </w:t>
      </w:r>
      <w:r w:rsidRPr="00AB369B">
        <w:rPr>
          <w:rFonts w:ascii="Arial" w:eastAsia="SimSun" w:hAnsi="Arial" w:cs="Arial"/>
          <w:b/>
          <w:bCs/>
          <w:sz w:val="24"/>
          <w:szCs w:val="24"/>
        </w:rPr>
        <w:t xml:space="preserve">– </w:t>
      </w:r>
      <w:r w:rsidRPr="00AB369B">
        <w:rPr>
          <w:rFonts w:ascii="Arial" w:eastAsia="MS Mincho" w:hAnsi="Arial" w:cs="Arial" w:hint="eastAsia"/>
          <w:b/>
          <w:bCs/>
          <w:sz w:val="24"/>
          <w:szCs w:val="24"/>
          <w:lang w:eastAsia="ja-JP"/>
        </w:rPr>
        <w:t>25th</w:t>
      </w:r>
      <w:r w:rsidRPr="00AB369B">
        <w:rPr>
          <w:rFonts w:ascii="Arial" w:eastAsia="SimSun" w:hAnsi="Arial" w:cs="Arial"/>
          <w:b/>
          <w:bCs/>
          <w:sz w:val="24"/>
          <w:szCs w:val="24"/>
        </w:rPr>
        <w:t xml:space="preserve"> </w:t>
      </w:r>
      <w:r w:rsidRPr="00AB369B">
        <w:rPr>
          <w:rFonts w:ascii="Arial" w:eastAsia="MS Mincho" w:hAnsi="Arial" w:cs="Arial" w:hint="eastAsia"/>
          <w:b/>
          <w:bCs/>
          <w:sz w:val="24"/>
          <w:szCs w:val="24"/>
          <w:lang w:eastAsia="ja-JP"/>
        </w:rPr>
        <w:t>August</w:t>
      </w:r>
      <w:r w:rsidRPr="00AB369B">
        <w:rPr>
          <w:rFonts w:ascii="Arial" w:eastAsia="SimSun" w:hAnsi="Arial" w:cs="Arial"/>
          <w:b/>
          <w:bCs/>
          <w:sz w:val="24"/>
          <w:szCs w:val="24"/>
        </w:rPr>
        <w:t xml:space="preserve"> 201</w:t>
      </w:r>
      <w:r w:rsidRPr="00AB369B">
        <w:rPr>
          <w:rFonts w:ascii="Arial" w:eastAsia="MS Mincho" w:hAnsi="Arial" w:cs="Arial" w:hint="eastAsia"/>
          <w:b/>
          <w:bCs/>
          <w:sz w:val="24"/>
          <w:szCs w:val="24"/>
          <w:lang w:eastAsia="ja-JP"/>
        </w:rPr>
        <w:t>7</w:t>
      </w:r>
    </w:p>
    <w:p w:rsidR="00AB369B" w:rsidRPr="00AB369B" w:rsidRDefault="00AB369B" w:rsidP="00AB369B">
      <w:pPr>
        <w:tabs>
          <w:tab w:val="left" w:pos="1701"/>
          <w:tab w:val="right" w:pos="9072"/>
          <w:tab w:val="right" w:pos="10206"/>
        </w:tabs>
        <w:overflowPunct w:val="0"/>
        <w:autoSpaceDE w:val="0"/>
        <w:autoSpaceDN w:val="0"/>
        <w:adjustRightInd w:val="0"/>
        <w:spacing w:after="80" w:line="240" w:lineRule="auto"/>
        <w:textAlignment w:val="baseline"/>
        <w:rPr>
          <w:rFonts w:ascii="Arial" w:eastAsia="SimSun" w:hAnsi="Arial" w:cs="Times New Roman"/>
          <w:b/>
          <w:sz w:val="24"/>
          <w:szCs w:val="24"/>
        </w:rPr>
      </w:pPr>
      <w:r w:rsidRPr="00AB369B">
        <w:rPr>
          <w:rFonts w:ascii="Arial" w:eastAsia="SimSun" w:hAnsi="Arial" w:cs="Times New Roman"/>
          <w:b/>
          <w:sz w:val="24"/>
          <w:szCs w:val="24"/>
        </w:rPr>
        <w:t>Agenda Item:</w:t>
      </w:r>
      <w:r w:rsidRPr="00AB369B">
        <w:rPr>
          <w:rFonts w:ascii="Arial" w:eastAsia="SimSun" w:hAnsi="Arial" w:cs="Times New Roman"/>
          <w:b/>
          <w:sz w:val="24"/>
          <w:szCs w:val="24"/>
        </w:rPr>
        <w:tab/>
        <w:t>6.1.3.3.6.3</w:t>
      </w:r>
    </w:p>
    <w:p w:rsidR="00AB369B" w:rsidRPr="00AB369B" w:rsidRDefault="00AB369B" w:rsidP="00AB369B">
      <w:pPr>
        <w:tabs>
          <w:tab w:val="left" w:pos="1701"/>
          <w:tab w:val="right" w:pos="9072"/>
          <w:tab w:val="right" w:pos="10206"/>
        </w:tabs>
        <w:overflowPunct w:val="0"/>
        <w:autoSpaceDE w:val="0"/>
        <w:autoSpaceDN w:val="0"/>
        <w:adjustRightInd w:val="0"/>
        <w:spacing w:after="80" w:line="240" w:lineRule="auto"/>
        <w:textAlignment w:val="baseline"/>
        <w:rPr>
          <w:rFonts w:ascii="Arial" w:eastAsia="SimSun" w:hAnsi="Arial" w:cs="Times New Roman"/>
          <w:b/>
          <w:sz w:val="24"/>
          <w:szCs w:val="24"/>
        </w:rPr>
      </w:pPr>
      <w:r w:rsidRPr="00AB369B">
        <w:rPr>
          <w:rFonts w:ascii="Arial" w:eastAsia="SimSun" w:hAnsi="Arial" w:cs="Times New Roman"/>
          <w:b/>
          <w:sz w:val="24"/>
          <w:szCs w:val="24"/>
        </w:rPr>
        <w:t xml:space="preserve">Source: </w:t>
      </w:r>
      <w:r w:rsidRPr="00AB369B">
        <w:rPr>
          <w:rFonts w:ascii="Arial" w:eastAsia="SimSun" w:hAnsi="Arial" w:cs="Times New Roman"/>
          <w:b/>
          <w:sz w:val="24"/>
          <w:szCs w:val="24"/>
        </w:rPr>
        <w:tab/>
        <w:t>Intel Corporation</w:t>
      </w:r>
    </w:p>
    <w:p w:rsidR="00AB369B" w:rsidRPr="00AB369B" w:rsidRDefault="00AB369B" w:rsidP="00AB369B">
      <w:pPr>
        <w:tabs>
          <w:tab w:val="left" w:pos="1701"/>
          <w:tab w:val="right" w:pos="9072"/>
          <w:tab w:val="right" w:pos="10206"/>
        </w:tabs>
        <w:overflowPunct w:val="0"/>
        <w:autoSpaceDE w:val="0"/>
        <w:autoSpaceDN w:val="0"/>
        <w:adjustRightInd w:val="0"/>
        <w:spacing w:after="80" w:line="240" w:lineRule="auto"/>
        <w:textAlignment w:val="baseline"/>
        <w:rPr>
          <w:rFonts w:ascii="Arial" w:eastAsia="SimSun" w:hAnsi="Arial" w:cs="Times New Roman"/>
          <w:b/>
          <w:sz w:val="24"/>
          <w:szCs w:val="24"/>
        </w:rPr>
      </w:pPr>
      <w:r w:rsidRPr="00AB369B">
        <w:rPr>
          <w:rFonts w:ascii="Arial" w:eastAsia="SimSun" w:hAnsi="Arial" w:cs="Times New Roman"/>
          <w:b/>
          <w:sz w:val="24"/>
          <w:szCs w:val="24"/>
        </w:rPr>
        <w:t>Title:</w:t>
      </w:r>
      <w:bookmarkStart w:id="1" w:name="Title"/>
      <w:bookmarkEnd w:id="1"/>
      <w:r w:rsidRPr="00AB369B">
        <w:rPr>
          <w:rFonts w:ascii="Arial" w:eastAsia="SimSun" w:hAnsi="Arial" w:cs="Times New Roman"/>
          <w:b/>
          <w:sz w:val="24"/>
          <w:szCs w:val="24"/>
        </w:rPr>
        <w:tab/>
        <w:t xml:space="preserve">Soft-buffer management for LTE-NR dual connectivity </w:t>
      </w:r>
    </w:p>
    <w:p w:rsidR="00AB369B" w:rsidRPr="00AB369B" w:rsidRDefault="00AB369B" w:rsidP="00AB369B">
      <w:pPr>
        <w:tabs>
          <w:tab w:val="left" w:pos="1701"/>
          <w:tab w:val="right" w:pos="9072"/>
          <w:tab w:val="right" w:pos="10206"/>
        </w:tabs>
        <w:overflowPunct w:val="0"/>
        <w:autoSpaceDE w:val="0"/>
        <w:autoSpaceDN w:val="0"/>
        <w:adjustRightInd w:val="0"/>
        <w:spacing w:after="80" w:line="240" w:lineRule="auto"/>
        <w:textAlignment w:val="baseline"/>
        <w:rPr>
          <w:rFonts w:ascii="Arial" w:eastAsia="SimSun" w:hAnsi="Arial" w:cs="Times New Roman"/>
          <w:b/>
          <w:sz w:val="24"/>
          <w:szCs w:val="24"/>
        </w:rPr>
      </w:pPr>
      <w:r w:rsidRPr="00AB369B">
        <w:rPr>
          <w:rFonts w:ascii="Arial" w:eastAsia="SimSun" w:hAnsi="Arial" w:cs="Times New Roman"/>
          <w:b/>
          <w:sz w:val="24"/>
          <w:szCs w:val="24"/>
        </w:rPr>
        <w:t>Document for:</w:t>
      </w:r>
      <w:r w:rsidRPr="00AB369B">
        <w:rPr>
          <w:rFonts w:ascii="Arial" w:eastAsia="SimSun" w:hAnsi="Arial" w:cs="Times New Roman"/>
          <w:b/>
          <w:sz w:val="24"/>
          <w:szCs w:val="24"/>
        </w:rPr>
        <w:tab/>
        <w:t>Discussion/Decision</w:t>
      </w:r>
    </w:p>
    <w:p w:rsidR="00AB369B" w:rsidRPr="00AB369B" w:rsidRDefault="00AB369B" w:rsidP="00AB369B">
      <w:pPr>
        <w:keepNext/>
        <w:keepLines/>
        <w:numPr>
          <w:ilvl w:val="0"/>
          <w:numId w:val="2"/>
        </w:numPr>
        <w:pBdr>
          <w:top w:val="single" w:sz="12" w:space="3" w:color="auto"/>
        </w:pBdr>
        <w:overflowPunct w:val="0"/>
        <w:autoSpaceDE w:val="0"/>
        <w:autoSpaceDN w:val="0"/>
        <w:adjustRightInd w:val="0"/>
        <w:spacing w:before="240" w:after="180" w:line="240" w:lineRule="auto"/>
        <w:ind w:left="360"/>
        <w:textAlignment w:val="baseline"/>
        <w:outlineLvl w:val="0"/>
        <w:rPr>
          <w:rFonts w:ascii="Arial" w:eastAsia="SimSun" w:hAnsi="Arial" w:cs="Times New Roman"/>
          <w:sz w:val="32"/>
          <w:szCs w:val="20"/>
          <w:lang w:val="en-GB"/>
        </w:rPr>
      </w:pPr>
      <w:r w:rsidRPr="00AB369B">
        <w:rPr>
          <w:rFonts w:ascii="Arial" w:eastAsia="SimSun" w:hAnsi="Arial" w:cs="Times New Roman"/>
          <w:sz w:val="32"/>
          <w:szCs w:val="20"/>
          <w:lang w:val="en-GB"/>
        </w:rPr>
        <w:t>Introduction</w:t>
      </w:r>
    </w:p>
    <w:p w:rsidR="00AB369B" w:rsidRPr="00AB369B" w:rsidRDefault="00AB369B" w:rsidP="00AB369B">
      <w:pPr>
        <w:overflowPunct w:val="0"/>
        <w:autoSpaceDE w:val="0"/>
        <w:autoSpaceDN w:val="0"/>
        <w:adjustRightInd w:val="0"/>
        <w:spacing w:before="240" w:after="180" w:line="240" w:lineRule="auto"/>
        <w:jc w:val="both"/>
        <w:textAlignment w:val="baseline"/>
        <w:rPr>
          <w:rFonts w:ascii="Times New Roman" w:eastAsia="SimSun" w:hAnsi="Times New Roman" w:cs="Times New Roman"/>
        </w:rPr>
      </w:pPr>
      <w:r w:rsidRPr="00AB369B">
        <w:rPr>
          <w:rFonts w:ascii="Times New Roman" w:eastAsia="SimSun" w:hAnsi="Times New Roman" w:cs="Times New Roman"/>
        </w:rPr>
        <w:t>In previous RAN1 meeting (in May), following was agreed with respect to the soft buffer dimensioning.</w:t>
      </w:r>
    </w:p>
    <w:p w:rsidR="00AB369B" w:rsidRPr="00AB369B" w:rsidRDefault="00AB369B" w:rsidP="00AB369B">
      <w:pPr>
        <w:overflowPunct w:val="0"/>
        <w:autoSpaceDE w:val="0"/>
        <w:autoSpaceDN w:val="0"/>
        <w:adjustRightInd w:val="0"/>
        <w:spacing w:after="180" w:line="240" w:lineRule="auto"/>
        <w:textAlignment w:val="baseline"/>
        <w:rPr>
          <w:rFonts w:ascii="Times New Roman" w:eastAsia="MS Mincho" w:hAnsi="Times New Roman" w:cs="Times New Roman"/>
          <w:b/>
          <w:iCs/>
          <w:sz w:val="20"/>
          <w:szCs w:val="20"/>
          <w:highlight w:val="yellow"/>
          <w:u w:val="single"/>
          <w:lang w:eastAsia="ja-JP"/>
        </w:rPr>
      </w:pPr>
      <w:r w:rsidRPr="00AB369B">
        <w:rPr>
          <w:rFonts w:ascii="Times New Roman" w:eastAsia="MS Mincho" w:hAnsi="Times New Roman" w:cs="Times New Roman" w:hint="eastAsia"/>
          <w:b/>
          <w:iCs/>
          <w:sz w:val="20"/>
          <w:szCs w:val="20"/>
          <w:highlight w:val="green"/>
          <w:u w:val="single"/>
          <w:lang w:eastAsia="ja-JP"/>
        </w:rPr>
        <w:t>Agreements:</w:t>
      </w:r>
    </w:p>
    <w:p w:rsidR="00AB369B" w:rsidRPr="00AB369B" w:rsidRDefault="00AB369B" w:rsidP="00AB369B">
      <w:pPr>
        <w:numPr>
          <w:ilvl w:val="0"/>
          <w:numId w:val="3"/>
        </w:numPr>
        <w:overflowPunct w:val="0"/>
        <w:autoSpaceDE w:val="0"/>
        <w:autoSpaceDN w:val="0"/>
        <w:adjustRightInd w:val="0"/>
        <w:spacing w:after="0" w:line="240" w:lineRule="auto"/>
        <w:textAlignment w:val="baseline"/>
        <w:rPr>
          <w:rFonts w:ascii="Times New Roman" w:eastAsia="MS Mincho" w:hAnsi="Times New Roman" w:cs="Times New Roman"/>
          <w:iCs/>
          <w:sz w:val="20"/>
          <w:szCs w:val="20"/>
          <w:lang w:eastAsia="ja-JP"/>
        </w:rPr>
      </w:pPr>
      <w:r w:rsidRPr="00AB369B">
        <w:rPr>
          <w:rFonts w:ascii="Times New Roman" w:eastAsia="MS Mincho" w:hAnsi="Times New Roman" w:cs="Times New Roman"/>
          <w:iCs/>
          <w:sz w:val="20"/>
          <w:szCs w:val="20"/>
          <w:lang w:eastAsia="ja-JP"/>
        </w:rPr>
        <w:t>A set of reference parameters is used for the purpose of soft buffer dimensioning</w:t>
      </w:r>
    </w:p>
    <w:p w:rsidR="00AB369B" w:rsidRPr="00AB369B" w:rsidRDefault="00AB369B" w:rsidP="00AB369B">
      <w:pPr>
        <w:numPr>
          <w:ilvl w:val="1"/>
          <w:numId w:val="3"/>
        </w:numPr>
        <w:overflowPunct w:val="0"/>
        <w:autoSpaceDE w:val="0"/>
        <w:autoSpaceDN w:val="0"/>
        <w:adjustRightInd w:val="0"/>
        <w:spacing w:after="0" w:line="240" w:lineRule="auto"/>
        <w:textAlignment w:val="baseline"/>
        <w:rPr>
          <w:rFonts w:ascii="Times New Roman" w:eastAsia="MS Mincho" w:hAnsi="Times New Roman" w:cs="Times New Roman"/>
          <w:iCs/>
          <w:sz w:val="20"/>
          <w:szCs w:val="20"/>
          <w:lang w:eastAsia="ja-JP"/>
        </w:rPr>
      </w:pPr>
      <w:r w:rsidRPr="00AB369B">
        <w:rPr>
          <w:rFonts w:ascii="Times New Roman" w:eastAsia="MS Mincho" w:hAnsi="Times New Roman" w:cs="Times New Roman"/>
          <w:iCs/>
          <w:sz w:val="20"/>
          <w:szCs w:val="20"/>
          <w:lang w:eastAsia="ja-JP"/>
        </w:rPr>
        <w:t>A reference set of parameters includes at least DL HARQ RTT [</w:t>
      </w:r>
      <w:r w:rsidRPr="00AB369B">
        <w:rPr>
          <w:rFonts w:ascii="Times New Roman" w:eastAsia="MS Mincho" w:hAnsi="Times New Roman" w:cs="Times New Roman"/>
          <w:i/>
          <w:iCs/>
          <w:sz w:val="20"/>
          <w:szCs w:val="20"/>
          <w:lang w:eastAsia="ja-JP"/>
        </w:rPr>
        <w:t>Y</w:t>
      </w:r>
      <w:r w:rsidRPr="00AB369B">
        <w:rPr>
          <w:rFonts w:ascii="Times New Roman" w:eastAsia="MS Mincho" w:hAnsi="Times New Roman" w:cs="Times New Roman"/>
          <w:iCs/>
          <w:sz w:val="20"/>
          <w:szCs w:val="20"/>
          <w:lang w:eastAsia="ja-JP"/>
        </w:rPr>
        <w:t xml:space="preserve"> ms] and data rate(s) of </w:t>
      </w:r>
      <w:r w:rsidRPr="00AB369B">
        <w:rPr>
          <w:rFonts w:ascii="Times New Roman" w:eastAsia="MS Mincho" w:hAnsi="Times New Roman" w:cs="Times New Roman"/>
          <w:i/>
          <w:iCs/>
          <w:sz w:val="20"/>
          <w:szCs w:val="20"/>
          <w:lang w:eastAsia="ja-JP"/>
        </w:rPr>
        <w:t>X</w:t>
      </w:r>
      <w:r w:rsidRPr="00AB369B">
        <w:rPr>
          <w:rFonts w:ascii="Times New Roman" w:eastAsia="MS Mincho" w:hAnsi="Times New Roman" w:cs="Times New Roman"/>
          <w:iCs/>
          <w:sz w:val="20"/>
          <w:szCs w:val="20"/>
          <w:lang w:eastAsia="ja-JP"/>
        </w:rPr>
        <w:t xml:space="preserve"> Gbps </w:t>
      </w:r>
    </w:p>
    <w:p w:rsidR="00AB369B" w:rsidRPr="00AB369B" w:rsidRDefault="00AB369B" w:rsidP="00AB369B">
      <w:pPr>
        <w:numPr>
          <w:ilvl w:val="1"/>
          <w:numId w:val="3"/>
        </w:numPr>
        <w:overflowPunct w:val="0"/>
        <w:autoSpaceDE w:val="0"/>
        <w:autoSpaceDN w:val="0"/>
        <w:adjustRightInd w:val="0"/>
        <w:spacing w:after="0" w:line="240" w:lineRule="auto"/>
        <w:textAlignment w:val="baseline"/>
        <w:rPr>
          <w:rFonts w:ascii="Times New Roman" w:eastAsia="MS Mincho" w:hAnsi="Times New Roman" w:cs="Times New Roman"/>
          <w:iCs/>
          <w:sz w:val="20"/>
          <w:szCs w:val="20"/>
          <w:lang w:eastAsia="ja-JP"/>
        </w:rPr>
      </w:pPr>
      <w:r w:rsidRPr="00AB369B">
        <w:rPr>
          <w:rFonts w:ascii="Times New Roman" w:eastAsia="MS Mincho" w:hAnsi="Times New Roman" w:cs="Times New Roman"/>
          <w:iCs/>
          <w:sz w:val="20"/>
          <w:szCs w:val="20"/>
          <w:lang w:eastAsia="ja-JP"/>
        </w:rPr>
        <w:t xml:space="preserve">FFS: values of </w:t>
      </w:r>
      <w:r w:rsidRPr="00AB369B">
        <w:rPr>
          <w:rFonts w:ascii="Times New Roman" w:eastAsia="MS Mincho" w:hAnsi="Times New Roman" w:cs="Times New Roman"/>
          <w:i/>
          <w:iCs/>
          <w:sz w:val="20"/>
          <w:szCs w:val="20"/>
          <w:lang w:eastAsia="ja-JP"/>
        </w:rPr>
        <w:t>X</w:t>
      </w:r>
      <w:r w:rsidRPr="00AB369B">
        <w:rPr>
          <w:rFonts w:ascii="Times New Roman" w:eastAsia="MS Mincho" w:hAnsi="Times New Roman" w:cs="Times New Roman"/>
          <w:iCs/>
          <w:sz w:val="20"/>
          <w:szCs w:val="20"/>
          <w:lang w:eastAsia="ja-JP"/>
        </w:rPr>
        <w:t xml:space="preserve"> and </w:t>
      </w:r>
      <w:r w:rsidRPr="00AB369B">
        <w:rPr>
          <w:rFonts w:ascii="Times New Roman" w:eastAsia="MS Mincho" w:hAnsi="Times New Roman" w:cs="Times New Roman"/>
          <w:i/>
          <w:iCs/>
          <w:sz w:val="20"/>
          <w:szCs w:val="20"/>
          <w:lang w:eastAsia="ja-JP"/>
        </w:rPr>
        <w:t>Y</w:t>
      </w:r>
    </w:p>
    <w:p w:rsidR="00AB369B" w:rsidRPr="00AB369B" w:rsidRDefault="00AB369B" w:rsidP="00AB369B">
      <w:pPr>
        <w:numPr>
          <w:ilvl w:val="1"/>
          <w:numId w:val="3"/>
        </w:numPr>
        <w:overflowPunct w:val="0"/>
        <w:autoSpaceDE w:val="0"/>
        <w:autoSpaceDN w:val="0"/>
        <w:adjustRightInd w:val="0"/>
        <w:spacing w:after="0" w:line="240" w:lineRule="auto"/>
        <w:textAlignment w:val="baseline"/>
        <w:rPr>
          <w:rFonts w:ascii="Times New Roman" w:eastAsia="MS Mincho" w:hAnsi="Times New Roman" w:cs="Times New Roman"/>
          <w:iCs/>
          <w:sz w:val="20"/>
          <w:szCs w:val="20"/>
          <w:lang w:eastAsia="ja-JP"/>
        </w:rPr>
      </w:pPr>
      <w:r w:rsidRPr="00AB369B">
        <w:rPr>
          <w:rFonts w:ascii="Times New Roman" w:eastAsia="MS Mincho" w:hAnsi="Times New Roman" w:cs="Times New Roman" w:hint="eastAsia"/>
          <w:iCs/>
          <w:sz w:val="20"/>
          <w:szCs w:val="20"/>
          <w:lang w:eastAsia="ja-JP"/>
        </w:rPr>
        <w:t>FFS</w:t>
      </w:r>
      <w:r w:rsidRPr="00AB369B">
        <w:rPr>
          <w:rFonts w:ascii="Times New Roman" w:eastAsia="MS Mincho" w:hAnsi="Times New Roman" w:cs="Times New Roman"/>
          <w:iCs/>
          <w:sz w:val="20"/>
          <w:szCs w:val="20"/>
          <w:lang w:eastAsia="ja-JP"/>
        </w:rPr>
        <w:t>:</w:t>
      </w:r>
      <w:r w:rsidRPr="00AB369B">
        <w:rPr>
          <w:rFonts w:ascii="Times New Roman" w:eastAsia="MS Mincho" w:hAnsi="Times New Roman" w:cs="Times New Roman" w:hint="eastAsia"/>
          <w:iCs/>
          <w:sz w:val="20"/>
          <w:szCs w:val="20"/>
          <w:lang w:eastAsia="ja-JP"/>
        </w:rPr>
        <w:t xml:space="preserve"> other conditions</w:t>
      </w:r>
    </w:p>
    <w:p w:rsidR="00AB369B" w:rsidRPr="00AB369B" w:rsidRDefault="00AB369B" w:rsidP="00AB369B">
      <w:pPr>
        <w:numPr>
          <w:ilvl w:val="1"/>
          <w:numId w:val="3"/>
        </w:numPr>
        <w:overflowPunct w:val="0"/>
        <w:autoSpaceDE w:val="0"/>
        <w:autoSpaceDN w:val="0"/>
        <w:adjustRightInd w:val="0"/>
        <w:spacing w:after="0" w:line="240" w:lineRule="auto"/>
        <w:textAlignment w:val="baseline"/>
        <w:rPr>
          <w:rFonts w:ascii="Times New Roman" w:eastAsia="MS Mincho" w:hAnsi="Times New Roman" w:cs="Times New Roman"/>
          <w:iCs/>
          <w:sz w:val="20"/>
          <w:szCs w:val="20"/>
          <w:lang w:eastAsia="ja-JP"/>
        </w:rPr>
      </w:pPr>
      <w:r w:rsidRPr="00AB369B">
        <w:rPr>
          <w:rFonts w:ascii="Times New Roman" w:eastAsia="MS Mincho" w:hAnsi="Times New Roman" w:cs="Times New Roman"/>
          <w:iCs/>
          <w:sz w:val="20"/>
          <w:szCs w:val="20"/>
          <w:lang w:eastAsia="ja-JP"/>
        </w:rPr>
        <w:t>This does not imply UE has to have a HARQ-ACK timing based on the reference HARQ RTT</w:t>
      </w:r>
    </w:p>
    <w:p w:rsidR="00AB369B" w:rsidRPr="00AB369B" w:rsidRDefault="00AB369B" w:rsidP="00AB369B">
      <w:pPr>
        <w:numPr>
          <w:ilvl w:val="1"/>
          <w:numId w:val="3"/>
        </w:numPr>
        <w:overflowPunct w:val="0"/>
        <w:autoSpaceDE w:val="0"/>
        <w:autoSpaceDN w:val="0"/>
        <w:adjustRightInd w:val="0"/>
        <w:spacing w:after="0" w:line="240" w:lineRule="auto"/>
        <w:textAlignment w:val="baseline"/>
        <w:rPr>
          <w:rFonts w:ascii="Times New Roman" w:eastAsia="MS Mincho" w:hAnsi="Times New Roman" w:cs="Times New Roman"/>
          <w:iCs/>
          <w:sz w:val="20"/>
          <w:szCs w:val="20"/>
          <w:lang w:eastAsia="ja-JP"/>
        </w:rPr>
      </w:pPr>
      <w:r w:rsidRPr="00AB369B">
        <w:rPr>
          <w:rFonts w:ascii="Times New Roman" w:eastAsia="MS Mincho" w:hAnsi="Times New Roman" w:cs="Times New Roman"/>
          <w:iCs/>
          <w:sz w:val="20"/>
          <w:szCs w:val="20"/>
          <w:lang w:eastAsia="ja-JP"/>
        </w:rPr>
        <w:t>FFS: how different UE categories are defined</w:t>
      </w:r>
    </w:p>
    <w:p w:rsidR="00AB369B" w:rsidRPr="00AB369B" w:rsidRDefault="00AB369B" w:rsidP="00AB369B">
      <w:pPr>
        <w:numPr>
          <w:ilvl w:val="1"/>
          <w:numId w:val="3"/>
        </w:numPr>
        <w:overflowPunct w:val="0"/>
        <w:autoSpaceDE w:val="0"/>
        <w:autoSpaceDN w:val="0"/>
        <w:adjustRightInd w:val="0"/>
        <w:spacing w:after="0" w:line="240" w:lineRule="auto"/>
        <w:textAlignment w:val="baseline"/>
        <w:rPr>
          <w:rFonts w:ascii="Times New Roman" w:eastAsia="MS Mincho" w:hAnsi="Times New Roman" w:cs="Times New Roman"/>
          <w:iCs/>
          <w:sz w:val="20"/>
          <w:szCs w:val="20"/>
          <w:lang w:eastAsia="ja-JP"/>
        </w:rPr>
      </w:pPr>
      <w:r w:rsidRPr="00AB369B">
        <w:rPr>
          <w:rFonts w:ascii="Times New Roman" w:eastAsia="MS Mincho" w:hAnsi="Times New Roman" w:cs="Times New Roman"/>
          <w:iCs/>
          <w:sz w:val="20"/>
          <w:szCs w:val="20"/>
          <w:lang w:eastAsia="ja-JP"/>
        </w:rPr>
        <w:t>LBRM is taken into account</w:t>
      </w:r>
    </w:p>
    <w:p w:rsidR="00AB369B" w:rsidRPr="00AB369B" w:rsidRDefault="00AB369B" w:rsidP="00AB369B">
      <w:pPr>
        <w:numPr>
          <w:ilvl w:val="0"/>
          <w:numId w:val="3"/>
        </w:numPr>
        <w:overflowPunct w:val="0"/>
        <w:autoSpaceDE w:val="0"/>
        <w:autoSpaceDN w:val="0"/>
        <w:adjustRightInd w:val="0"/>
        <w:spacing w:after="0" w:line="240" w:lineRule="auto"/>
        <w:textAlignment w:val="baseline"/>
        <w:rPr>
          <w:rFonts w:ascii="Times New Roman" w:eastAsia="MS Mincho" w:hAnsi="Times New Roman" w:cs="Times New Roman"/>
          <w:iCs/>
          <w:sz w:val="20"/>
          <w:szCs w:val="20"/>
          <w:lang w:eastAsia="ja-JP"/>
        </w:rPr>
      </w:pPr>
      <w:r w:rsidRPr="00AB369B">
        <w:rPr>
          <w:rFonts w:ascii="Times New Roman" w:eastAsia="MS Mincho" w:hAnsi="Times New Roman" w:cs="Times New Roman"/>
          <w:iCs/>
          <w:sz w:val="20"/>
          <w:szCs w:val="20"/>
          <w:lang w:eastAsia="ja-JP"/>
        </w:rPr>
        <w:t xml:space="preserve">Maximum number of HARQ processes per carrier supported in NR is 8 or 16 </w:t>
      </w:r>
    </w:p>
    <w:p w:rsidR="00AB369B" w:rsidRPr="00AB369B" w:rsidRDefault="00AB369B" w:rsidP="00AB369B">
      <w:pPr>
        <w:numPr>
          <w:ilvl w:val="1"/>
          <w:numId w:val="3"/>
        </w:numPr>
        <w:overflowPunct w:val="0"/>
        <w:autoSpaceDE w:val="0"/>
        <w:autoSpaceDN w:val="0"/>
        <w:adjustRightInd w:val="0"/>
        <w:spacing w:after="0" w:line="240" w:lineRule="auto"/>
        <w:textAlignment w:val="baseline"/>
        <w:rPr>
          <w:rFonts w:ascii="Times New Roman" w:eastAsia="MS Mincho" w:hAnsi="Times New Roman" w:cs="Times New Roman"/>
          <w:iCs/>
          <w:sz w:val="20"/>
          <w:szCs w:val="20"/>
          <w:lang w:eastAsia="ja-JP"/>
        </w:rPr>
      </w:pPr>
      <w:r w:rsidRPr="00AB369B">
        <w:rPr>
          <w:rFonts w:ascii="Times New Roman" w:eastAsia="MS Mincho" w:hAnsi="Times New Roman" w:cs="Times New Roman" w:hint="eastAsia"/>
          <w:iCs/>
          <w:sz w:val="20"/>
          <w:szCs w:val="20"/>
          <w:lang w:eastAsia="ja-JP"/>
        </w:rPr>
        <w:t xml:space="preserve">This is </w:t>
      </w:r>
      <w:r w:rsidRPr="00AB369B">
        <w:rPr>
          <w:rFonts w:ascii="Times New Roman" w:eastAsia="MS Mincho" w:hAnsi="Times New Roman" w:cs="Times New Roman"/>
          <w:iCs/>
          <w:sz w:val="20"/>
          <w:szCs w:val="20"/>
          <w:lang w:eastAsia="ja-JP"/>
        </w:rPr>
        <w:t xml:space="preserve">at least </w:t>
      </w:r>
      <w:r w:rsidRPr="00AB369B">
        <w:rPr>
          <w:rFonts w:ascii="Times New Roman" w:eastAsia="MS Mincho" w:hAnsi="Times New Roman" w:cs="Times New Roman" w:hint="eastAsia"/>
          <w:iCs/>
          <w:sz w:val="20"/>
          <w:szCs w:val="20"/>
          <w:lang w:eastAsia="ja-JP"/>
        </w:rPr>
        <w:t>for the single numerology case</w:t>
      </w:r>
      <w:r w:rsidRPr="00AB369B">
        <w:rPr>
          <w:rFonts w:ascii="Times New Roman" w:eastAsia="MS Mincho" w:hAnsi="Times New Roman" w:cs="Times New Roman"/>
          <w:iCs/>
          <w:sz w:val="20"/>
          <w:szCs w:val="20"/>
          <w:lang w:eastAsia="ja-JP"/>
        </w:rPr>
        <w:t xml:space="preserve"> and a slot-level scheduling and single-TRxP transmission</w:t>
      </w:r>
    </w:p>
    <w:p w:rsidR="00AB369B" w:rsidRPr="00AB369B" w:rsidRDefault="00AB369B" w:rsidP="00AB369B">
      <w:pPr>
        <w:numPr>
          <w:ilvl w:val="1"/>
          <w:numId w:val="3"/>
        </w:numPr>
        <w:overflowPunct w:val="0"/>
        <w:autoSpaceDE w:val="0"/>
        <w:autoSpaceDN w:val="0"/>
        <w:adjustRightInd w:val="0"/>
        <w:spacing w:after="0" w:line="240" w:lineRule="auto"/>
        <w:textAlignment w:val="baseline"/>
        <w:rPr>
          <w:rFonts w:ascii="Times New Roman" w:eastAsia="MS Mincho" w:hAnsi="Times New Roman" w:cs="Times New Roman"/>
          <w:iCs/>
          <w:sz w:val="20"/>
          <w:szCs w:val="20"/>
          <w:lang w:eastAsia="ja-JP"/>
        </w:rPr>
      </w:pPr>
      <w:r w:rsidRPr="00AB369B">
        <w:rPr>
          <w:rFonts w:ascii="Times New Roman" w:eastAsia="MS Mincho" w:hAnsi="Times New Roman" w:cs="Times New Roman"/>
          <w:iCs/>
          <w:sz w:val="20"/>
          <w:szCs w:val="20"/>
          <w:lang w:eastAsia="ja-JP"/>
        </w:rPr>
        <w:t>FFS: down-selection of 8 or 16</w:t>
      </w:r>
    </w:p>
    <w:p w:rsidR="00AB369B" w:rsidRPr="00AB369B" w:rsidRDefault="00AB369B" w:rsidP="00AB369B">
      <w:pPr>
        <w:numPr>
          <w:ilvl w:val="1"/>
          <w:numId w:val="3"/>
        </w:numPr>
        <w:overflowPunct w:val="0"/>
        <w:autoSpaceDE w:val="0"/>
        <w:autoSpaceDN w:val="0"/>
        <w:adjustRightInd w:val="0"/>
        <w:spacing w:after="0" w:line="240" w:lineRule="auto"/>
        <w:textAlignment w:val="baseline"/>
        <w:rPr>
          <w:rFonts w:ascii="Times New Roman" w:eastAsia="MS Mincho" w:hAnsi="Times New Roman" w:cs="Times New Roman"/>
          <w:iCs/>
          <w:sz w:val="20"/>
          <w:szCs w:val="20"/>
          <w:lang w:eastAsia="ja-JP"/>
        </w:rPr>
      </w:pPr>
      <w:r w:rsidRPr="00AB369B">
        <w:rPr>
          <w:rFonts w:ascii="Times New Roman" w:eastAsia="MS Mincho" w:hAnsi="Times New Roman" w:cs="Times New Roman"/>
          <w:iCs/>
          <w:sz w:val="20"/>
          <w:szCs w:val="20"/>
          <w:lang w:eastAsia="ja-JP"/>
        </w:rPr>
        <w:t>FFS: soft-buffer handling</w:t>
      </w:r>
    </w:p>
    <w:p w:rsidR="00AB369B" w:rsidRPr="00AB369B" w:rsidRDefault="00AB369B" w:rsidP="00AB369B">
      <w:pPr>
        <w:numPr>
          <w:ilvl w:val="1"/>
          <w:numId w:val="3"/>
        </w:numPr>
        <w:overflowPunct w:val="0"/>
        <w:autoSpaceDE w:val="0"/>
        <w:autoSpaceDN w:val="0"/>
        <w:adjustRightInd w:val="0"/>
        <w:spacing w:after="0" w:line="240" w:lineRule="auto"/>
        <w:textAlignment w:val="baseline"/>
        <w:rPr>
          <w:rFonts w:ascii="Times New Roman" w:eastAsia="MS Mincho" w:hAnsi="Times New Roman" w:cs="Times New Roman"/>
          <w:iCs/>
          <w:sz w:val="20"/>
          <w:szCs w:val="20"/>
          <w:lang w:eastAsia="ja-JP"/>
        </w:rPr>
      </w:pPr>
      <w:r w:rsidRPr="00AB369B">
        <w:rPr>
          <w:rFonts w:ascii="Times New Roman" w:eastAsia="MS Mincho" w:hAnsi="Times New Roman" w:cs="Times New Roman"/>
          <w:iCs/>
          <w:sz w:val="20"/>
          <w:szCs w:val="20"/>
          <w:lang w:eastAsia="ja-JP"/>
        </w:rPr>
        <w:t xml:space="preserve">FFS: the value may be different depending on a certain condition (e.g., subcarrier spacing) </w:t>
      </w:r>
    </w:p>
    <w:p w:rsidR="00AB369B" w:rsidRPr="00AB369B" w:rsidRDefault="00AB369B" w:rsidP="00AB369B">
      <w:pPr>
        <w:overflowPunct w:val="0"/>
        <w:autoSpaceDE w:val="0"/>
        <w:autoSpaceDN w:val="0"/>
        <w:adjustRightInd w:val="0"/>
        <w:spacing w:before="240" w:after="180" w:line="240" w:lineRule="auto"/>
        <w:jc w:val="both"/>
        <w:textAlignment w:val="baseline"/>
        <w:rPr>
          <w:rFonts w:ascii="Times New Roman" w:eastAsia="SimSun" w:hAnsi="Times New Roman" w:cs="Times New Roman"/>
        </w:rPr>
      </w:pPr>
      <w:r w:rsidRPr="00AB369B">
        <w:rPr>
          <w:rFonts w:ascii="Times New Roman" w:eastAsia="SimSun" w:hAnsi="Times New Roman" w:cs="Times New Roman"/>
        </w:rPr>
        <w:t xml:space="preserve">In this contribution, we discuss aspects related to soft buffer management in NR- LTE Dual connectivity case. </w:t>
      </w:r>
    </w:p>
    <w:p w:rsidR="00AB369B" w:rsidRPr="00AB369B" w:rsidRDefault="00AB369B" w:rsidP="00AB369B">
      <w:pPr>
        <w:keepNext/>
        <w:keepLines/>
        <w:numPr>
          <w:ilvl w:val="0"/>
          <w:numId w:val="2"/>
        </w:numPr>
        <w:pBdr>
          <w:top w:val="single" w:sz="12" w:space="3" w:color="auto"/>
        </w:pBdr>
        <w:overflowPunct w:val="0"/>
        <w:autoSpaceDE w:val="0"/>
        <w:autoSpaceDN w:val="0"/>
        <w:adjustRightInd w:val="0"/>
        <w:spacing w:before="240" w:after="180" w:line="240" w:lineRule="auto"/>
        <w:ind w:left="360"/>
        <w:textAlignment w:val="baseline"/>
        <w:outlineLvl w:val="0"/>
        <w:rPr>
          <w:rFonts w:ascii="Arial" w:eastAsia="SimSun" w:hAnsi="Arial" w:cs="Times New Roman"/>
          <w:sz w:val="32"/>
          <w:szCs w:val="20"/>
          <w:lang w:val="en-GB"/>
        </w:rPr>
      </w:pPr>
      <w:r w:rsidRPr="00AB369B">
        <w:rPr>
          <w:rFonts w:ascii="Arial" w:eastAsia="SimSun" w:hAnsi="Arial" w:cs="Times New Roman"/>
          <w:sz w:val="32"/>
          <w:szCs w:val="20"/>
          <w:lang w:val="en-GB"/>
        </w:rPr>
        <w:t>Discussion on LTE-NR UE Category and soft buffer handling</w:t>
      </w:r>
    </w:p>
    <w:p w:rsidR="00AB369B" w:rsidRPr="00AB369B" w:rsidRDefault="00AB369B" w:rsidP="00AB369B">
      <w:pPr>
        <w:overflowPunct w:val="0"/>
        <w:autoSpaceDE w:val="0"/>
        <w:autoSpaceDN w:val="0"/>
        <w:adjustRightInd w:val="0"/>
        <w:spacing w:after="180" w:line="240" w:lineRule="auto"/>
        <w:jc w:val="both"/>
        <w:rPr>
          <w:rFonts w:ascii="Times New Roman" w:eastAsia="SimSun" w:hAnsi="Times New Roman" w:cs="Times New Roman"/>
        </w:rPr>
      </w:pPr>
      <w:r w:rsidRPr="00AB369B">
        <w:rPr>
          <w:rFonts w:ascii="Times New Roman" w:eastAsia="SimSun" w:hAnsi="Times New Roman" w:cs="Times New Roman"/>
        </w:rPr>
        <w:t xml:space="preserve">UE category specifies peak data rate supported by the UE, and a few other UE parameters such as offered soft buffer. It could also indirectly indicate some of UE’s processing capabilities such as those required to achieve the maximum peak data rate. Most of the UE’s processing capabilities are indicated via UE capability signaling (such as RF and baseband capability e.g. band, band combinations, CA, MIMO layers, etc). For LTE, the UE category defines a maximum data rate, maximum bits of a transport block per TTI for a particular capability (e.g. 195816 for 4-layers, 256-QAM), soft buffer or total number of soft channel bits and a maximum number of supported layers (which was later incorporated into capability signaling). For NR, the detailed discussion on parameters to be defined as part of UE category is under discussion in WGs including RAN1 and RAN2. </w:t>
      </w:r>
    </w:p>
    <w:p w:rsidR="00AB369B" w:rsidRPr="00AB369B" w:rsidRDefault="00AB369B" w:rsidP="00AB369B">
      <w:pPr>
        <w:overflowPunct w:val="0"/>
        <w:autoSpaceDE w:val="0"/>
        <w:autoSpaceDN w:val="0"/>
        <w:adjustRightInd w:val="0"/>
        <w:spacing w:after="180" w:line="240" w:lineRule="auto"/>
        <w:jc w:val="both"/>
        <w:rPr>
          <w:rFonts w:ascii="Times New Roman" w:eastAsia="SimSun" w:hAnsi="Times New Roman" w:cs="Times New Roman"/>
        </w:rPr>
      </w:pPr>
      <w:r w:rsidRPr="00AB369B">
        <w:rPr>
          <w:rFonts w:ascii="Times New Roman" w:eastAsia="SimSun" w:hAnsi="Times New Roman" w:cs="Times New Roman"/>
        </w:rPr>
        <w:t>From our perspective, UE categories should be defined for NR standalone, similar to the LTE UE categories, i.e. it should indicate the peak data rate and soft buffer. In addition, in RAN#76, it was concluded that it is necessary to also enable operators to provide a certain peak data rate for LTE-NR DC [2]. However, the details of such provisioning are left for WG. Thus, we think that the LTE-NR DC UE category has to also be supported, and it is necessary to understand how such a joint category works for a given UE that also has a standalone LTE UE category and/or standalone NR UE category.</w:t>
      </w:r>
    </w:p>
    <w:p w:rsidR="00AB369B" w:rsidRPr="00AB369B" w:rsidRDefault="00AB369B" w:rsidP="00AB369B">
      <w:pPr>
        <w:overflowPunct w:val="0"/>
        <w:autoSpaceDE w:val="0"/>
        <w:autoSpaceDN w:val="0"/>
        <w:adjustRightInd w:val="0"/>
        <w:spacing w:after="180" w:line="240" w:lineRule="auto"/>
        <w:jc w:val="both"/>
        <w:rPr>
          <w:rFonts w:ascii="Times New Roman" w:eastAsia="SimSun" w:hAnsi="Times New Roman" w:cs="Times New Roman"/>
        </w:rPr>
      </w:pPr>
      <w:r w:rsidRPr="00AB369B">
        <w:rPr>
          <w:rFonts w:ascii="Times New Roman" w:eastAsia="SimSun" w:hAnsi="Times New Roman" w:cs="Times New Roman"/>
        </w:rPr>
        <w:t>There are multiple ways of defining a joint UE category for NR-LTE DC. We list the approaches below.</w:t>
      </w:r>
    </w:p>
    <w:p w:rsidR="00AB369B" w:rsidRPr="00AB369B" w:rsidRDefault="00AB369B" w:rsidP="00AB369B">
      <w:pPr>
        <w:numPr>
          <w:ilvl w:val="0"/>
          <w:numId w:val="4"/>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rPr>
      </w:pPr>
      <w:r w:rsidRPr="00AB369B">
        <w:rPr>
          <w:rFonts w:ascii="Times New Roman" w:eastAsia="SimSun" w:hAnsi="Times New Roman" w:cs="Times New Roman"/>
        </w:rPr>
        <w:t>Option 1: Total peak data rate without a per-RAT peak data rate limit in LTE-NR DC operation</w:t>
      </w:r>
    </w:p>
    <w:p w:rsidR="00AB369B" w:rsidRPr="00AB369B" w:rsidRDefault="00AB369B" w:rsidP="00AB369B">
      <w:pPr>
        <w:numPr>
          <w:ilvl w:val="1"/>
          <w:numId w:val="4"/>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rPr>
      </w:pPr>
      <w:r w:rsidRPr="00AB369B">
        <w:rPr>
          <w:rFonts w:ascii="Times New Roman" w:eastAsia="SimSun" w:hAnsi="Times New Roman" w:cs="Times New Roman"/>
        </w:rPr>
        <w:t xml:space="preserve">In this case the total peak data rate needs to be split between LTE and NR, and the potential issue is that since it does not specify the extent of asymmetry of the split, it may require the UE to </w:t>
      </w:r>
      <w:r w:rsidRPr="00AB369B">
        <w:rPr>
          <w:rFonts w:ascii="Times New Roman" w:eastAsia="SimSun" w:hAnsi="Times New Roman" w:cs="Times New Roman"/>
        </w:rPr>
        <w:lastRenderedPageBreak/>
        <w:t>provision hardware to support the peak data rate of the standalone mode of each RAT in LTE-NR. While there is potential for resource sharing on the UE side (e.g. soft buffer, and other receiver components) across LTE and NR, it will not be trivial to switch the support of an aggregate peak data rate from one LTE to NR and vice-versa.</w:t>
      </w:r>
    </w:p>
    <w:p w:rsidR="00AB369B" w:rsidRPr="00AB369B" w:rsidRDefault="00AB369B" w:rsidP="00AB369B">
      <w:pPr>
        <w:numPr>
          <w:ilvl w:val="0"/>
          <w:numId w:val="4"/>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rPr>
      </w:pPr>
      <w:r w:rsidRPr="00AB369B">
        <w:rPr>
          <w:rFonts w:ascii="Times New Roman" w:eastAsia="SimSun" w:hAnsi="Times New Roman" w:cs="Times New Roman"/>
        </w:rPr>
        <w:t>Option 2: Total peak data rate and a per-RAT peak data rate limit in LTE-NR DC operation</w:t>
      </w:r>
    </w:p>
    <w:p w:rsidR="00AB369B" w:rsidRPr="00AB369B" w:rsidRDefault="00AB369B" w:rsidP="00AB369B">
      <w:pPr>
        <w:numPr>
          <w:ilvl w:val="1"/>
          <w:numId w:val="4"/>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rPr>
      </w:pPr>
      <w:r w:rsidRPr="00AB369B">
        <w:rPr>
          <w:rFonts w:ascii="Times New Roman" w:eastAsia="SimSun" w:hAnsi="Times New Roman" w:cs="Times New Roman"/>
        </w:rPr>
        <w:t xml:space="preserve">With this option, a UE can flexibly indicate the total peak rate for LTE_NR DC operation, while also indicating the peak rate for LTE and NR operation separately. This allows potential sharing of processing power/buffer considering joint LTE and NR operation, while still allowing separation from the standalone LTE and standalone NR category definition. </w:t>
      </w:r>
    </w:p>
    <w:p w:rsidR="00AB369B" w:rsidRPr="00AB369B" w:rsidRDefault="00AB369B" w:rsidP="00AB369B">
      <w:pPr>
        <w:overflowPunct w:val="0"/>
        <w:autoSpaceDE w:val="0"/>
        <w:autoSpaceDN w:val="0"/>
        <w:adjustRightInd w:val="0"/>
        <w:spacing w:after="180" w:line="240" w:lineRule="auto"/>
        <w:jc w:val="both"/>
        <w:rPr>
          <w:rFonts w:ascii="Times New Roman" w:eastAsia="SimSun" w:hAnsi="Times New Roman" w:cs="Times New Roman"/>
        </w:rPr>
      </w:pPr>
      <w:r w:rsidRPr="00AB369B">
        <w:rPr>
          <w:rFonts w:ascii="Times New Roman" w:eastAsia="SimSun" w:hAnsi="Times New Roman" w:cs="Times New Roman"/>
        </w:rPr>
        <w:t xml:space="preserve">In our view, for LTE-NR UE category, it is preferable to follow Option 2 as it provides sufficient flexibility while also ensuring there is some linkage to the standalone UE categories. In the simplest case, a UE indicating 1 Gbps LTE UE category and a 2 Gbps NR UE category could indicate a joint LTE-NR UE category of 3 Gbps with 1 Gbps max for LTE, and 2 Gbps for NR. With respect to soft buffer handling, the UE may indicate the total soft buffer for LTE-NR as the sum of LTE and NR soft buffer, or the UE may indicate a smaller soft buffer indicating that the buffer may be shared – latter is quite preferable since it will allow much more efficient soft buffer utilization and overall UE implementations. In our view such potential sharing can be allowed to the extent possible, but it is desirable to not specify detailed UE soft buffer splitting and storage as was done in LTE CA operation though such operation should be considered if it allows significant reduction in soft buffer requirements for the dual connectivity use case. </w:t>
      </w:r>
    </w:p>
    <w:p w:rsidR="00AB369B" w:rsidRPr="00AB369B" w:rsidRDefault="00AB369B" w:rsidP="00AB369B">
      <w:pPr>
        <w:numPr>
          <w:ilvl w:val="0"/>
          <w:numId w:val="1"/>
        </w:numPr>
        <w:overflowPunct w:val="0"/>
        <w:autoSpaceDE w:val="0"/>
        <w:autoSpaceDN w:val="0"/>
        <w:adjustRightInd w:val="0"/>
        <w:spacing w:after="180" w:line="240" w:lineRule="auto"/>
        <w:jc w:val="both"/>
        <w:textAlignment w:val="baseline"/>
        <w:rPr>
          <w:rFonts w:ascii="Times New Roman" w:eastAsia="SimSun" w:hAnsi="Times New Roman" w:cs="Times New Roman"/>
          <w:i/>
        </w:rPr>
      </w:pPr>
      <w:r w:rsidRPr="00AB369B">
        <w:rPr>
          <w:rFonts w:ascii="Times New Roman" w:eastAsia="SimSun" w:hAnsi="Times New Roman" w:cs="Times New Roman"/>
          <w:i/>
        </w:rPr>
        <w:t xml:space="preserve">Pooling of HARQ buffer across LTE-NR dual connectivity should be supported. </w:t>
      </w:r>
    </w:p>
    <w:p w:rsidR="00AB369B" w:rsidRPr="00AB369B" w:rsidRDefault="00AB369B" w:rsidP="00AB369B">
      <w:pPr>
        <w:keepNext/>
        <w:keepLines/>
        <w:numPr>
          <w:ilvl w:val="0"/>
          <w:numId w:val="2"/>
        </w:numPr>
        <w:pBdr>
          <w:top w:val="single" w:sz="12" w:space="3" w:color="auto"/>
        </w:pBdr>
        <w:overflowPunct w:val="0"/>
        <w:autoSpaceDE w:val="0"/>
        <w:autoSpaceDN w:val="0"/>
        <w:adjustRightInd w:val="0"/>
        <w:spacing w:before="240" w:after="180" w:line="240" w:lineRule="auto"/>
        <w:ind w:left="360"/>
        <w:textAlignment w:val="baseline"/>
        <w:outlineLvl w:val="0"/>
        <w:rPr>
          <w:rFonts w:ascii="Arial" w:eastAsia="SimSun" w:hAnsi="Arial" w:cs="Times New Roman"/>
          <w:sz w:val="32"/>
          <w:szCs w:val="20"/>
          <w:lang w:val="en-GB"/>
        </w:rPr>
      </w:pPr>
      <w:r w:rsidRPr="00AB369B">
        <w:rPr>
          <w:rFonts w:ascii="Arial" w:eastAsia="SimSun" w:hAnsi="Arial" w:cs="Times New Roman"/>
          <w:sz w:val="32"/>
          <w:szCs w:val="20"/>
          <w:lang w:val="en-GB"/>
        </w:rPr>
        <w:t>Summary</w:t>
      </w:r>
    </w:p>
    <w:p w:rsidR="00AB369B" w:rsidRPr="00AB369B" w:rsidRDefault="00AB369B" w:rsidP="00AB369B">
      <w:pPr>
        <w:overflowPunct w:val="0"/>
        <w:autoSpaceDE w:val="0"/>
        <w:autoSpaceDN w:val="0"/>
        <w:adjustRightInd w:val="0"/>
        <w:spacing w:before="240" w:after="180" w:line="240" w:lineRule="auto"/>
        <w:jc w:val="both"/>
        <w:textAlignment w:val="baseline"/>
        <w:rPr>
          <w:rFonts w:ascii="Times New Roman" w:eastAsia="SimSun" w:hAnsi="Times New Roman" w:cs="Times New Roman"/>
        </w:rPr>
      </w:pPr>
      <w:r w:rsidRPr="00AB369B">
        <w:rPr>
          <w:rFonts w:ascii="Times New Roman" w:eastAsia="SimSun" w:hAnsi="Times New Roman" w:cs="Times New Roman"/>
        </w:rPr>
        <w:t>This document presented our views on defining soft buffer management for joint LTE-NR UE category definition. The following is a summary of our proposals in this contribution.</w:t>
      </w:r>
    </w:p>
    <w:p w:rsidR="00AB369B" w:rsidRPr="00AB369B" w:rsidRDefault="00AB369B" w:rsidP="00AB369B">
      <w:pPr>
        <w:overflowPunct w:val="0"/>
        <w:autoSpaceDE w:val="0"/>
        <w:autoSpaceDN w:val="0"/>
        <w:adjustRightInd w:val="0"/>
        <w:spacing w:after="180" w:line="240" w:lineRule="auto"/>
        <w:ind w:firstLine="284"/>
        <w:jc w:val="both"/>
        <w:textAlignment w:val="baseline"/>
        <w:rPr>
          <w:rFonts w:ascii="Times New Roman" w:eastAsia="SimSun" w:hAnsi="Times New Roman" w:cs="Times New Roman"/>
          <w:b/>
          <w:i/>
        </w:rPr>
      </w:pPr>
      <w:r w:rsidRPr="00AB369B">
        <w:rPr>
          <w:rFonts w:ascii="Times New Roman" w:eastAsia="SimSun" w:hAnsi="Times New Roman" w:cs="Times New Roman"/>
          <w:b/>
          <w:i/>
        </w:rPr>
        <w:t>Proposals:</w:t>
      </w:r>
    </w:p>
    <w:p w:rsidR="00AB369B" w:rsidRPr="00AB369B" w:rsidRDefault="00AB369B" w:rsidP="00AB369B">
      <w:pPr>
        <w:numPr>
          <w:ilvl w:val="0"/>
          <w:numId w:val="1"/>
        </w:numPr>
        <w:overflowPunct w:val="0"/>
        <w:autoSpaceDE w:val="0"/>
        <w:autoSpaceDN w:val="0"/>
        <w:adjustRightInd w:val="0"/>
        <w:spacing w:after="180" w:line="240" w:lineRule="auto"/>
        <w:jc w:val="both"/>
        <w:textAlignment w:val="baseline"/>
        <w:rPr>
          <w:rFonts w:ascii="Times New Roman" w:eastAsia="SimSun" w:hAnsi="Times New Roman" w:cs="Times New Roman"/>
          <w:i/>
        </w:rPr>
      </w:pPr>
      <w:r w:rsidRPr="00AB369B">
        <w:rPr>
          <w:rFonts w:ascii="Times New Roman" w:eastAsia="SimSun" w:hAnsi="Times New Roman" w:cs="Times New Roman"/>
          <w:i/>
        </w:rPr>
        <w:t xml:space="preserve">Pooling of HARQ buffer across  LTE-NR dual connectivity should be supported. </w:t>
      </w:r>
    </w:p>
    <w:p w:rsidR="00AB369B" w:rsidRPr="00AB369B" w:rsidRDefault="00AB369B" w:rsidP="00AB369B">
      <w:pPr>
        <w:keepNext/>
        <w:keepLines/>
        <w:numPr>
          <w:ilvl w:val="0"/>
          <w:numId w:val="2"/>
        </w:numPr>
        <w:pBdr>
          <w:top w:val="single" w:sz="12" w:space="3" w:color="auto"/>
        </w:pBdr>
        <w:overflowPunct w:val="0"/>
        <w:autoSpaceDE w:val="0"/>
        <w:autoSpaceDN w:val="0"/>
        <w:adjustRightInd w:val="0"/>
        <w:spacing w:before="240" w:after="180" w:line="240" w:lineRule="auto"/>
        <w:ind w:left="360"/>
        <w:textAlignment w:val="baseline"/>
        <w:outlineLvl w:val="0"/>
        <w:rPr>
          <w:rFonts w:ascii="Arial" w:eastAsia="SimSun" w:hAnsi="Arial" w:cs="Times New Roman"/>
          <w:sz w:val="32"/>
          <w:szCs w:val="20"/>
          <w:lang w:val="en-GB"/>
        </w:rPr>
      </w:pPr>
      <w:r w:rsidRPr="00AB369B">
        <w:rPr>
          <w:rFonts w:ascii="Arial" w:eastAsia="SimSun" w:hAnsi="Arial" w:cs="Times New Roman"/>
          <w:sz w:val="32"/>
          <w:szCs w:val="20"/>
          <w:lang w:val="en-GB"/>
        </w:rPr>
        <w:t>Reference</w:t>
      </w:r>
    </w:p>
    <w:p w:rsidR="00AB369B" w:rsidRPr="00AB369B" w:rsidRDefault="00AB369B" w:rsidP="00AB369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AB369B">
        <w:rPr>
          <w:rFonts w:ascii="Times New Roman" w:eastAsia="SimSun" w:hAnsi="Times New Roman" w:cs="Times New Roman"/>
          <w:sz w:val="20"/>
          <w:szCs w:val="20"/>
        </w:rPr>
        <w:t>[1] R1-1710573, Intel, On HARQ processes and HARQ RTT, RAN1#AH, June 2017</w:t>
      </w:r>
    </w:p>
    <w:p w:rsidR="00AB369B" w:rsidRPr="00AB369B" w:rsidRDefault="00AB369B" w:rsidP="00AB369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AB369B">
        <w:rPr>
          <w:rFonts w:ascii="Times New Roman" w:eastAsia="SimSun" w:hAnsi="Times New Roman" w:cs="Times New Roman"/>
          <w:sz w:val="20"/>
          <w:szCs w:val="20"/>
        </w:rPr>
        <w:t>[2] R1-1710221</w:t>
      </w:r>
      <w:r w:rsidRPr="00AB369B">
        <w:rPr>
          <w:rFonts w:ascii="Times New Roman" w:eastAsia="SimSun" w:hAnsi="Times New Roman" w:cs="Times New Roman"/>
          <w:sz w:val="20"/>
          <w:szCs w:val="20"/>
        </w:rPr>
        <w:tab/>
        <w:t>Reply LS on UE categories for NR and LTE-NR Dual Connectivity</w:t>
      </w:r>
      <w:r w:rsidRPr="00AB369B">
        <w:rPr>
          <w:rFonts w:ascii="Times New Roman" w:eastAsia="SimSun" w:hAnsi="Times New Roman" w:cs="Times New Roman"/>
          <w:sz w:val="20"/>
          <w:szCs w:val="20"/>
        </w:rPr>
        <w:tab/>
        <w:t>RAN, NTT DOCOMO</w:t>
      </w:r>
    </w:p>
    <w:p w:rsidR="00AB369B" w:rsidRPr="00AB369B" w:rsidRDefault="00AB369B" w:rsidP="00AB369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AB369B">
        <w:rPr>
          <w:rFonts w:ascii="Times New Roman" w:eastAsia="SimSun" w:hAnsi="Times New Roman" w:cs="Times New Roman"/>
          <w:sz w:val="20"/>
          <w:szCs w:val="20"/>
        </w:rPr>
        <w:t>[3] R-11711207, “Considerations for soft buffer management”, Qualcomm, RAN1#AH, June 2017</w:t>
      </w:r>
    </w:p>
    <w:p w:rsidR="00AB369B" w:rsidRPr="00AB369B" w:rsidRDefault="00AB369B" w:rsidP="00AB369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rsidR="00AB369B" w:rsidRPr="00AB369B" w:rsidRDefault="00AB369B" w:rsidP="00AB369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rsidR="00AB369B" w:rsidRPr="00AB369B" w:rsidRDefault="00AB369B" w:rsidP="00AB369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rsidR="002F3778" w:rsidRDefault="002F3778"/>
    <w:sectPr w:rsidR="002F3778" w:rsidSect="00D300FC">
      <w:headerReference w:type="even" r:id="rId5"/>
      <w:footerReference w:type="even" r:id="rId6"/>
      <w:footerReference w:type="default" r:id="rId7"/>
      <w:footnotePr>
        <w:numRestart w:val="eachSect"/>
      </w:footnotePr>
      <w:pgSz w:w="12240" w:h="15840" w:code="1"/>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0FC" w:rsidRDefault="00AB369B" w:rsidP="00D300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300FC" w:rsidRDefault="00AB369B" w:rsidP="00D300F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0FC" w:rsidRDefault="00AB369B" w:rsidP="00D300F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w:t>
    </w:r>
    <w:r>
      <w:rPr>
        <w:rStyle w:val="PageNumber"/>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0FC" w:rsidRDefault="00AB369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B31379"/>
    <w:multiLevelType w:val="hybridMultilevel"/>
    <w:tmpl w:val="7F72C8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588401BC"/>
    <w:multiLevelType w:val="hybridMultilevel"/>
    <w:tmpl w:val="5054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00"/>
  <w:drawingGridVerticalSpacing w:val="136"/>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69B"/>
    <w:rsid w:val="002F3778"/>
    <w:rsid w:val="00AB369B"/>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B9987C-A944-46C4-A2F6-26AFDF09D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B369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B369B"/>
  </w:style>
  <w:style w:type="character" w:styleId="PageNumber">
    <w:name w:val="page number"/>
    <w:basedOn w:val="DefaultParagraphFont"/>
    <w:rsid w:val="00AB36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833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2017-08-11T23:41:00Z</dcterms:created>
  <dcterms:modified xsi:type="dcterms:W3CDTF">2017-08-11T23:42:00Z</dcterms:modified>
</cp:coreProperties>
</file>