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7777777" w:rsidR="003220D0" w:rsidRDefault="003220D0" w:rsidP="00C07E87">
      <w:pPr>
        <w:pStyle w:val="3GPPHeader"/>
        <w:spacing w:after="60"/>
      </w:pPr>
    </w:p>
    <w:p w14:paraId="37CE5056" w14:textId="7AE84E29" w:rsidR="00C07E87" w:rsidRPr="00D22346" w:rsidRDefault="00812072" w:rsidP="00C07E87">
      <w:pPr>
        <w:pStyle w:val="3GPPHeader"/>
        <w:spacing w:after="60"/>
        <w:rPr>
          <w:sz w:val="32"/>
          <w:szCs w:val="32"/>
          <w:highlight w:val="yellow"/>
        </w:rPr>
      </w:pPr>
      <w:r w:rsidRPr="00D22346">
        <w:t xml:space="preserve">3GPP TSG-RAN WG1 </w:t>
      </w:r>
      <w:r w:rsidR="003220D0">
        <w:t>Meeting</w:t>
      </w:r>
      <w:r w:rsidR="003B0B02">
        <w:t>#89</w:t>
      </w:r>
      <w:r w:rsidR="00C07E87" w:rsidRPr="00D22346">
        <w:tab/>
      </w:r>
      <w:r w:rsidR="003B365D" w:rsidRPr="003220D0">
        <w:rPr>
          <w:sz w:val="22"/>
        </w:rPr>
        <w:t xml:space="preserve"> </w:t>
      </w:r>
      <w:r w:rsidR="00240B51" w:rsidRPr="003220D0">
        <w:rPr>
          <w:szCs w:val="32"/>
        </w:rPr>
        <w:t>R1-</w:t>
      </w:r>
      <w:r w:rsidR="00640135">
        <w:rPr>
          <w:szCs w:val="32"/>
        </w:rPr>
        <w:t>1709063</w:t>
      </w:r>
    </w:p>
    <w:p w14:paraId="0AE713F2" w14:textId="140275D2" w:rsidR="00CE227E" w:rsidRDefault="003B0B02" w:rsidP="00CE227E">
      <w:pPr>
        <w:pStyle w:val="CRCoverPage"/>
        <w:outlineLvl w:val="0"/>
        <w:rPr>
          <w:b/>
          <w:noProof/>
          <w:sz w:val="24"/>
        </w:rPr>
      </w:pPr>
      <w:r>
        <w:rPr>
          <w:b/>
          <w:noProof/>
          <w:sz w:val="24"/>
        </w:rPr>
        <w:t>Hangzhou</w:t>
      </w:r>
      <w:r w:rsidR="00CE227E" w:rsidRPr="00AB78B2">
        <w:rPr>
          <w:b/>
          <w:noProof/>
          <w:sz w:val="24"/>
        </w:rPr>
        <w:t>,</w:t>
      </w:r>
      <w:r>
        <w:rPr>
          <w:b/>
          <w:noProof/>
          <w:sz w:val="24"/>
        </w:rPr>
        <w:t xml:space="preserve"> China</w:t>
      </w:r>
      <w:r w:rsidR="003220D0">
        <w:rPr>
          <w:b/>
          <w:noProof/>
          <w:sz w:val="24"/>
        </w:rPr>
        <w:t>,</w:t>
      </w:r>
      <w:r w:rsidR="00CE227E" w:rsidRPr="00AB78B2">
        <w:rPr>
          <w:b/>
          <w:noProof/>
          <w:sz w:val="24"/>
        </w:rPr>
        <w:t xml:space="preserve"> </w:t>
      </w:r>
      <w:r>
        <w:rPr>
          <w:b/>
          <w:noProof/>
          <w:sz w:val="24"/>
        </w:rPr>
        <w:t>15</w:t>
      </w:r>
      <w:r>
        <w:rPr>
          <w:b/>
          <w:noProof/>
          <w:sz w:val="24"/>
          <w:vertAlign w:val="superscript"/>
        </w:rPr>
        <w:t>th</w:t>
      </w:r>
      <w:r w:rsidR="003220D0">
        <w:rPr>
          <w:b/>
          <w:noProof/>
          <w:sz w:val="24"/>
          <w:vertAlign w:val="superscript"/>
        </w:rPr>
        <w:t xml:space="preserve"> </w:t>
      </w:r>
      <w:r w:rsidR="00CE227E">
        <w:rPr>
          <w:b/>
          <w:noProof/>
          <w:sz w:val="24"/>
        </w:rPr>
        <w:t>-</w:t>
      </w:r>
      <w:r w:rsidR="003220D0">
        <w:rPr>
          <w:b/>
          <w:noProof/>
          <w:sz w:val="24"/>
        </w:rPr>
        <w:t xml:space="preserve"> </w:t>
      </w:r>
      <w:r>
        <w:rPr>
          <w:b/>
          <w:noProof/>
          <w:sz w:val="24"/>
        </w:rPr>
        <w:t>19</w:t>
      </w:r>
      <w:r w:rsidR="00CE227E" w:rsidRPr="00BD6748">
        <w:rPr>
          <w:b/>
          <w:noProof/>
          <w:sz w:val="24"/>
          <w:vertAlign w:val="superscript"/>
        </w:rPr>
        <w:t>th</w:t>
      </w:r>
      <w:r>
        <w:rPr>
          <w:b/>
          <w:noProof/>
          <w:sz w:val="24"/>
        </w:rPr>
        <w:t xml:space="preserve"> May</w:t>
      </w:r>
      <w:r w:rsidR="00CE227E">
        <w:rPr>
          <w:b/>
          <w:noProof/>
          <w:sz w:val="24"/>
        </w:rPr>
        <w:t xml:space="preserve"> 2017</w:t>
      </w:r>
    </w:p>
    <w:p w14:paraId="189863E3" w14:textId="77777777" w:rsidR="00C07E87" w:rsidRPr="003220D0" w:rsidRDefault="00C07E87" w:rsidP="00C07E87">
      <w:pPr>
        <w:pStyle w:val="3GPPHeader"/>
        <w:rPr>
          <w:lang w:val="en-GB"/>
        </w:rPr>
      </w:pPr>
    </w:p>
    <w:p w14:paraId="293CC8DE" w14:textId="5CE69E7F"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3B0B02">
        <w:rPr>
          <w:sz w:val="22"/>
          <w:szCs w:val="22"/>
        </w:rPr>
        <w:t>7</w:t>
      </w:r>
      <w:r w:rsidR="00AE553B" w:rsidRPr="00AE553B">
        <w:rPr>
          <w:sz w:val="22"/>
          <w:szCs w:val="22"/>
        </w:rPr>
        <w:t>.1.3.1.</w:t>
      </w:r>
      <w:r w:rsidR="003B0B02">
        <w:rPr>
          <w:sz w:val="22"/>
          <w:szCs w:val="22"/>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391330F" w:rsidR="00E90E49" w:rsidRPr="00CE0424" w:rsidRDefault="003D3C45" w:rsidP="00311702">
      <w:pPr>
        <w:pStyle w:val="3GPPHeader"/>
        <w:rPr>
          <w:sz w:val="22"/>
          <w:szCs w:val="22"/>
        </w:rPr>
      </w:pPr>
      <w:r>
        <w:rPr>
          <w:sz w:val="22"/>
          <w:szCs w:val="22"/>
        </w:rPr>
        <w:t>Title:</w:t>
      </w:r>
      <w:r w:rsidR="00E90E49" w:rsidRPr="00CE0424">
        <w:rPr>
          <w:sz w:val="22"/>
          <w:szCs w:val="22"/>
        </w:rPr>
        <w:tab/>
      </w:r>
      <w:r w:rsidR="00445EF9">
        <w:rPr>
          <w:sz w:val="22"/>
          <w:szCs w:val="22"/>
        </w:rPr>
        <w:t xml:space="preserve">On NR-PDCCH </w:t>
      </w:r>
      <w:r w:rsidR="00347ED9">
        <w:rPr>
          <w:sz w:val="22"/>
          <w:szCs w:val="22"/>
        </w:rPr>
        <w:t>Structure</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7970F62B" w14:textId="47E6362F" w:rsidR="00FD1199" w:rsidRDefault="00FD1199" w:rsidP="00FD1199">
      <w:r>
        <w:rPr>
          <w:rFonts w:cs="Arial"/>
        </w:rPr>
        <w:t>A work item for NR was agreed in RAN#75</w:t>
      </w:r>
      <w:r w:rsidR="002B6F94">
        <w:rPr>
          <w:rFonts w:cs="Arial"/>
        </w:rPr>
        <w:t xml:space="preserve"> </w:t>
      </w:r>
      <w:r w:rsidR="002B6F94">
        <w:rPr>
          <w:rFonts w:cs="Arial"/>
        </w:rPr>
        <w:fldChar w:fldCharType="begin"/>
      </w:r>
      <w:r w:rsidR="002B6F94">
        <w:rPr>
          <w:rFonts w:cs="Arial"/>
        </w:rPr>
        <w:instrText xml:space="preserve"> REF _Ref477879020 \r \h </w:instrText>
      </w:r>
      <w:r w:rsidR="002B6F94">
        <w:rPr>
          <w:rFonts w:cs="Arial"/>
        </w:rPr>
      </w:r>
      <w:r w:rsidR="002B6F94">
        <w:rPr>
          <w:rFonts w:cs="Arial"/>
        </w:rPr>
        <w:fldChar w:fldCharType="separate"/>
      </w:r>
      <w:r w:rsidR="00315033">
        <w:rPr>
          <w:rFonts w:cs="Arial"/>
        </w:rPr>
        <w:t>[1]</w:t>
      </w:r>
      <w:r w:rsidR="002B6F94">
        <w:rPr>
          <w:rFonts w:cs="Arial"/>
        </w:rPr>
        <w:fldChar w:fldCharType="end"/>
      </w:r>
      <w:r w:rsidR="001866FC">
        <w:rPr>
          <w:rFonts w:cs="Arial"/>
        </w:rPr>
        <w:t>.</w:t>
      </w:r>
      <w:r w:rsidR="002B6F94">
        <w:rPr>
          <w:rFonts w:cs="Arial"/>
        </w:rPr>
        <w:t xml:space="preserve"> The detailed objectives of the WID included the design of “</w:t>
      </w:r>
      <w:r w:rsidR="002B6F94" w:rsidRPr="00E036CB">
        <w:rPr>
          <w:lang w:eastAsia="ja-JP"/>
        </w:rPr>
        <w:t>Physical layer channels for control and data based o</w:t>
      </w:r>
      <w:r w:rsidR="002B6F94">
        <w:rPr>
          <w:lang w:eastAsia="ja-JP"/>
        </w:rPr>
        <w:t xml:space="preserve">n associated waveform, </w:t>
      </w:r>
      <w:r w:rsidR="002B6F94" w:rsidRPr="00E036CB">
        <w:rPr>
          <w:lang w:eastAsia="ja-JP"/>
        </w:rPr>
        <w:t>numerologies and frame structure in line with the conclusions of the study item, including mini-slot design</w:t>
      </w:r>
      <w:r w:rsidR="002B6F94">
        <w:rPr>
          <w:lang w:eastAsia="ja-JP"/>
        </w:rPr>
        <w:t xml:space="preserve">”. </w:t>
      </w:r>
    </w:p>
    <w:p w14:paraId="04A5B4B4" w14:textId="2C47127A" w:rsidR="003114EF" w:rsidRDefault="003114EF" w:rsidP="001866FC"/>
    <w:p w14:paraId="3D9C8BB7" w14:textId="171CD0FD" w:rsidR="008B4022" w:rsidRDefault="008B4022" w:rsidP="001866FC">
      <w:pPr>
        <w:rPr>
          <w:rFonts w:eastAsia="MS Mincho" w:cs="Arial"/>
          <w:iCs/>
          <w:lang w:eastAsia="ja-JP"/>
        </w:rPr>
      </w:pPr>
      <w:r>
        <w:t>In RAN</w:t>
      </w:r>
      <w:r w:rsidR="000629B8">
        <w:t>1#88, the following was agreed</w:t>
      </w:r>
      <w:r w:rsidR="00B14428">
        <w:t xml:space="preserve"> </w:t>
      </w:r>
      <w:r w:rsidR="00180283">
        <w:fldChar w:fldCharType="begin"/>
      </w:r>
      <w:r w:rsidR="00180283">
        <w:instrText xml:space="preserve"> REF _Ref481682350 \r \h </w:instrText>
      </w:r>
      <w:r w:rsidR="00180283">
        <w:fldChar w:fldCharType="separate"/>
      </w:r>
      <w:r w:rsidR="00315033">
        <w:t>[2]</w:t>
      </w:r>
      <w:r w:rsidR="00180283">
        <w:fldChar w:fldCharType="end"/>
      </w:r>
      <w:r w:rsidR="000629B8">
        <w:t>.</w:t>
      </w:r>
    </w:p>
    <w:p w14:paraId="64EDBF06" w14:textId="2CDFAF2D" w:rsidR="003114EF" w:rsidRDefault="003114EF" w:rsidP="001866FC">
      <w:pPr>
        <w:rPr>
          <w:rFonts w:eastAsia="MS Mincho" w:cs="Arial"/>
          <w:iCs/>
          <w:lang w:eastAsia="ja-JP"/>
        </w:rPr>
      </w:pPr>
      <w:r w:rsidRPr="00AF1296">
        <w:rPr>
          <w:rFonts w:eastAsia="MS Mincho"/>
          <w:highlight w:val="green"/>
          <w:lang w:eastAsia="ja-JP"/>
        </w:rPr>
        <w:t>Agreements</w:t>
      </w:r>
      <w:r w:rsidRPr="00AF1296">
        <w:rPr>
          <w:rFonts w:eastAsia="MS Mincho"/>
          <w:lang w:eastAsia="ja-JP"/>
        </w:rPr>
        <w:t>:</w:t>
      </w:r>
    </w:p>
    <w:p w14:paraId="03C8F62B" w14:textId="4875A953" w:rsidR="001866FC" w:rsidRPr="001866FC" w:rsidRDefault="001866FC" w:rsidP="001866FC">
      <w:pPr>
        <w:rPr>
          <w:rFonts w:eastAsia="MS Mincho" w:cs="Arial"/>
          <w:iCs/>
          <w:lang w:eastAsia="ja-JP"/>
        </w:rPr>
      </w:pPr>
      <w:r w:rsidRPr="001866FC">
        <w:rPr>
          <w:rFonts w:eastAsia="MS Mincho" w:cs="Arial"/>
          <w:iCs/>
          <w:lang w:eastAsia="ja-JP"/>
        </w:rPr>
        <w:t>Further study the following alternatives:</w:t>
      </w:r>
    </w:p>
    <w:p w14:paraId="4F98838C" w14:textId="77777777" w:rsidR="001866FC" w:rsidRPr="00847430" w:rsidRDefault="001866FC" w:rsidP="001866FC">
      <w:pPr>
        <w:pStyle w:val="ListParagraph"/>
        <w:numPr>
          <w:ilvl w:val="0"/>
          <w:numId w:val="16"/>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Alt 1: For a given control resource set, there is only one CCE to REG mapping scheme</w:t>
      </w:r>
    </w:p>
    <w:p w14:paraId="571DF929" w14:textId="1FE5991F" w:rsidR="003114EF" w:rsidRPr="00DC0D73" w:rsidRDefault="001866FC" w:rsidP="001866FC">
      <w:pPr>
        <w:pStyle w:val="ListParagraph"/>
        <w:numPr>
          <w:ilvl w:val="0"/>
          <w:numId w:val="16"/>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Alt 2: For a given search space, there is only one CCE to REG mapping scheme</w:t>
      </w:r>
    </w:p>
    <w:p w14:paraId="3D5002FC" w14:textId="4FEB2740" w:rsidR="001866FC" w:rsidRDefault="001866FC" w:rsidP="00385819">
      <w:pPr>
        <w:pStyle w:val="BodyText"/>
        <w:rPr>
          <w:rFonts w:eastAsia="MS Mincho"/>
          <w:lang w:eastAsia="ja-JP"/>
        </w:rPr>
      </w:pPr>
    </w:p>
    <w:p w14:paraId="2E66825A" w14:textId="0E2E7FCE" w:rsidR="00DC0D73" w:rsidRDefault="00DC0D73" w:rsidP="00DC0D73">
      <w:pPr>
        <w:pStyle w:val="BodyText"/>
      </w:pPr>
      <w:r>
        <w:t>In RAN#88bis, the following were agreed</w:t>
      </w:r>
      <w:r w:rsidR="00315033">
        <w:t xml:space="preserve"> </w:t>
      </w:r>
      <w:r w:rsidR="00315033">
        <w:fldChar w:fldCharType="begin"/>
      </w:r>
      <w:r w:rsidR="00315033">
        <w:instrText xml:space="preserve"> REF _Ref481797873 \r \h </w:instrText>
      </w:r>
      <w:r w:rsidR="00315033">
        <w:fldChar w:fldCharType="separate"/>
      </w:r>
      <w:r w:rsidR="00315033">
        <w:t>[3]</w:t>
      </w:r>
      <w:r w:rsidR="00315033">
        <w:fldChar w:fldCharType="end"/>
      </w:r>
      <w:r>
        <w:t>.</w:t>
      </w:r>
    </w:p>
    <w:p w14:paraId="2DA37AE2" w14:textId="77777777" w:rsidR="00DC0D73" w:rsidRPr="004F2B42" w:rsidRDefault="00DC0D73" w:rsidP="00DC0D73">
      <w:pPr>
        <w:rPr>
          <w:b/>
          <w:u w:val="single"/>
        </w:rPr>
      </w:pPr>
      <w:r w:rsidRPr="004F2B42">
        <w:rPr>
          <w:rFonts w:eastAsia="MS Mincho" w:hint="eastAsia"/>
          <w:b/>
          <w:highlight w:val="green"/>
          <w:u w:val="single"/>
          <w:lang w:eastAsia="ja-JP"/>
        </w:rPr>
        <w:t>Agreement</w:t>
      </w:r>
      <w:r w:rsidRPr="004F2B42">
        <w:rPr>
          <w:b/>
          <w:highlight w:val="green"/>
          <w:u w:val="single"/>
        </w:rPr>
        <w:t>:</w:t>
      </w:r>
    </w:p>
    <w:p w14:paraId="73ADEED0" w14:textId="77777777" w:rsidR="00DC0D73" w:rsidRPr="0072303E" w:rsidRDefault="00DC0D73" w:rsidP="00DC0D73">
      <w:pPr>
        <w:contextualSpacing/>
      </w:pPr>
      <w:r w:rsidRPr="0072303E">
        <w:t>NR-PDCCH can be mapped contiguously or non-contiguously in frequency with localized or distributed mapping of REGs to a CCE (in the physical domain)</w:t>
      </w:r>
    </w:p>
    <w:p w14:paraId="72AFA309" w14:textId="77777777" w:rsidR="00DC0D73" w:rsidRPr="0072303E" w:rsidRDefault="00DC0D73" w:rsidP="00DC0D73">
      <w:pPr>
        <w:pStyle w:val="ListParagraph"/>
        <w:numPr>
          <w:ilvl w:val="0"/>
          <w:numId w:val="18"/>
        </w:numPr>
        <w:contextualSpacing/>
        <w:rPr>
          <w:szCs w:val="20"/>
        </w:rPr>
      </w:pPr>
      <w:r w:rsidRPr="0072303E">
        <w:rPr>
          <w:szCs w:val="20"/>
        </w:rPr>
        <w:t xml:space="preserve">Note: The number of contiguous REGs in the CCE needs further discussion. </w:t>
      </w:r>
    </w:p>
    <w:p w14:paraId="570E8BAD" w14:textId="77777777" w:rsidR="00DC0D73" w:rsidRPr="0072303E" w:rsidRDefault="00DC0D73" w:rsidP="00DC0D73">
      <w:pPr>
        <w:pStyle w:val="ListParagraph"/>
        <w:numPr>
          <w:ilvl w:val="0"/>
          <w:numId w:val="18"/>
        </w:numPr>
        <w:contextualSpacing/>
        <w:rPr>
          <w:szCs w:val="20"/>
        </w:rPr>
      </w:pPr>
      <w:r w:rsidRPr="009346BD">
        <w:rPr>
          <w:rFonts w:eastAsia="MS Mincho" w:hint="eastAsia"/>
          <w:szCs w:val="20"/>
          <w:lang w:eastAsia="ja-JP"/>
        </w:rPr>
        <w:t>Note: Localized/</w:t>
      </w:r>
      <w:r w:rsidRPr="0072303E">
        <w:rPr>
          <w:szCs w:val="20"/>
        </w:rPr>
        <w:t>distributed mapping</w:t>
      </w:r>
      <w:r w:rsidRPr="009346BD">
        <w:rPr>
          <w:rFonts w:eastAsia="MS Mincho" w:hint="eastAsia"/>
          <w:szCs w:val="20"/>
          <w:lang w:eastAsia="ja-JP"/>
        </w:rPr>
        <w:t xml:space="preserve"> can be achieved without/with interleaving.</w:t>
      </w:r>
    </w:p>
    <w:p w14:paraId="64114BFB" w14:textId="77777777" w:rsidR="00DC0D73" w:rsidRDefault="00DC0D73" w:rsidP="00DC0D73">
      <w:pPr>
        <w:rPr>
          <w:rFonts w:eastAsia="MS Mincho"/>
          <w:iCs/>
          <w:highlight w:val="yellow"/>
          <w:lang w:eastAsia="ja-JP"/>
        </w:rPr>
      </w:pPr>
    </w:p>
    <w:p w14:paraId="069CB7C0" w14:textId="77777777" w:rsidR="00DC0D73" w:rsidRPr="004F2B42" w:rsidRDefault="00DC0D73" w:rsidP="00DC0D73">
      <w:pPr>
        <w:rPr>
          <w:rFonts w:eastAsia="MS Mincho"/>
          <w:b/>
          <w:iCs/>
          <w:u w:val="single"/>
          <w:lang w:eastAsia="ja-JP"/>
        </w:rPr>
      </w:pPr>
      <w:r w:rsidRPr="004F2B42">
        <w:rPr>
          <w:rFonts w:eastAsia="MS Mincho" w:hint="eastAsia"/>
          <w:b/>
          <w:iCs/>
          <w:highlight w:val="green"/>
          <w:u w:val="single"/>
          <w:lang w:eastAsia="ja-JP"/>
        </w:rPr>
        <w:t>Agreements:</w:t>
      </w:r>
    </w:p>
    <w:p w14:paraId="4541F2E1" w14:textId="77777777" w:rsidR="00DC0D73" w:rsidRDefault="00DC0D73" w:rsidP="00DC0D73">
      <w:pPr>
        <w:numPr>
          <w:ilvl w:val="0"/>
          <w:numId w:val="19"/>
        </w:numPr>
        <w:overflowPunct/>
        <w:autoSpaceDE/>
        <w:autoSpaceDN/>
        <w:adjustRightInd/>
        <w:spacing w:after="0" w:line="276" w:lineRule="auto"/>
        <w:ind w:hanging="357"/>
        <w:jc w:val="left"/>
        <w:textAlignment w:val="auto"/>
      </w:pPr>
      <w:r>
        <w:t>A CCE may be mapped to REGs with interleaved or non-interleaved REG indices within a CORESET</w:t>
      </w:r>
    </w:p>
    <w:p w14:paraId="0E0F6913" w14:textId="77777777" w:rsidR="00DC0D73" w:rsidRPr="002A63CD" w:rsidRDefault="00DC0D73" w:rsidP="00DC0D73">
      <w:pPr>
        <w:numPr>
          <w:ilvl w:val="0"/>
          <w:numId w:val="19"/>
        </w:numPr>
        <w:overflowPunct/>
        <w:autoSpaceDE/>
        <w:autoSpaceDN/>
        <w:adjustRightInd/>
        <w:spacing w:after="0" w:line="276" w:lineRule="auto"/>
        <w:ind w:hanging="357"/>
        <w:jc w:val="left"/>
        <w:textAlignment w:val="auto"/>
      </w:pPr>
      <w:r w:rsidRPr="002A63CD">
        <w:rPr>
          <w:rFonts w:eastAsia="MS Mincho"/>
          <w:iCs/>
          <w:lang w:eastAsia="ja-JP"/>
        </w:rPr>
        <w:t xml:space="preserve">Definition of a REG bundle: The UE may assume that the same precoder is used for the REGs in a REG bundle and that the REGs in a REG bundle are contiguous in frequency and/or time </w:t>
      </w:r>
    </w:p>
    <w:p w14:paraId="003EAE63" w14:textId="77777777" w:rsidR="00DC0D73" w:rsidRPr="00B23927" w:rsidRDefault="00DC0D73" w:rsidP="00DC0D73">
      <w:pPr>
        <w:numPr>
          <w:ilvl w:val="0"/>
          <w:numId w:val="19"/>
        </w:numPr>
        <w:overflowPunct/>
        <w:autoSpaceDE/>
        <w:autoSpaceDN/>
        <w:adjustRightInd/>
        <w:spacing w:after="0" w:line="276" w:lineRule="auto"/>
        <w:ind w:hanging="357"/>
        <w:jc w:val="left"/>
        <w:textAlignment w:val="auto"/>
      </w:pPr>
      <w:r>
        <w:rPr>
          <w:rFonts w:eastAsia="MS Mincho"/>
          <w:iCs/>
          <w:lang w:eastAsia="ja-JP"/>
        </w:rPr>
        <w:t>REG bundling per CCE is supported</w:t>
      </w:r>
      <w:r w:rsidRPr="0072303E">
        <w:rPr>
          <w:rFonts w:eastAsia="MS Mincho"/>
          <w:iCs/>
          <w:lang w:eastAsia="ja-JP"/>
        </w:rPr>
        <w:t xml:space="preserve"> for NR-PDCCH</w:t>
      </w:r>
    </w:p>
    <w:p w14:paraId="7FB4AD14" w14:textId="77777777" w:rsidR="00DC0D73" w:rsidRDefault="00DC0D73" w:rsidP="00DC0D73">
      <w:pPr>
        <w:numPr>
          <w:ilvl w:val="1"/>
          <w:numId w:val="19"/>
        </w:numPr>
        <w:overflowPunct/>
        <w:autoSpaceDE/>
        <w:autoSpaceDN/>
        <w:adjustRightInd/>
        <w:spacing w:after="0" w:line="276" w:lineRule="auto"/>
        <w:ind w:hanging="357"/>
        <w:jc w:val="left"/>
        <w:textAlignment w:val="auto"/>
      </w:pPr>
      <w:r>
        <w:t>FFS: Whether this applies to common search space</w:t>
      </w:r>
    </w:p>
    <w:p w14:paraId="5160E368" w14:textId="77777777" w:rsidR="00DC0D73" w:rsidRPr="002A63CD" w:rsidRDefault="00DC0D73" w:rsidP="00DC0D73">
      <w:pPr>
        <w:numPr>
          <w:ilvl w:val="1"/>
          <w:numId w:val="19"/>
        </w:numPr>
        <w:overflowPunct/>
        <w:autoSpaceDE/>
        <w:autoSpaceDN/>
        <w:adjustRightInd/>
        <w:spacing w:after="0" w:line="276" w:lineRule="auto"/>
        <w:ind w:hanging="357"/>
        <w:jc w:val="left"/>
        <w:textAlignment w:val="auto"/>
      </w:pPr>
      <w:r>
        <w:rPr>
          <w:rFonts w:eastAsia="MS Mincho"/>
          <w:iCs/>
          <w:lang w:eastAsia="ja-JP"/>
        </w:rPr>
        <w:t>FFS: Whether all REGs have DMRS or not</w:t>
      </w:r>
    </w:p>
    <w:p w14:paraId="0D0100D9" w14:textId="77777777" w:rsidR="00DC0D73" w:rsidRPr="004B517E" w:rsidRDefault="00DC0D73" w:rsidP="00DC0D73">
      <w:pPr>
        <w:numPr>
          <w:ilvl w:val="1"/>
          <w:numId w:val="19"/>
        </w:numPr>
        <w:overflowPunct/>
        <w:autoSpaceDE/>
        <w:autoSpaceDN/>
        <w:adjustRightInd/>
        <w:spacing w:after="0" w:line="276" w:lineRule="auto"/>
        <w:ind w:hanging="357"/>
        <w:jc w:val="left"/>
        <w:textAlignment w:val="auto"/>
      </w:pPr>
      <w:r>
        <w:t>FFS: Whether wideband precoding is supported and the definition of a REG bundle if it is supported</w:t>
      </w:r>
    </w:p>
    <w:p w14:paraId="7A8A462B" w14:textId="77777777" w:rsidR="00DC0D73" w:rsidRDefault="00DC0D73" w:rsidP="00DC0D73">
      <w:pPr>
        <w:numPr>
          <w:ilvl w:val="1"/>
          <w:numId w:val="19"/>
        </w:numPr>
        <w:overflowPunct/>
        <w:autoSpaceDE/>
        <w:autoSpaceDN/>
        <w:adjustRightInd/>
        <w:spacing w:after="0" w:line="276" w:lineRule="auto"/>
        <w:ind w:hanging="357"/>
        <w:jc w:val="left"/>
        <w:textAlignment w:val="auto"/>
      </w:pPr>
      <w:r>
        <w:t xml:space="preserve">FFS: whether REG bundle size is different for mapping of NR-PDCCH with or without interleaved mapping of CCE to REGs </w:t>
      </w:r>
    </w:p>
    <w:p w14:paraId="25B2C873" w14:textId="77777777" w:rsidR="00DC0D73" w:rsidRPr="00597176" w:rsidRDefault="00DC0D73" w:rsidP="00DC0D73">
      <w:pPr>
        <w:numPr>
          <w:ilvl w:val="1"/>
          <w:numId w:val="19"/>
        </w:numPr>
        <w:overflowPunct/>
        <w:autoSpaceDE/>
        <w:autoSpaceDN/>
        <w:adjustRightInd/>
        <w:spacing w:after="0" w:line="276" w:lineRule="auto"/>
        <w:ind w:hanging="357"/>
        <w:jc w:val="left"/>
        <w:textAlignment w:val="auto"/>
      </w:pPr>
      <w:r>
        <w:t>FFS on REG bundle</w:t>
      </w:r>
      <w:r w:rsidRPr="00597176">
        <w:t xml:space="preserve"> size</w:t>
      </w:r>
    </w:p>
    <w:p w14:paraId="56C09BBF" w14:textId="77777777" w:rsidR="00DC0D73" w:rsidRPr="00597176" w:rsidRDefault="00DC0D73" w:rsidP="00DC0D73">
      <w:pPr>
        <w:numPr>
          <w:ilvl w:val="1"/>
          <w:numId w:val="19"/>
        </w:numPr>
        <w:overflowPunct/>
        <w:autoSpaceDE/>
        <w:autoSpaceDN/>
        <w:adjustRightInd/>
        <w:spacing w:after="0" w:line="276" w:lineRule="auto"/>
        <w:ind w:hanging="357"/>
        <w:jc w:val="left"/>
        <w:textAlignment w:val="auto"/>
      </w:pPr>
      <w:r>
        <w:t>FFS whether REG bundle</w:t>
      </w:r>
      <w:r w:rsidRPr="00597176">
        <w:t xml:space="preserve"> size is configurable</w:t>
      </w:r>
    </w:p>
    <w:p w14:paraId="3623E287" w14:textId="77777777" w:rsidR="00DC0D73" w:rsidRDefault="00DC0D73" w:rsidP="00DC0D73">
      <w:pPr>
        <w:rPr>
          <w:rFonts w:eastAsia="MS Mincho"/>
          <w:iCs/>
          <w:lang w:eastAsia="ja-JP"/>
        </w:rPr>
      </w:pPr>
    </w:p>
    <w:p w14:paraId="19B61D5A" w14:textId="77777777" w:rsidR="00DC0D73" w:rsidRPr="00AD4D47" w:rsidRDefault="00DC0D73" w:rsidP="00DC0D73">
      <w:pPr>
        <w:rPr>
          <w:rFonts w:eastAsia="MS Mincho"/>
          <w:b/>
          <w:iCs/>
          <w:u w:val="single"/>
          <w:lang w:eastAsia="ja-JP"/>
        </w:rPr>
      </w:pPr>
      <w:r w:rsidRPr="00F665C0">
        <w:rPr>
          <w:rFonts w:eastAsia="MS Mincho" w:hint="eastAsia"/>
          <w:b/>
          <w:iCs/>
          <w:highlight w:val="darkYellow"/>
          <w:u w:val="single"/>
          <w:lang w:eastAsia="ja-JP"/>
        </w:rPr>
        <w:t>Working assumption</w:t>
      </w:r>
      <w:r w:rsidRPr="00F665C0">
        <w:rPr>
          <w:rFonts w:eastAsia="MS Mincho"/>
          <w:b/>
          <w:iCs/>
          <w:highlight w:val="darkYellow"/>
          <w:u w:val="single"/>
          <w:lang w:eastAsia="ja-JP"/>
        </w:rPr>
        <w:t>:</w:t>
      </w:r>
    </w:p>
    <w:p w14:paraId="7A90C408" w14:textId="77777777" w:rsidR="00DC0D73" w:rsidRPr="00966F79" w:rsidRDefault="00DC0D73" w:rsidP="00DC0D73">
      <w:pPr>
        <w:numPr>
          <w:ilvl w:val="1"/>
          <w:numId w:val="20"/>
        </w:numPr>
        <w:overflowPunct/>
        <w:autoSpaceDE/>
        <w:autoSpaceDN/>
        <w:adjustRightInd/>
        <w:spacing w:after="0"/>
        <w:jc w:val="left"/>
        <w:textAlignment w:val="auto"/>
        <w:rPr>
          <w:rFonts w:eastAsia="MS Mincho"/>
          <w:iCs/>
          <w:lang w:eastAsia="ja-JP"/>
        </w:rPr>
      </w:pPr>
      <w:r w:rsidRPr="00966F79">
        <w:rPr>
          <w:rFonts w:eastAsia="MS Mincho"/>
          <w:iCs/>
          <w:lang w:eastAsia="ja-JP"/>
        </w:rPr>
        <w:lastRenderedPageBreak/>
        <w:t>A NR-CCE is defined as 6 REGs</w:t>
      </w:r>
    </w:p>
    <w:p w14:paraId="1EBD6BE8" w14:textId="77777777" w:rsidR="00DC0D73" w:rsidRPr="00966F79" w:rsidRDefault="00DC0D73" w:rsidP="00DC0D73">
      <w:pPr>
        <w:numPr>
          <w:ilvl w:val="2"/>
          <w:numId w:val="20"/>
        </w:numPr>
        <w:overflowPunct/>
        <w:autoSpaceDE/>
        <w:autoSpaceDN/>
        <w:adjustRightInd/>
        <w:spacing w:after="0"/>
        <w:jc w:val="left"/>
        <w:textAlignment w:val="auto"/>
        <w:rPr>
          <w:rFonts w:eastAsia="MS Mincho"/>
          <w:iCs/>
          <w:lang w:eastAsia="ja-JP"/>
        </w:rPr>
      </w:pPr>
      <w:r w:rsidRPr="00966F79">
        <w:rPr>
          <w:rFonts w:eastAsia="MS Mincho"/>
          <w:iCs/>
          <w:lang w:eastAsia="ja-JP"/>
        </w:rPr>
        <w:t>Candidate bundle sizes for distributed REG-to-CCE mapping: 2 or 3 REGs if NR-CCE is defined as 6 REGs</w:t>
      </w:r>
    </w:p>
    <w:p w14:paraId="63E166A4" w14:textId="77777777" w:rsidR="00DC0D73" w:rsidRPr="00966F79" w:rsidRDefault="00DC0D73" w:rsidP="00DC0D73">
      <w:pPr>
        <w:numPr>
          <w:ilvl w:val="1"/>
          <w:numId w:val="20"/>
        </w:numPr>
        <w:overflowPunct/>
        <w:autoSpaceDE/>
        <w:autoSpaceDN/>
        <w:adjustRightInd/>
        <w:spacing w:after="0"/>
        <w:jc w:val="left"/>
        <w:textAlignment w:val="auto"/>
        <w:rPr>
          <w:rFonts w:eastAsia="MS Mincho"/>
          <w:iCs/>
          <w:lang w:eastAsia="ja-JP"/>
        </w:rPr>
      </w:pPr>
      <w:r w:rsidRPr="00966F79">
        <w:rPr>
          <w:rFonts w:eastAsia="MS Mincho"/>
          <w:iCs/>
          <w:lang w:eastAsia="ja-JP"/>
        </w:rPr>
        <w:t>FFS: impact of the NR-CCE definition on CORESET size, CCE aggregation levels, data resource allocation granularity, etc.</w:t>
      </w:r>
    </w:p>
    <w:p w14:paraId="0B4DAA7B" w14:textId="77777777" w:rsidR="00DC0D73" w:rsidRPr="00847430" w:rsidRDefault="00DC0D73" w:rsidP="00385819">
      <w:pPr>
        <w:pStyle w:val="BodyText"/>
        <w:rPr>
          <w:rFonts w:eastAsia="MS Mincho"/>
          <w:lang w:eastAsia="ja-JP"/>
        </w:rPr>
      </w:pPr>
    </w:p>
    <w:p w14:paraId="1AEB4F4C" w14:textId="4492F754" w:rsidR="002B6F94" w:rsidRPr="00385819" w:rsidRDefault="002B6F94" w:rsidP="00385819">
      <w:pPr>
        <w:pStyle w:val="BodyText"/>
        <w:rPr>
          <w:rFonts w:eastAsia="MS Mincho"/>
          <w:lang w:eastAsia="ja-JP"/>
        </w:rPr>
      </w:pPr>
      <w:r w:rsidRPr="00847430">
        <w:rPr>
          <w:rFonts w:eastAsia="MS Mincho"/>
          <w:lang w:eastAsia="ja-JP"/>
        </w:rPr>
        <w:t xml:space="preserve">In this contribution, we discuss some of the open design choices from the agreements above and the mapping of NR-PDCCH </w:t>
      </w:r>
      <w:r w:rsidR="00445EF9" w:rsidRPr="00847430">
        <w:rPr>
          <w:rFonts w:eastAsia="MS Mincho"/>
          <w:lang w:eastAsia="ja-JP"/>
        </w:rPr>
        <w:t xml:space="preserve">onto REGs and CCEs </w:t>
      </w:r>
      <w:r w:rsidRPr="00847430">
        <w:rPr>
          <w:rFonts w:eastAsia="MS Mincho"/>
          <w:lang w:eastAsia="ja-JP"/>
        </w:rPr>
        <w:t>in time and frequency</w:t>
      </w:r>
      <w:r w:rsidR="00445EF9" w:rsidRPr="00847430">
        <w:rPr>
          <w:rFonts w:eastAsia="MS Mincho"/>
          <w:lang w:eastAsia="ja-JP"/>
        </w:rPr>
        <w:t xml:space="preserve">. </w:t>
      </w:r>
      <w:r w:rsidR="00A80B90" w:rsidRPr="00847430">
        <w:rPr>
          <w:rFonts w:eastAsia="MS Mincho"/>
          <w:lang w:eastAsia="ja-JP"/>
        </w:rPr>
        <w:t>The size of a CCE in terms of the number of REGs is addressed in</w:t>
      </w:r>
      <w:r w:rsidR="00B94B2E">
        <w:rPr>
          <w:rFonts w:eastAsia="MS Mincho"/>
          <w:lang w:eastAsia="ja-JP"/>
        </w:rPr>
        <w:t xml:space="preserve"> </w:t>
      </w:r>
      <w:r w:rsidR="00B94B2E">
        <w:rPr>
          <w:rFonts w:eastAsia="MS Mincho"/>
          <w:lang w:eastAsia="ja-JP"/>
        </w:rPr>
        <w:fldChar w:fldCharType="begin"/>
      </w:r>
      <w:r w:rsidR="00B94B2E">
        <w:rPr>
          <w:rFonts w:eastAsia="MS Mincho"/>
          <w:lang w:eastAsia="ja-JP"/>
        </w:rPr>
        <w:instrText xml:space="preserve"> REF _Ref478186320 \r \h </w:instrText>
      </w:r>
      <w:r w:rsidR="00B94B2E">
        <w:rPr>
          <w:rFonts w:eastAsia="MS Mincho"/>
          <w:lang w:eastAsia="ja-JP"/>
        </w:rPr>
      </w:r>
      <w:r w:rsidR="00B94B2E">
        <w:rPr>
          <w:rFonts w:eastAsia="MS Mincho"/>
          <w:lang w:eastAsia="ja-JP"/>
        </w:rPr>
        <w:fldChar w:fldCharType="separate"/>
      </w:r>
      <w:r w:rsidR="00315033">
        <w:rPr>
          <w:rFonts w:eastAsia="MS Mincho"/>
          <w:lang w:eastAsia="ja-JP"/>
        </w:rPr>
        <w:t>[4]</w:t>
      </w:r>
      <w:r w:rsidR="00B94B2E">
        <w:rPr>
          <w:rFonts w:eastAsia="MS Mincho"/>
          <w:lang w:eastAsia="ja-JP"/>
        </w:rPr>
        <w:fldChar w:fldCharType="end"/>
      </w:r>
      <w:r w:rsidR="00A80B90">
        <w:rPr>
          <w:rFonts w:eastAsia="MS Mincho"/>
          <w:lang w:eastAsia="ja-JP"/>
        </w:rPr>
        <w:t>.</w:t>
      </w:r>
    </w:p>
    <w:p w14:paraId="623B3C48" w14:textId="36483FFA" w:rsidR="005261FA" w:rsidRPr="005261FA" w:rsidRDefault="005261FA" w:rsidP="005261FA">
      <w:pPr>
        <w:pStyle w:val="Heading1"/>
      </w:pPr>
      <w:r>
        <w:t>Discussion</w:t>
      </w:r>
    </w:p>
    <w:p w14:paraId="7165DD07" w14:textId="11918301" w:rsidR="00AE0387" w:rsidRDefault="0001343C" w:rsidP="00212E04">
      <w:pPr>
        <w:pStyle w:val="BodyText"/>
        <w:overflowPunct/>
        <w:autoSpaceDE/>
        <w:autoSpaceDN/>
        <w:adjustRightInd/>
        <w:textAlignment w:val="auto"/>
      </w:pPr>
      <w:r>
        <w:t xml:space="preserve">In the design of the control channel it has already been agreed that a Resource Element Group (REG) will be defined as spanning 1 PRB x 1 OFDM symbol in frequency and time. </w:t>
      </w:r>
    </w:p>
    <w:p w14:paraId="582E2D8D" w14:textId="29A0C6BB" w:rsidR="009B7B6C" w:rsidRDefault="009B7B6C" w:rsidP="00212E04">
      <w:pPr>
        <w:pStyle w:val="BodyText"/>
        <w:overflowPunct/>
        <w:autoSpaceDE/>
        <w:autoSpaceDN/>
        <w:adjustRightInd/>
        <w:textAlignment w:val="auto"/>
      </w:pPr>
      <w:r>
        <w:t xml:space="preserve">When REGs are distributed in frequency, </w:t>
      </w:r>
      <w:r w:rsidR="009F6C21">
        <w:t xml:space="preserve">the REGs within a CCE can be split into multiple groups with the REGs in each group being contiguous. There is a trade-off between channel estimation performance and achievable frequency diversity with fewer REGs in a group of contiguous REGs providing more frequency diversity while more REGs in a group having potential benefits in channel estimation performance. The evaluations in </w:t>
      </w:r>
      <w:r w:rsidR="00406342">
        <w:fldChar w:fldCharType="begin"/>
      </w:r>
      <w:r w:rsidR="00406342">
        <w:instrText xml:space="preserve"> REF _Ref478186320 \n \h </w:instrText>
      </w:r>
      <w:r w:rsidR="00406342">
        <w:fldChar w:fldCharType="separate"/>
      </w:r>
      <w:r w:rsidR="00315033">
        <w:t>[4]</w:t>
      </w:r>
      <w:r w:rsidR="00406342">
        <w:fldChar w:fldCharType="end"/>
      </w:r>
      <w:r w:rsidR="009F6C21">
        <w:t xml:space="preserve"> show that there is not much benefit in expanding the number of contiguous REGs beyond 2.</w:t>
      </w:r>
      <w:r w:rsidR="00B94B2E">
        <w:t xml:space="preserve"> Also, performance evaluations show that a CCE size of 6 provides adequate performance and suggest that the working a</w:t>
      </w:r>
      <w:r w:rsidR="0044586E">
        <w:t xml:space="preserve">ssumption should be confirmed </w:t>
      </w:r>
      <w:r w:rsidR="0044586E">
        <w:fldChar w:fldCharType="begin"/>
      </w:r>
      <w:r w:rsidR="0044586E">
        <w:instrText xml:space="preserve"> REF _Ref478186320 \n \h </w:instrText>
      </w:r>
      <w:r w:rsidR="0044586E">
        <w:fldChar w:fldCharType="separate"/>
      </w:r>
      <w:r w:rsidR="00315033">
        <w:t>[4]</w:t>
      </w:r>
      <w:r w:rsidR="0044586E">
        <w:fldChar w:fldCharType="end"/>
      </w:r>
      <w:r w:rsidR="0044586E">
        <w:t>.</w:t>
      </w:r>
      <w:r w:rsidR="00B94B2E">
        <w:t xml:space="preserve"> </w:t>
      </w:r>
    </w:p>
    <w:p w14:paraId="1A1ADF2A" w14:textId="7AABA6F9" w:rsidR="00AE0387" w:rsidRDefault="008E1301" w:rsidP="00445EF9">
      <w:pPr>
        <w:pStyle w:val="BodyText"/>
        <w:overflowPunct/>
        <w:autoSpaceDE/>
        <w:autoSpaceDN/>
        <w:adjustRightInd/>
        <w:textAlignment w:val="auto"/>
      </w:pPr>
      <w:r>
        <w:t xml:space="preserve">It was agreed at the last meeting that a CCE may be mapped to REGs with interleaved or non-interleaved REG indices within a CORESET. </w:t>
      </w:r>
      <w:r w:rsidR="00212E04">
        <w:t>In the design of the structure of the NR-PDCCH, it is important to allow enough flexibility that the NR-PDCCH can be received reliably in a wide range of scenarios. One design aspect is whether the NR-PDCCH should span only one OFDM symbol or whether it can span multiple OFDM symbols in a control resource set that has more than one OFDM symbol. Here, we note that each option has benefits in different deployment scenarios. At higher frequencies where analog beamforming may be required to serve UEs, it is beneficial to be able to transmit an NR-PDCCH in only one OFDM symbol so that NR-PDCCHs in different OFDM symbols may be sent to different UEs in different beams. On the other hand, when localized transmission is used with digital beamforming at lower carrier frequencies, there could be a benefit in concentrating the transmission in fewer PRBs</w:t>
      </w:r>
      <w:r w:rsidR="00CB1D24">
        <w:t xml:space="preserve"> which may be better facilitated by being able to send the NR-PDCCH across multiple OFDM symbols</w:t>
      </w:r>
      <w:r w:rsidR="00212E04">
        <w:t>. Therefore, we propose that the NR-PDCCH have the flexibility to be configured with both options</w:t>
      </w:r>
      <w:r>
        <w:t xml:space="preserve"> and that the CCE to REG mapping allow these options.</w:t>
      </w:r>
    </w:p>
    <w:p w14:paraId="3C55B5DB" w14:textId="70B3D674" w:rsidR="00020200" w:rsidRDefault="0088733D" w:rsidP="00445EF9">
      <w:pPr>
        <w:pStyle w:val="BodyText"/>
        <w:overflowPunct/>
        <w:autoSpaceDE/>
        <w:autoSpaceDN/>
        <w:adjustRightInd/>
        <w:textAlignment w:val="auto"/>
      </w:pPr>
      <w:r>
        <w:t xml:space="preserve">Another aspect of the NR-PDCCH structure that was discussed was whether there should be one mapping from CCEs to REGs per control resource set or per search space. It was agreed that a search space should be within a control resource set although the possibility of having multiple search spaces in a control resource set was left open. Even if there are multiple search spaces in a control resource set, it is possible for there to be a single mapping of CCEs to REGs for the control resource set. Allowing multiple mappings of CCEs to REGs does not provide any significant benefits that are worth the increase in the design complexity. This is especially true since multiple UE-specific control resource </w:t>
      </w:r>
      <w:r w:rsidR="0044586E">
        <w:t>sets can be configured to the UE and these control resource sets could have different CCE-to-REG mappings and could be overlapped</w:t>
      </w:r>
      <w:r>
        <w:t>.</w:t>
      </w:r>
    </w:p>
    <w:p w14:paraId="1D081CA9" w14:textId="74A291E7" w:rsidR="00020200" w:rsidRPr="00020200" w:rsidRDefault="00020200" w:rsidP="00020200">
      <w:pPr>
        <w:rPr>
          <w:lang w:val="en-GB"/>
        </w:rPr>
      </w:pPr>
      <w:r>
        <w:rPr>
          <w:lang w:val="en-GB"/>
        </w:rPr>
        <w:t xml:space="preserve">The basic structure may be summarized as follows. Each CORESET has multiple REGs within it with the REGs being numbered either in a frequency-first or time-first manner. The control channel elements (CCEs) may be mapped to a set of contiguous virtual REG numbers generated with or without interleaving the physical REG numbers in the CORESET. Interleaving is useful to distribute the REGs within a CCE so that they are in discontiguous PRBs which can provide frequency diversity. Not using interleaving is beneficial for cases where localized transmission of PDCCH is desired, i.e., where the PRBs containing the PDCCH are contiguous in frequency and time. </w:t>
      </w:r>
    </w:p>
    <w:p w14:paraId="2D7EC8E8" w14:textId="25DCA73A" w:rsidR="0088733D" w:rsidRDefault="008E1301" w:rsidP="00445EF9">
      <w:pPr>
        <w:pStyle w:val="BodyText"/>
        <w:overflowPunct/>
        <w:autoSpaceDE/>
        <w:autoSpaceDN/>
        <w:adjustRightInd/>
        <w:textAlignment w:val="auto"/>
      </w:pPr>
      <w:r>
        <w:t>Considering the above</w:t>
      </w:r>
      <w:r w:rsidR="0088733D">
        <w:t>, we propose the following.</w:t>
      </w:r>
    </w:p>
    <w:p w14:paraId="77D6F4A6" w14:textId="77777777" w:rsidR="0044586E" w:rsidRDefault="0044586E" w:rsidP="0044586E">
      <w:pPr>
        <w:rPr>
          <w:lang w:val="en-GB"/>
        </w:rPr>
      </w:pPr>
      <w:r w:rsidRPr="00FF729A">
        <w:rPr>
          <w:b/>
          <w:lang w:val="en-GB"/>
        </w:rPr>
        <w:t xml:space="preserve">Proposal: </w:t>
      </w:r>
      <w:r>
        <w:rPr>
          <w:lang w:val="en-GB"/>
        </w:rPr>
        <w:t>Each CORESET has a single mapping of CCEs to REGs which follows one of the following mapping schemes.</w:t>
      </w:r>
    </w:p>
    <w:p w14:paraId="0C748E40" w14:textId="51FE5A45"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t>Frequency first numbering of physical REGs an</w:t>
      </w:r>
      <w:r w:rsidR="008E1301" w:rsidRPr="00640135">
        <w:rPr>
          <w:rFonts w:ascii="Arial" w:hAnsi="Arial" w:cs="Arial"/>
          <w:sz w:val="20"/>
          <w:szCs w:val="20"/>
          <w:lang w:val="en-GB"/>
        </w:rPr>
        <w:t>d interleaved mapping of virtual</w:t>
      </w:r>
      <w:r w:rsidRPr="00640135">
        <w:rPr>
          <w:rFonts w:ascii="Arial" w:hAnsi="Arial" w:cs="Arial"/>
          <w:sz w:val="20"/>
          <w:szCs w:val="20"/>
          <w:lang w:val="en-GB"/>
        </w:rPr>
        <w:t xml:space="preserve"> REGs to physical REGs</w:t>
      </w:r>
    </w:p>
    <w:p w14:paraId="6E81F029" w14:textId="01FB8196"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w:t>
      </w:r>
      <w:r w:rsidR="008E1301" w:rsidRPr="00640135">
        <w:rPr>
          <w:rFonts w:ascii="Arial" w:hAnsi="Arial" w:cs="Arial"/>
          <w:sz w:val="20"/>
          <w:szCs w:val="20"/>
          <w:lang w:val="en-GB"/>
        </w:rPr>
        <w:t>d interleaved mapping of virtual</w:t>
      </w:r>
      <w:r w:rsidRPr="00640135">
        <w:rPr>
          <w:rFonts w:ascii="Arial" w:hAnsi="Arial" w:cs="Arial"/>
          <w:sz w:val="20"/>
          <w:szCs w:val="20"/>
          <w:lang w:val="en-GB"/>
        </w:rPr>
        <w:t xml:space="preserve"> REGs to physical REGs</w:t>
      </w:r>
    </w:p>
    <w:p w14:paraId="09E7369B" w14:textId="3F26AE5E"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t>Frequency first numbering of physical REGs and no</w:t>
      </w:r>
      <w:r w:rsidR="00B13BF8" w:rsidRPr="00640135">
        <w:rPr>
          <w:rFonts w:ascii="Arial" w:hAnsi="Arial" w:cs="Arial"/>
          <w:sz w:val="20"/>
          <w:szCs w:val="20"/>
          <w:lang w:val="en-GB"/>
        </w:rPr>
        <w:t>n-interleaved mapping of virtual</w:t>
      </w:r>
      <w:r w:rsidRPr="00640135">
        <w:rPr>
          <w:rFonts w:ascii="Arial" w:hAnsi="Arial" w:cs="Arial"/>
          <w:sz w:val="20"/>
          <w:szCs w:val="20"/>
          <w:lang w:val="en-GB"/>
        </w:rPr>
        <w:t xml:space="preserve"> REGs to physical REGs</w:t>
      </w:r>
    </w:p>
    <w:p w14:paraId="06268665" w14:textId="4C55EBB6"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lastRenderedPageBreak/>
        <w:t>Time first numbering of physical REGs and no</w:t>
      </w:r>
      <w:r w:rsidR="00B13BF8" w:rsidRPr="00640135">
        <w:rPr>
          <w:rFonts w:ascii="Arial" w:hAnsi="Arial" w:cs="Arial"/>
          <w:sz w:val="20"/>
          <w:szCs w:val="20"/>
          <w:lang w:val="en-GB"/>
        </w:rPr>
        <w:t>n-interleaved mapping of virtual</w:t>
      </w:r>
      <w:r w:rsidRPr="00640135">
        <w:rPr>
          <w:rFonts w:ascii="Arial" w:hAnsi="Arial" w:cs="Arial"/>
          <w:sz w:val="20"/>
          <w:szCs w:val="20"/>
          <w:lang w:val="en-GB"/>
        </w:rPr>
        <w:t xml:space="preserve"> REGs to physical REGs</w:t>
      </w:r>
    </w:p>
    <w:p w14:paraId="5F30A11D" w14:textId="5DCBD8E6" w:rsidR="00B13BF8" w:rsidRDefault="00B13BF8" w:rsidP="00445EF9">
      <w:pPr>
        <w:pStyle w:val="BodyText"/>
        <w:overflowPunct/>
        <w:autoSpaceDE/>
        <w:autoSpaceDN/>
        <w:adjustRightInd/>
        <w:textAlignment w:val="auto"/>
      </w:pPr>
    </w:p>
    <w:p w14:paraId="66BDD997" w14:textId="5E6EAE72" w:rsidR="0088733D" w:rsidRPr="00020200" w:rsidRDefault="00020200" w:rsidP="00020200">
      <w:pPr>
        <w:rPr>
          <w:lang w:val="en-GB"/>
        </w:rPr>
      </w:pPr>
      <w:r>
        <w:rPr>
          <w:lang w:val="en-GB"/>
        </w:rPr>
        <w:t>The CCEs</w:t>
      </w:r>
      <w:r w:rsidR="007550BD">
        <w:rPr>
          <w:lang w:val="en-GB"/>
        </w:rPr>
        <w:t xml:space="preserve"> can</w:t>
      </w:r>
      <w:r>
        <w:rPr>
          <w:lang w:val="en-GB"/>
        </w:rPr>
        <w:t xml:space="preserve"> then </w:t>
      </w:r>
      <w:r w:rsidR="007550BD">
        <w:rPr>
          <w:lang w:val="en-GB"/>
        </w:rPr>
        <w:t xml:space="preserve">be </w:t>
      </w:r>
      <w:r>
        <w:rPr>
          <w:lang w:val="en-GB"/>
        </w:rPr>
        <w:t xml:space="preserve">numbered in increasing order based on their lowest virtual REG numbers. The </w:t>
      </w:r>
      <w:r w:rsidR="007550BD">
        <w:rPr>
          <w:lang w:val="en-GB"/>
        </w:rPr>
        <w:t>NR-PDCCH can be</w:t>
      </w:r>
      <w:r>
        <w:rPr>
          <w:lang w:val="en-GB"/>
        </w:rPr>
        <w:t xml:space="preserve"> mapped </w:t>
      </w:r>
      <w:r w:rsidR="007550BD">
        <w:rPr>
          <w:lang w:val="en-GB"/>
        </w:rPr>
        <w:t xml:space="preserve">to the REs in a set of contiguous </w:t>
      </w:r>
      <w:r>
        <w:rPr>
          <w:lang w:val="en-GB"/>
        </w:rPr>
        <w:t>CCEs</w:t>
      </w:r>
      <w:r w:rsidR="007550BD">
        <w:rPr>
          <w:lang w:val="en-GB"/>
        </w:rPr>
        <w:t xml:space="preserve"> allocated for the NR-PDCCH</w:t>
      </w:r>
      <w:r>
        <w:rPr>
          <w:lang w:val="en-GB"/>
        </w:rPr>
        <w:t xml:space="preserve">. </w:t>
      </w:r>
      <w:r w:rsidR="00702C45">
        <w:t>We propose that this mapping is done frequency first within a REG and in increasing order of REG numbers (as per the configured CCE to REG mapping) across REGs, and in increasing order of CCE numbers across CCEs.</w:t>
      </w:r>
    </w:p>
    <w:p w14:paraId="77446414" w14:textId="320233EC" w:rsidR="00702C45" w:rsidRPr="0088733D" w:rsidRDefault="00702C45" w:rsidP="00445EF9">
      <w:pPr>
        <w:pStyle w:val="BodyText"/>
        <w:overflowPunct/>
        <w:autoSpaceDE/>
        <w:autoSpaceDN/>
        <w:adjustRightInd/>
        <w:textAlignment w:val="auto"/>
      </w:pPr>
      <w:r w:rsidRPr="00B407E7">
        <w:rPr>
          <w:b/>
        </w:rPr>
        <w:t>Proposal:</w:t>
      </w:r>
      <w:r>
        <w:rPr>
          <w:b/>
          <w:i/>
        </w:rPr>
        <w:t xml:space="preserve"> </w:t>
      </w:r>
      <w:r>
        <w:t>The NR-PDCCH is mapped frequency first within a REG, in increasing order of REG numbers within a CCE and in increasing order of CCE numbers across CCEs.</w:t>
      </w:r>
    </w:p>
    <w:p w14:paraId="1CE3B951" w14:textId="5410B647" w:rsidR="00385819" w:rsidRDefault="00385819" w:rsidP="00A46FA1">
      <w:pPr>
        <w:pStyle w:val="BodyText"/>
        <w:overflowPunct/>
        <w:autoSpaceDE/>
        <w:autoSpaceDN/>
        <w:adjustRightInd/>
        <w:textAlignment w:val="auto"/>
      </w:pPr>
    </w:p>
    <w:p w14:paraId="79EA6FA9" w14:textId="77777777" w:rsidR="00EC39C9" w:rsidRDefault="00EC39C9" w:rsidP="00EC39C9">
      <w:pPr>
        <w:rPr>
          <w:lang w:val="en-GB"/>
        </w:rPr>
      </w:pPr>
      <w:r>
        <w:rPr>
          <w:lang w:val="en-GB"/>
        </w:rPr>
        <w:t xml:space="preserve">In order to be able to reuse channel estimates across multiple symbols, it is desirable for an NR-PDCCH that is spanning multiple OFDM symbols to occupy the same physical REGs (PRBs) in each OFDM symbol. This can also reduce the channel estimation complexity when monitoring search space candidates in multiple OFDM symbols in a CORESET both within the same aggregation level and across aggregation levels. This goal can be achieved by applying interleaving, if used, separately and identically for each OFDM symbol in the CORESET. </w:t>
      </w:r>
    </w:p>
    <w:p w14:paraId="202DB410" w14:textId="775B27BB" w:rsidR="00EC39C9" w:rsidRDefault="00EC39C9" w:rsidP="00EC39C9">
      <w:pPr>
        <w:pStyle w:val="BodyText"/>
        <w:overflowPunct/>
        <w:autoSpaceDE/>
        <w:autoSpaceDN/>
        <w:adjustRightInd/>
        <w:textAlignment w:val="auto"/>
        <w:rPr>
          <w:lang w:val="en-GB"/>
        </w:rPr>
      </w:pPr>
      <w:r>
        <w:rPr>
          <w:b/>
          <w:lang w:val="en-GB"/>
        </w:rPr>
        <w:t xml:space="preserve">Proposal: </w:t>
      </w:r>
      <w:r>
        <w:rPr>
          <w:lang w:val="en-GB"/>
        </w:rPr>
        <w:t>When interleaving of physical REG numbers to generate virtual REG numbers is used, interleaving is performed separately and identically on each OFDM symbol in the CORESET.</w:t>
      </w:r>
    </w:p>
    <w:p w14:paraId="1C5A569E" w14:textId="57B6F0F7" w:rsidR="00EC39C9" w:rsidRDefault="00EC39C9" w:rsidP="00EC39C9">
      <w:pPr>
        <w:pStyle w:val="BodyText"/>
        <w:overflowPunct/>
        <w:autoSpaceDE/>
        <w:autoSpaceDN/>
        <w:adjustRightInd/>
        <w:textAlignment w:val="auto"/>
      </w:pPr>
    </w:p>
    <w:p w14:paraId="65FA5C5D" w14:textId="17B4B762" w:rsidR="004F1D8E" w:rsidRDefault="004F1D8E" w:rsidP="004F1D8E">
      <w:pPr>
        <w:rPr>
          <w:lang w:val="en-GB"/>
        </w:rPr>
      </w:pPr>
      <w:r>
        <w:rPr>
          <w:lang w:val="en-GB"/>
        </w:rPr>
        <w:t xml:space="preserve">The NR-PDCCH structure described above is illustrated by the examples shown in </w:t>
      </w:r>
      <w:r>
        <w:rPr>
          <w:lang w:val="en-GB"/>
        </w:rPr>
        <w:fldChar w:fldCharType="begin"/>
      </w:r>
      <w:r>
        <w:rPr>
          <w:lang w:val="en-GB"/>
        </w:rPr>
        <w:instrText xml:space="preserve"> REF _Ref480928450 \h </w:instrText>
      </w:r>
      <w:r>
        <w:rPr>
          <w:lang w:val="en-GB"/>
        </w:rPr>
      </w:r>
      <w:r>
        <w:rPr>
          <w:lang w:val="en-GB"/>
        </w:rPr>
        <w:fldChar w:fldCharType="separate"/>
      </w:r>
      <w:r w:rsidR="00315033">
        <w:t xml:space="preserve">Figure </w:t>
      </w:r>
      <w:r w:rsidR="00315033">
        <w:rPr>
          <w:noProof/>
        </w:rPr>
        <w:t>1</w:t>
      </w:r>
      <w:r>
        <w:rPr>
          <w:lang w:val="en-GB"/>
        </w:rPr>
        <w:fldChar w:fldCharType="end"/>
      </w:r>
      <w:r w:rsidR="00EC2B75">
        <w:rPr>
          <w:lang w:val="en-GB"/>
        </w:rPr>
        <w:t xml:space="preserve"> to </w:t>
      </w:r>
      <w:r>
        <w:rPr>
          <w:lang w:val="en-GB"/>
        </w:rPr>
        <w:fldChar w:fldCharType="begin"/>
      </w:r>
      <w:r>
        <w:rPr>
          <w:lang w:val="en-GB"/>
        </w:rPr>
        <w:instrText xml:space="preserve"> REF _Ref480928459 \h </w:instrText>
      </w:r>
      <w:r>
        <w:rPr>
          <w:lang w:val="en-GB"/>
        </w:rPr>
      </w:r>
      <w:r>
        <w:rPr>
          <w:lang w:val="en-GB"/>
        </w:rPr>
        <w:fldChar w:fldCharType="separate"/>
      </w:r>
      <w:r w:rsidR="00315033">
        <w:t xml:space="preserve">Figure </w:t>
      </w:r>
      <w:r w:rsidR="00315033">
        <w:rPr>
          <w:noProof/>
        </w:rPr>
        <w:t>3</w:t>
      </w:r>
      <w:r>
        <w:rPr>
          <w:lang w:val="en-GB"/>
        </w:rPr>
        <w:fldChar w:fldCharType="end"/>
      </w:r>
      <w:r>
        <w:rPr>
          <w:lang w:val="en-GB"/>
        </w:rPr>
        <w:t xml:space="preserve"> where a CORESET of 24 PRBs and 2 OFDM symbols is assumed. Alternate </w:t>
      </w:r>
      <w:r w:rsidR="00143B2F">
        <w:rPr>
          <w:lang w:val="en-GB"/>
        </w:rPr>
        <w:t xml:space="preserve">interleaving arrangements or </w:t>
      </w:r>
      <w:r>
        <w:rPr>
          <w:lang w:val="en-GB"/>
        </w:rPr>
        <w:t>mappings may also be defined</w:t>
      </w:r>
      <w:r w:rsidR="00B407E7">
        <w:rPr>
          <w:lang w:val="en-GB"/>
        </w:rPr>
        <w:t>.</w:t>
      </w:r>
    </w:p>
    <w:p w14:paraId="50B64DC0" w14:textId="4180EE0C" w:rsidR="004F1D8E" w:rsidRDefault="004F1D8E" w:rsidP="004F1D8E">
      <w:pPr>
        <w:rPr>
          <w:lang w:val="en-GB"/>
        </w:rPr>
      </w:pPr>
      <w:r>
        <w:rPr>
          <w:lang w:val="en-GB"/>
        </w:rPr>
        <w:t xml:space="preserve"> </w:t>
      </w:r>
      <w:r w:rsidR="0025314D">
        <w:rPr>
          <w:noProof/>
          <w:lang w:eastAsia="en-US"/>
        </w:rPr>
        <w:drawing>
          <wp:inline distT="0" distB="0" distL="0" distR="0" wp14:anchorId="0A391D8D" wp14:editId="1FA5FD23">
            <wp:extent cx="6825252" cy="3474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4793" cy="3479577"/>
                    </a:xfrm>
                    <a:prstGeom prst="rect">
                      <a:avLst/>
                    </a:prstGeom>
                    <a:noFill/>
                  </pic:spPr>
                </pic:pic>
              </a:graphicData>
            </a:graphic>
          </wp:inline>
        </w:drawing>
      </w:r>
    </w:p>
    <w:p w14:paraId="7CD1A327" w14:textId="5ACA6848" w:rsidR="004F1D8E" w:rsidRDefault="004F1D8E" w:rsidP="004F1D8E">
      <w:pPr>
        <w:pStyle w:val="Caption"/>
        <w:jc w:val="left"/>
      </w:pPr>
      <w:bookmarkStart w:id="0" w:name="_Ref480928450"/>
      <w:r>
        <w:t xml:space="preserve">Figure </w:t>
      </w:r>
      <w:r w:rsidR="00201734">
        <w:fldChar w:fldCharType="begin"/>
      </w:r>
      <w:r w:rsidR="00201734">
        <w:instrText xml:space="preserve"> SEQ Figure \* ARABIC </w:instrText>
      </w:r>
      <w:r w:rsidR="00201734">
        <w:fldChar w:fldCharType="separate"/>
      </w:r>
      <w:r w:rsidR="00315033">
        <w:rPr>
          <w:noProof/>
        </w:rPr>
        <w:t>1</w:t>
      </w:r>
      <w:r w:rsidR="00201734">
        <w:rPr>
          <w:noProof/>
        </w:rPr>
        <w:fldChar w:fldCharType="end"/>
      </w:r>
      <w:bookmarkEnd w:id="0"/>
      <w:r>
        <w:t xml:space="preserve">: Mapping of NR-PDCCH to CCEs and to REGs with frequency first numbering of physical REGs and </w:t>
      </w:r>
      <w:r w:rsidR="00143B2F">
        <w:t>interleaved mapping of virtual REG</w:t>
      </w:r>
      <w:r>
        <w:t xml:space="preserve"> numbers to physical REG numbers. Interleaving is performed in units of a REG bundle.</w:t>
      </w:r>
    </w:p>
    <w:p w14:paraId="116CF84C" w14:textId="77777777" w:rsidR="004F1D8E" w:rsidRPr="00557007" w:rsidRDefault="004F1D8E" w:rsidP="004F1D8E">
      <w:r>
        <w:rPr>
          <w:noProof/>
          <w:lang w:eastAsia="en-US"/>
        </w:rPr>
        <w:lastRenderedPageBreak/>
        <w:drawing>
          <wp:inline distT="0" distB="0" distL="0" distR="0" wp14:anchorId="5FC0CBDB" wp14:editId="0259750B">
            <wp:extent cx="6907574" cy="35909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55456" cy="3615817"/>
                    </a:xfrm>
                    <a:prstGeom prst="rect">
                      <a:avLst/>
                    </a:prstGeom>
                    <a:noFill/>
                  </pic:spPr>
                </pic:pic>
              </a:graphicData>
            </a:graphic>
          </wp:inline>
        </w:drawing>
      </w:r>
    </w:p>
    <w:p w14:paraId="1C7E2918" w14:textId="34B75757" w:rsidR="004F1D8E" w:rsidRDefault="004F1D8E" w:rsidP="004F1D8E">
      <w:pPr>
        <w:pStyle w:val="Caption"/>
        <w:jc w:val="left"/>
      </w:pPr>
      <w:r>
        <w:t xml:space="preserve">Figure </w:t>
      </w:r>
      <w:r w:rsidR="00201734">
        <w:fldChar w:fldCharType="begin"/>
      </w:r>
      <w:r w:rsidR="00201734">
        <w:instrText xml:space="preserve"> SEQ Figure \* ARABIC </w:instrText>
      </w:r>
      <w:r w:rsidR="00201734">
        <w:fldChar w:fldCharType="separate"/>
      </w:r>
      <w:r w:rsidR="00315033">
        <w:rPr>
          <w:noProof/>
        </w:rPr>
        <w:t>2</w:t>
      </w:r>
      <w:r w:rsidR="00201734">
        <w:rPr>
          <w:noProof/>
        </w:rPr>
        <w:fldChar w:fldCharType="end"/>
      </w:r>
      <w:r>
        <w:t>: Mapping of NR-PDCCH to CCEs and to REGs with time first numbering of physical REGs and interleaved</w:t>
      </w:r>
      <w:r w:rsidR="00143B2F">
        <w:t xml:space="preserve"> mapping of virtual REG</w:t>
      </w:r>
      <w:r>
        <w:t xml:space="preserve"> numbers to physical REG numbers. Interleaving is performed in units of a REG bundle.</w:t>
      </w:r>
    </w:p>
    <w:p w14:paraId="2EFB3B03" w14:textId="5FFD9325" w:rsidR="004F1D8E" w:rsidRDefault="0025314D" w:rsidP="004F1D8E">
      <w:pPr>
        <w:rPr>
          <w:lang w:val="en-GB"/>
        </w:rPr>
      </w:pPr>
      <w:r>
        <w:rPr>
          <w:noProof/>
          <w:lang w:eastAsia="en-US"/>
        </w:rPr>
        <w:drawing>
          <wp:inline distT="0" distB="0" distL="0" distR="0" wp14:anchorId="1E02E084" wp14:editId="37EF640A">
            <wp:extent cx="6867459" cy="39306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77245" cy="3936289"/>
                    </a:xfrm>
                    <a:prstGeom prst="rect">
                      <a:avLst/>
                    </a:prstGeom>
                    <a:noFill/>
                  </pic:spPr>
                </pic:pic>
              </a:graphicData>
            </a:graphic>
          </wp:inline>
        </w:drawing>
      </w:r>
    </w:p>
    <w:p w14:paraId="7713ABE4" w14:textId="6894E1CE" w:rsidR="004F1D8E" w:rsidRDefault="004F1D8E" w:rsidP="004F1D8E">
      <w:pPr>
        <w:pStyle w:val="Caption"/>
        <w:jc w:val="left"/>
      </w:pPr>
      <w:bookmarkStart w:id="1" w:name="_Ref480928459"/>
      <w:r>
        <w:t xml:space="preserve">Figure </w:t>
      </w:r>
      <w:r w:rsidR="00201734">
        <w:fldChar w:fldCharType="begin"/>
      </w:r>
      <w:r w:rsidR="00201734">
        <w:instrText xml:space="preserve"> SEQ Figure \* ARABIC </w:instrText>
      </w:r>
      <w:r w:rsidR="00201734">
        <w:fldChar w:fldCharType="separate"/>
      </w:r>
      <w:r w:rsidR="00315033">
        <w:rPr>
          <w:noProof/>
        </w:rPr>
        <w:t>3</w:t>
      </w:r>
      <w:r w:rsidR="00201734">
        <w:rPr>
          <w:noProof/>
        </w:rPr>
        <w:fldChar w:fldCharType="end"/>
      </w:r>
      <w:bookmarkEnd w:id="1"/>
      <w:r>
        <w:t>: Mapping of NR-PDCCH to CCEs and to REGs with frequency and time first numbering of physical REGs and non-inte</w:t>
      </w:r>
      <w:r w:rsidR="00143B2F">
        <w:t>rleaved mapping of virtual REG</w:t>
      </w:r>
      <w:r>
        <w:t xml:space="preserve"> numbers to physical REG numbers. </w:t>
      </w:r>
    </w:p>
    <w:p w14:paraId="2047143E" w14:textId="77777777" w:rsidR="004F1D8E" w:rsidRDefault="004F1D8E" w:rsidP="00EC39C9">
      <w:pPr>
        <w:pStyle w:val="BodyText"/>
        <w:overflowPunct/>
        <w:autoSpaceDE/>
        <w:autoSpaceDN/>
        <w:adjustRightInd/>
        <w:textAlignment w:val="auto"/>
      </w:pPr>
    </w:p>
    <w:p w14:paraId="441B0051" w14:textId="77777777" w:rsidR="00BB40A7" w:rsidRDefault="00BB40A7" w:rsidP="00A46FA1">
      <w:pPr>
        <w:pStyle w:val="BodyText"/>
        <w:overflowPunct/>
        <w:autoSpaceDE/>
        <w:autoSpaceDN/>
        <w:adjustRightInd/>
        <w:textAlignment w:val="auto"/>
      </w:pPr>
    </w:p>
    <w:p w14:paraId="52194F8F" w14:textId="0EAB3294" w:rsidR="00AE553B" w:rsidRDefault="00AE553B" w:rsidP="00AE553B">
      <w:pPr>
        <w:pStyle w:val="Heading1"/>
      </w:pPr>
      <w:r>
        <w:t>Conclusion</w:t>
      </w:r>
    </w:p>
    <w:p w14:paraId="58C004DF" w14:textId="3019AD74" w:rsidR="005261FA" w:rsidRDefault="00A46FA1" w:rsidP="00D54B8E">
      <w:pPr>
        <w:pStyle w:val="BodyText"/>
        <w:overflowPunct/>
        <w:autoSpaceDE/>
        <w:autoSpaceDN/>
        <w:adjustRightInd/>
        <w:textAlignment w:val="auto"/>
      </w:pPr>
      <w:r>
        <w:t>This contribution disc</w:t>
      </w:r>
      <w:r w:rsidR="00702C45">
        <w:t>ussed some aspects related to the structure of the NR-PDCCH and proposed the following</w:t>
      </w:r>
      <w:r>
        <w:t>.</w:t>
      </w:r>
    </w:p>
    <w:p w14:paraId="0987E94D" w14:textId="77777777" w:rsidR="00020200" w:rsidRPr="00020200" w:rsidRDefault="00020200" w:rsidP="00020200">
      <w:pPr>
        <w:rPr>
          <w:rFonts w:cs="Arial"/>
          <w:lang w:val="en-GB"/>
        </w:rPr>
      </w:pPr>
      <w:r w:rsidRPr="00FF729A">
        <w:rPr>
          <w:b/>
          <w:lang w:val="en-GB"/>
        </w:rPr>
        <w:t xml:space="preserve">Proposal: </w:t>
      </w:r>
      <w:r w:rsidRPr="00020200">
        <w:rPr>
          <w:rFonts w:cs="Arial"/>
          <w:lang w:val="en-GB"/>
        </w:rPr>
        <w:t>Each CORESET has a single mapping of CCEs to REGs which follows one of the following mapping schemes.</w:t>
      </w:r>
    </w:p>
    <w:p w14:paraId="3E0DE6F2" w14:textId="77777777" w:rsidR="00020200" w:rsidRPr="00020200" w:rsidRDefault="00020200" w:rsidP="00020200">
      <w:pPr>
        <w:pStyle w:val="ListParagraph"/>
        <w:numPr>
          <w:ilvl w:val="0"/>
          <w:numId w:val="21"/>
        </w:numPr>
        <w:rPr>
          <w:rFonts w:ascii="Arial" w:hAnsi="Arial" w:cs="Arial"/>
          <w:sz w:val="20"/>
          <w:szCs w:val="20"/>
          <w:lang w:val="en-GB"/>
        </w:rPr>
      </w:pPr>
      <w:r w:rsidRPr="00020200">
        <w:rPr>
          <w:rFonts w:ascii="Arial" w:hAnsi="Arial" w:cs="Arial"/>
          <w:sz w:val="20"/>
          <w:szCs w:val="20"/>
          <w:lang w:val="en-GB"/>
        </w:rPr>
        <w:t>Frequency first numbering of physical REGs and interleaved mapping of virtual REGs to physical REGs</w:t>
      </w:r>
    </w:p>
    <w:p w14:paraId="36619FB1" w14:textId="77777777" w:rsidR="00020200" w:rsidRPr="00020200" w:rsidRDefault="00020200" w:rsidP="00020200">
      <w:pPr>
        <w:pStyle w:val="ListParagraph"/>
        <w:numPr>
          <w:ilvl w:val="0"/>
          <w:numId w:val="21"/>
        </w:numPr>
        <w:rPr>
          <w:rFonts w:ascii="Arial" w:hAnsi="Arial" w:cs="Arial"/>
          <w:sz w:val="20"/>
          <w:szCs w:val="20"/>
          <w:lang w:val="en-GB"/>
        </w:rPr>
      </w:pPr>
      <w:r w:rsidRPr="00020200">
        <w:rPr>
          <w:rFonts w:ascii="Arial" w:hAnsi="Arial" w:cs="Arial"/>
          <w:sz w:val="20"/>
          <w:szCs w:val="20"/>
          <w:lang w:val="en-GB"/>
        </w:rPr>
        <w:t>Time first numbering of physical REGs and interleaved mapping of virtual REGs to physical REGs</w:t>
      </w:r>
    </w:p>
    <w:p w14:paraId="5A38119B" w14:textId="77777777" w:rsidR="00020200" w:rsidRPr="00020200" w:rsidRDefault="00020200" w:rsidP="00020200">
      <w:pPr>
        <w:pStyle w:val="ListParagraph"/>
        <w:numPr>
          <w:ilvl w:val="0"/>
          <w:numId w:val="21"/>
        </w:numPr>
        <w:rPr>
          <w:rFonts w:ascii="Arial" w:hAnsi="Arial" w:cs="Arial"/>
          <w:sz w:val="20"/>
          <w:szCs w:val="20"/>
          <w:lang w:val="en-GB"/>
        </w:rPr>
      </w:pPr>
      <w:r w:rsidRPr="00020200">
        <w:rPr>
          <w:rFonts w:ascii="Arial" w:hAnsi="Arial" w:cs="Arial"/>
          <w:sz w:val="20"/>
          <w:szCs w:val="20"/>
          <w:lang w:val="en-GB"/>
        </w:rPr>
        <w:t>Frequency first numbering of physical REGs and non-interleaved mapping of virtual REGs to physical REGs</w:t>
      </w:r>
    </w:p>
    <w:p w14:paraId="34084C03" w14:textId="77777777" w:rsidR="00020200" w:rsidRPr="00020200" w:rsidRDefault="00020200" w:rsidP="00020200">
      <w:pPr>
        <w:pStyle w:val="ListParagraph"/>
        <w:numPr>
          <w:ilvl w:val="0"/>
          <w:numId w:val="21"/>
        </w:numPr>
        <w:rPr>
          <w:rFonts w:ascii="Arial" w:hAnsi="Arial" w:cs="Arial"/>
          <w:sz w:val="20"/>
          <w:szCs w:val="20"/>
          <w:lang w:val="en-GB"/>
        </w:rPr>
      </w:pPr>
      <w:r w:rsidRPr="00020200">
        <w:rPr>
          <w:rFonts w:ascii="Arial" w:hAnsi="Arial" w:cs="Arial"/>
          <w:sz w:val="20"/>
          <w:szCs w:val="20"/>
          <w:lang w:val="en-GB"/>
        </w:rPr>
        <w:t>Time first numbering of physical REGs and non-interleaved mapping of virtual REGs to physical REGs</w:t>
      </w:r>
    </w:p>
    <w:p w14:paraId="642000F9" w14:textId="0898129F" w:rsidR="00702C45" w:rsidRDefault="00702C45" w:rsidP="00D54B8E">
      <w:pPr>
        <w:pStyle w:val="BodyText"/>
        <w:overflowPunct/>
        <w:autoSpaceDE/>
        <w:autoSpaceDN/>
        <w:adjustRightInd/>
        <w:textAlignment w:val="auto"/>
      </w:pPr>
    </w:p>
    <w:p w14:paraId="4A8A368B" w14:textId="77777777" w:rsidR="00020200" w:rsidRPr="0088733D" w:rsidRDefault="00020200" w:rsidP="00020200">
      <w:pPr>
        <w:pStyle w:val="BodyText"/>
        <w:overflowPunct/>
        <w:autoSpaceDE/>
        <w:autoSpaceDN/>
        <w:adjustRightInd/>
        <w:textAlignment w:val="auto"/>
      </w:pPr>
      <w:r w:rsidRPr="00B407E7">
        <w:rPr>
          <w:b/>
        </w:rPr>
        <w:t>Proposal:</w:t>
      </w:r>
      <w:r>
        <w:rPr>
          <w:b/>
          <w:i/>
        </w:rPr>
        <w:t xml:space="preserve"> </w:t>
      </w:r>
      <w:r>
        <w:t>The NR-PDCCH is mapped frequency first within a REG, in increasing order of REG numbers within a CCE and in increasing order of CCE numbers across CCEs.</w:t>
      </w:r>
    </w:p>
    <w:p w14:paraId="35765754" w14:textId="77777777" w:rsidR="009B020F" w:rsidRDefault="009B020F" w:rsidP="007550BD">
      <w:pPr>
        <w:pStyle w:val="BodyText"/>
        <w:overflowPunct/>
        <w:autoSpaceDE/>
        <w:autoSpaceDN/>
        <w:adjustRightInd/>
        <w:textAlignment w:val="auto"/>
        <w:rPr>
          <w:b/>
          <w:lang w:val="en-GB"/>
        </w:rPr>
      </w:pPr>
    </w:p>
    <w:p w14:paraId="0741A399" w14:textId="08295A35" w:rsidR="007550BD" w:rsidRDefault="007550BD" w:rsidP="007550BD">
      <w:pPr>
        <w:pStyle w:val="BodyText"/>
        <w:overflowPunct/>
        <w:autoSpaceDE/>
        <w:autoSpaceDN/>
        <w:adjustRightInd/>
        <w:textAlignment w:val="auto"/>
        <w:rPr>
          <w:lang w:val="en-GB"/>
        </w:rPr>
      </w:pPr>
      <w:bookmarkStart w:id="2" w:name="_GoBack"/>
      <w:bookmarkEnd w:id="2"/>
      <w:r>
        <w:rPr>
          <w:b/>
          <w:lang w:val="en-GB"/>
        </w:rPr>
        <w:t xml:space="preserve">Proposal: </w:t>
      </w:r>
      <w:r>
        <w:rPr>
          <w:lang w:val="en-GB"/>
        </w:rPr>
        <w:t>When interleaving of physical REG numbers to generate virtual REG numbers is used, interleaving is performed separately and identically on each OFDM symbol in the CORESET.</w:t>
      </w:r>
    </w:p>
    <w:p w14:paraId="767E3A05" w14:textId="44279E56" w:rsidR="007550BD" w:rsidRPr="005261FA" w:rsidRDefault="007550BD" w:rsidP="00D54B8E">
      <w:pPr>
        <w:pStyle w:val="BodyText"/>
        <w:overflowPunct/>
        <w:autoSpaceDE/>
        <w:autoSpaceDN/>
        <w:adjustRightInd/>
        <w:textAlignment w:val="auto"/>
      </w:pPr>
    </w:p>
    <w:p w14:paraId="3CA25FCB" w14:textId="54461D4F" w:rsidR="00F507D1" w:rsidRDefault="00F507D1" w:rsidP="0009033B">
      <w:pPr>
        <w:pStyle w:val="Heading1"/>
      </w:pPr>
      <w:bookmarkStart w:id="3" w:name="_In-sequence_SDU_delivery"/>
      <w:bookmarkEnd w:id="3"/>
      <w:r w:rsidRPr="00CE0424">
        <w:t>References</w:t>
      </w:r>
    </w:p>
    <w:p w14:paraId="5E35FA09" w14:textId="5F766244" w:rsidR="002B6F94" w:rsidRDefault="002B6F94" w:rsidP="00D54B8E">
      <w:pPr>
        <w:pStyle w:val="Reference"/>
      </w:pPr>
      <w:bookmarkStart w:id="4" w:name="_Ref477879020"/>
      <w:bookmarkStart w:id="5" w:name="_Ref477803323"/>
      <w:bookmarkStart w:id="6" w:name="_Ref473637092"/>
      <w:bookmarkStart w:id="7" w:name="_Ref470613638"/>
      <w:bookmarkStart w:id="8" w:name="_Ref465931227"/>
      <w:bookmarkStart w:id="9" w:name="_Ref458515583"/>
      <w:bookmarkStart w:id="10" w:name="_Ref174151459"/>
      <w:bookmarkStart w:id="11" w:name="_Ref189809556"/>
      <w:bookmarkStart w:id="12" w:name="_Ref458165837"/>
      <w:r>
        <w:t xml:space="preserve">RP-170855, </w:t>
      </w:r>
      <w:r w:rsidR="00B94B2E">
        <w:tab/>
      </w:r>
      <w:r w:rsidR="00B94B2E">
        <w:tab/>
      </w:r>
      <w:r>
        <w:t>“New WID on New Radio Access Technology”, NTT DOCOMO Inc.</w:t>
      </w:r>
      <w:bookmarkEnd w:id="4"/>
    </w:p>
    <w:p w14:paraId="39A48CBB" w14:textId="37DE52E4" w:rsidR="00286C66" w:rsidRDefault="00E77EF8" w:rsidP="003B365D">
      <w:pPr>
        <w:pStyle w:val="Reference"/>
      </w:pPr>
      <w:bookmarkStart w:id="13" w:name="_Ref481682350"/>
      <w:bookmarkStart w:id="14" w:name="_Ref477803395"/>
      <w:bookmarkEnd w:id="5"/>
      <w:r>
        <w:t>C</w:t>
      </w:r>
      <w:r w:rsidR="004C5E10">
        <w:t xml:space="preserve">hairman notes, </w:t>
      </w:r>
      <w:r>
        <w:tab/>
      </w:r>
      <w:r w:rsidR="004C5E10">
        <w:t xml:space="preserve">3GPP TSG RAN WG1 </w:t>
      </w:r>
      <w:r w:rsidR="00B14428">
        <w:t>Meeting #88</w:t>
      </w:r>
      <w:bookmarkEnd w:id="13"/>
      <w:r w:rsidR="00B14428">
        <w:t xml:space="preserve"> </w:t>
      </w:r>
      <w:bookmarkEnd w:id="6"/>
      <w:bookmarkEnd w:id="14"/>
    </w:p>
    <w:p w14:paraId="671ED782" w14:textId="5EDE5E86" w:rsidR="00B14428" w:rsidRDefault="00B14428" w:rsidP="00B14428">
      <w:pPr>
        <w:pStyle w:val="Reference"/>
      </w:pPr>
      <w:bookmarkStart w:id="15" w:name="_Ref481797873"/>
      <w:r>
        <w:t xml:space="preserve">Chairman notes, </w:t>
      </w:r>
      <w:r>
        <w:tab/>
        <w:t>3GPP TSG RAN WG1 Meeting #88bis</w:t>
      </w:r>
      <w:bookmarkEnd w:id="15"/>
      <w:r>
        <w:t xml:space="preserve"> </w:t>
      </w:r>
    </w:p>
    <w:p w14:paraId="3A97AAE4" w14:textId="63D12724" w:rsidR="00406342" w:rsidRDefault="00315033" w:rsidP="009A17CE">
      <w:pPr>
        <w:pStyle w:val="Reference"/>
      </w:pPr>
      <w:bookmarkStart w:id="16" w:name="_Ref478186320"/>
      <w:r>
        <w:t>R1-1709066</w:t>
      </w:r>
      <w:r w:rsidR="00406342">
        <w:tab/>
      </w:r>
      <w:r w:rsidR="00406342">
        <w:tab/>
        <w:t>On</w:t>
      </w:r>
      <w:r w:rsidR="0043221C">
        <w:t xml:space="preserve"> REG Bundle and CCE Size for NR-PDCCH</w:t>
      </w:r>
      <w:r w:rsidR="00406342">
        <w:t>, Ericsson</w:t>
      </w:r>
      <w:bookmarkEnd w:id="16"/>
    </w:p>
    <w:bookmarkEnd w:id="7"/>
    <w:bookmarkEnd w:id="8"/>
    <w:bookmarkEnd w:id="9"/>
    <w:bookmarkEnd w:id="10"/>
    <w:bookmarkEnd w:id="11"/>
    <w:bookmarkEnd w:id="12"/>
    <w:p w14:paraId="7BD1958E" w14:textId="115502A6" w:rsidR="002F43C5" w:rsidRPr="00BE3726" w:rsidRDefault="002F43C5" w:rsidP="00BE3726">
      <w:pPr>
        <w:pStyle w:val="Reference"/>
        <w:numPr>
          <w:ilvl w:val="0"/>
          <w:numId w:val="0"/>
        </w:numPr>
      </w:pPr>
    </w:p>
    <w:sectPr w:rsidR="002F43C5" w:rsidRPr="00BE372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B0E4A" w14:textId="77777777" w:rsidR="00C56F17" w:rsidRDefault="00C56F17">
      <w:r>
        <w:separator/>
      </w:r>
    </w:p>
  </w:endnote>
  <w:endnote w:type="continuationSeparator" w:id="0">
    <w:p w14:paraId="4E1D0DD4" w14:textId="77777777" w:rsidR="00C56F17" w:rsidRDefault="00C56F17">
      <w:r>
        <w:continuationSeparator/>
      </w:r>
    </w:p>
  </w:endnote>
  <w:endnote w:type="continuationNotice" w:id="1">
    <w:p w14:paraId="167E245E" w14:textId="77777777" w:rsidR="00C56F17" w:rsidRDefault="00C56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1F6F14E" w:rsidR="0001343C" w:rsidRDefault="000134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319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319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D9989" w14:textId="77777777" w:rsidR="00C56F17" w:rsidRDefault="00C56F17">
      <w:r>
        <w:separator/>
      </w:r>
    </w:p>
  </w:footnote>
  <w:footnote w:type="continuationSeparator" w:id="0">
    <w:p w14:paraId="3E12FE20" w14:textId="77777777" w:rsidR="00C56F17" w:rsidRDefault="00C56F17">
      <w:r>
        <w:continuationSeparator/>
      </w:r>
    </w:p>
  </w:footnote>
  <w:footnote w:type="continuationNotice" w:id="1">
    <w:p w14:paraId="538C04DE" w14:textId="77777777" w:rsidR="00C56F17" w:rsidRDefault="00C56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01343C" w:rsidRDefault="000134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6"/>
  </w:num>
  <w:num w:numId="4">
    <w:abstractNumId w:val="9"/>
  </w:num>
  <w:num w:numId="5">
    <w:abstractNumId w:val="4"/>
  </w:num>
  <w:num w:numId="6">
    <w:abstractNumId w:val="10"/>
  </w:num>
  <w:num w:numId="7">
    <w:abstractNumId w:val="16"/>
  </w:num>
  <w:num w:numId="8">
    <w:abstractNumId w:val="5"/>
  </w:num>
  <w:num w:numId="9">
    <w:abstractNumId w:val="15"/>
  </w:num>
  <w:num w:numId="10">
    <w:abstractNumId w:val="8"/>
  </w:num>
  <w:num w:numId="11">
    <w:abstractNumId w:val="2"/>
  </w:num>
  <w:num w:numId="12">
    <w:abstractNumId w:val="17"/>
  </w:num>
  <w:num w:numId="13">
    <w:abstractNumId w:val="3"/>
  </w:num>
  <w:num w:numId="14">
    <w:abstractNumId w:val="11"/>
  </w:num>
  <w:num w:numId="15">
    <w:abstractNumId w:val="7"/>
  </w:num>
  <w:num w:numId="16">
    <w:abstractNumId w:val="1"/>
  </w:num>
  <w:num w:numId="17">
    <w:abstractNumId w:val="18"/>
  </w:num>
  <w:num w:numId="18">
    <w:abstractNumId w:val="12"/>
  </w:num>
  <w:num w:numId="19">
    <w:abstractNumId w:val="19"/>
  </w:num>
  <w:num w:numId="20">
    <w:abstractNumId w:val="14"/>
  </w:num>
  <w:num w:numId="2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5154"/>
    <w:rsid w:val="00015D15"/>
    <w:rsid w:val="00015F6F"/>
    <w:rsid w:val="00020200"/>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29B8"/>
    <w:rsid w:val="0006478A"/>
    <w:rsid w:val="0006487E"/>
    <w:rsid w:val="00065E1A"/>
    <w:rsid w:val="00070571"/>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34CD"/>
    <w:rsid w:val="001344C0"/>
    <w:rsid w:val="001346FA"/>
    <w:rsid w:val="00135252"/>
    <w:rsid w:val="00136F34"/>
    <w:rsid w:val="00137AB5"/>
    <w:rsid w:val="00137F0B"/>
    <w:rsid w:val="00140964"/>
    <w:rsid w:val="00142332"/>
    <w:rsid w:val="00142AA9"/>
    <w:rsid w:val="00143B2F"/>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5E1"/>
    <w:rsid w:val="00170C0D"/>
    <w:rsid w:val="001723CF"/>
    <w:rsid w:val="00173A8E"/>
    <w:rsid w:val="00174693"/>
    <w:rsid w:val="001748BD"/>
    <w:rsid w:val="00177795"/>
    <w:rsid w:val="00180283"/>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734"/>
    <w:rsid w:val="00201F3A"/>
    <w:rsid w:val="00202C20"/>
    <w:rsid w:val="00203F96"/>
    <w:rsid w:val="00205E74"/>
    <w:rsid w:val="002069B2"/>
    <w:rsid w:val="00206B13"/>
    <w:rsid w:val="00207FA3"/>
    <w:rsid w:val="002123EE"/>
    <w:rsid w:val="00212E04"/>
    <w:rsid w:val="00214DA8"/>
    <w:rsid w:val="00215423"/>
    <w:rsid w:val="002158FA"/>
    <w:rsid w:val="0021793D"/>
    <w:rsid w:val="00217C2F"/>
    <w:rsid w:val="00220600"/>
    <w:rsid w:val="0022138B"/>
    <w:rsid w:val="002224DB"/>
    <w:rsid w:val="00223847"/>
    <w:rsid w:val="00223FCB"/>
    <w:rsid w:val="002252C3"/>
    <w:rsid w:val="00225564"/>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314D"/>
    <w:rsid w:val="002545C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75332"/>
    <w:rsid w:val="00280290"/>
    <w:rsid w:val="002805F5"/>
    <w:rsid w:val="00280751"/>
    <w:rsid w:val="00281E7C"/>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4EF"/>
    <w:rsid w:val="00311702"/>
    <w:rsid w:val="00311CC7"/>
    <w:rsid w:val="00311E82"/>
    <w:rsid w:val="00313FD6"/>
    <w:rsid w:val="003143BD"/>
    <w:rsid w:val="00314D7C"/>
    <w:rsid w:val="00315033"/>
    <w:rsid w:val="003203ED"/>
    <w:rsid w:val="003220D0"/>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70E47"/>
    <w:rsid w:val="003742AC"/>
    <w:rsid w:val="00374679"/>
    <w:rsid w:val="003766F3"/>
    <w:rsid w:val="00377CE1"/>
    <w:rsid w:val="00385819"/>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0B02"/>
    <w:rsid w:val="003B159C"/>
    <w:rsid w:val="003B34DC"/>
    <w:rsid w:val="003B365D"/>
    <w:rsid w:val="003B369F"/>
    <w:rsid w:val="003B36A3"/>
    <w:rsid w:val="003B3BCE"/>
    <w:rsid w:val="003B4E27"/>
    <w:rsid w:val="003B598D"/>
    <w:rsid w:val="003B7FE5"/>
    <w:rsid w:val="003C11C8"/>
    <w:rsid w:val="003C2702"/>
    <w:rsid w:val="003C3308"/>
    <w:rsid w:val="003C4F73"/>
    <w:rsid w:val="003C6056"/>
    <w:rsid w:val="003C7806"/>
    <w:rsid w:val="003C78E0"/>
    <w:rsid w:val="003D0CD4"/>
    <w:rsid w:val="003D109F"/>
    <w:rsid w:val="003D2478"/>
    <w:rsid w:val="003D3C45"/>
    <w:rsid w:val="003D5B1F"/>
    <w:rsid w:val="003E15FA"/>
    <w:rsid w:val="003E1E1D"/>
    <w:rsid w:val="003E25DB"/>
    <w:rsid w:val="003E55E4"/>
    <w:rsid w:val="003E58F6"/>
    <w:rsid w:val="003E5F40"/>
    <w:rsid w:val="003E6625"/>
    <w:rsid w:val="003E74E3"/>
    <w:rsid w:val="003F05C7"/>
    <w:rsid w:val="003F26FA"/>
    <w:rsid w:val="003F2CD4"/>
    <w:rsid w:val="003F6BBE"/>
    <w:rsid w:val="004000E8"/>
    <w:rsid w:val="00402E2B"/>
    <w:rsid w:val="0040512B"/>
    <w:rsid w:val="00405CA5"/>
    <w:rsid w:val="00406342"/>
    <w:rsid w:val="00407CD3"/>
    <w:rsid w:val="00410134"/>
    <w:rsid w:val="00410B72"/>
    <w:rsid w:val="00410F18"/>
    <w:rsid w:val="0041263E"/>
    <w:rsid w:val="00413AAC"/>
    <w:rsid w:val="00421105"/>
    <w:rsid w:val="004242F4"/>
    <w:rsid w:val="00427248"/>
    <w:rsid w:val="004314DE"/>
    <w:rsid w:val="0043221C"/>
    <w:rsid w:val="00437447"/>
    <w:rsid w:val="00437F64"/>
    <w:rsid w:val="0044104F"/>
    <w:rsid w:val="00441A92"/>
    <w:rsid w:val="00443090"/>
    <w:rsid w:val="00444F56"/>
    <w:rsid w:val="0044586E"/>
    <w:rsid w:val="00445EF9"/>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1D8E"/>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371F"/>
    <w:rsid w:val="005A61E5"/>
    <w:rsid w:val="005A662D"/>
    <w:rsid w:val="005B35D7"/>
    <w:rsid w:val="005B392A"/>
    <w:rsid w:val="005B3AA3"/>
    <w:rsid w:val="005B3F59"/>
    <w:rsid w:val="005B6F83"/>
    <w:rsid w:val="005C0B51"/>
    <w:rsid w:val="005C0C58"/>
    <w:rsid w:val="005C608B"/>
    <w:rsid w:val="005C74FB"/>
    <w:rsid w:val="005D1602"/>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0135"/>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0B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3B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8733D"/>
    <w:rsid w:val="008903FE"/>
    <w:rsid w:val="00894A88"/>
    <w:rsid w:val="00895386"/>
    <w:rsid w:val="00895561"/>
    <w:rsid w:val="00895AD9"/>
    <w:rsid w:val="008967DC"/>
    <w:rsid w:val="008A21FF"/>
    <w:rsid w:val="008A2CE2"/>
    <w:rsid w:val="008A2FFC"/>
    <w:rsid w:val="008A30AC"/>
    <w:rsid w:val="008A44B8"/>
    <w:rsid w:val="008A51A8"/>
    <w:rsid w:val="008A54C7"/>
    <w:rsid w:val="008A75C0"/>
    <w:rsid w:val="008A77D8"/>
    <w:rsid w:val="008A7A95"/>
    <w:rsid w:val="008B0483"/>
    <w:rsid w:val="008B0AA9"/>
    <w:rsid w:val="008B120C"/>
    <w:rsid w:val="008B3562"/>
    <w:rsid w:val="008B402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301"/>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3847"/>
    <w:rsid w:val="009368F3"/>
    <w:rsid w:val="009413F8"/>
    <w:rsid w:val="009414E8"/>
    <w:rsid w:val="00941636"/>
    <w:rsid w:val="00943742"/>
    <w:rsid w:val="00943F21"/>
    <w:rsid w:val="00945C05"/>
    <w:rsid w:val="00946945"/>
    <w:rsid w:val="00947713"/>
    <w:rsid w:val="00950DE7"/>
    <w:rsid w:val="0095202A"/>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2B"/>
    <w:rsid w:val="009853B3"/>
    <w:rsid w:val="0098620A"/>
    <w:rsid w:val="00990630"/>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B020F"/>
    <w:rsid w:val="009B1F30"/>
    <w:rsid w:val="009B3AC2"/>
    <w:rsid w:val="009B4DF4"/>
    <w:rsid w:val="009B4FF0"/>
    <w:rsid w:val="009B564E"/>
    <w:rsid w:val="009B7B6C"/>
    <w:rsid w:val="009B7E87"/>
    <w:rsid w:val="009C11C1"/>
    <w:rsid w:val="009C2D17"/>
    <w:rsid w:val="009C403E"/>
    <w:rsid w:val="009C5D6A"/>
    <w:rsid w:val="009D475A"/>
    <w:rsid w:val="009D4FF0"/>
    <w:rsid w:val="009D60A6"/>
    <w:rsid w:val="009D6F94"/>
    <w:rsid w:val="009D703C"/>
    <w:rsid w:val="009D718F"/>
    <w:rsid w:val="009E068F"/>
    <w:rsid w:val="009E14E0"/>
    <w:rsid w:val="009E3202"/>
    <w:rsid w:val="009E35DB"/>
    <w:rsid w:val="009E47A3"/>
    <w:rsid w:val="009E6849"/>
    <w:rsid w:val="009F08F3"/>
    <w:rsid w:val="009F147C"/>
    <w:rsid w:val="009F18A9"/>
    <w:rsid w:val="009F344F"/>
    <w:rsid w:val="009F6C21"/>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46FA1"/>
    <w:rsid w:val="00A52E1D"/>
    <w:rsid w:val="00A54210"/>
    <w:rsid w:val="00A54B08"/>
    <w:rsid w:val="00A5593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80B90"/>
    <w:rsid w:val="00A82EB2"/>
    <w:rsid w:val="00A92879"/>
    <w:rsid w:val="00A9367F"/>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0387"/>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3BF8"/>
    <w:rsid w:val="00B14428"/>
    <w:rsid w:val="00B157F9"/>
    <w:rsid w:val="00B20256"/>
    <w:rsid w:val="00B207CF"/>
    <w:rsid w:val="00B20D09"/>
    <w:rsid w:val="00B25305"/>
    <w:rsid w:val="00B2763F"/>
    <w:rsid w:val="00B27AAC"/>
    <w:rsid w:val="00B30929"/>
    <w:rsid w:val="00B372AA"/>
    <w:rsid w:val="00B40445"/>
    <w:rsid w:val="00B407E7"/>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94B2E"/>
    <w:rsid w:val="00BA2280"/>
    <w:rsid w:val="00BA2A08"/>
    <w:rsid w:val="00BA56D2"/>
    <w:rsid w:val="00BA62FA"/>
    <w:rsid w:val="00BA6C49"/>
    <w:rsid w:val="00BA76E0"/>
    <w:rsid w:val="00BB0976"/>
    <w:rsid w:val="00BB1721"/>
    <w:rsid w:val="00BB207A"/>
    <w:rsid w:val="00BB2253"/>
    <w:rsid w:val="00BB2A25"/>
    <w:rsid w:val="00BB40A7"/>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29E5"/>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5488"/>
    <w:rsid w:val="00C47B3C"/>
    <w:rsid w:val="00C5028B"/>
    <w:rsid w:val="00C54995"/>
    <w:rsid w:val="00C54D41"/>
    <w:rsid w:val="00C56F17"/>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D24"/>
    <w:rsid w:val="00CB1F63"/>
    <w:rsid w:val="00CB456D"/>
    <w:rsid w:val="00CB462A"/>
    <w:rsid w:val="00CB4675"/>
    <w:rsid w:val="00CB4C7D"/>
    <w:rsid w:val="00CB6DFE"/>
    <w:rsid w:val="00CB7170"/>
    <w:rsid w:val="00CC040E"/>
    <w:rsid w:val="00CC111F"/>
    <w:rsid w:val="00CC2011"/>
    <w:rsid w:val="00CC3EA0"/>
    <w:rsid w:val="00CC406D"/>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A7BF2"/>
    <w:rsid w:val="00DB0A9F"/>
    <w:rsid w:val="00DB2E53"/>
    <w:rsid w:val="00DB377D"/>
    <w:rsid w:val="00DB5F7D"/>
    <w:rsid w:val="00DB6E61"/>
    <w:rsid w:val="00DC015E"/>
    <w:rsid w:val="00DC0D73"/>
    <w:rsid w:val="00DC2D36"/>
    <w:rsid w:val="00DC2D80"/>
    <w:rsid w:val="00DC3716"/>
    <w:rsid w:val="00DC4723"/>
    <w:rsid w:val="00DC53EF"/>
    <w:rsid w:val="00DD3EC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1D97"/>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2B75"/>
    <w:rsid w:val="00EC39C9"/>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319C"/>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199"/>
    <w:rsid w:val="00FD1EC8"/>
    <w:rsid w:val="00FD47ED"/>
    <w:rsid w:val="00FD5DD1"/>
    <w:rsid w:val="00FD74DB"/>
    <w:rsid w:val="00FD7660"/>
    <w:rsid w:val="00FE0655"/>
    <w:rsid w:val="00FE1C9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293B586-53CA-48AA-B9A1-D2D52A55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5NUHHDQN7SK2-1-114923</_dlc_DocId>
    <_dlc_DocIdUrl xmlns="08b2df90-05d3-4030-90d4-c9feeb4a1cd9">
      <Url>https://ericoll.internal.ericsson.com/sites/STAR/_layouts/DocIdRedir.aspx?ID=5NUHHDQN7SK2-1-114923</Url>
      <Description>5NUHHDQN7SK2-1-114923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B6E7497-183A-4705-B31F-9405F850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98ED223-FE33-4ADB-BEFE-F0B2361A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5</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1</dc:creator>
  <cp:keywords>Ericsson; TDoc; 3GPP</cp:keywords>
  <dc:description/>
  <cp:lastModifiedBy>Ericsson</cp:lastModifiedBy>
  <cp:revision>3</cp:revision>
  <cp:lastPrinted>2008-01-31T07:09:00Z</cp:lastPrinted>
  <dcterms:created xsi:type="dcterms:W3CDTF">2017-05-06T08:38:00Z</dcterms:created>
  <dcterms:modified xsi:type="dcterms:W3CDTF">2017-05-06T08:38:00Z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73f6a560-2c3e-46e5-b1a3-511099bc4d2c</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