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D360" w14:textId="2D3F8795" w:rsidR="00406031" w:rsidRPr="00FD0040" w:rsidRDefault="00406031" w:rsidP="00406031">
      <w:pPr>
        <w:pStyle w:val="3GPPHeader"/>
        <w:spacing w:after="0"/>
        <w:rPr>
          <w:sz w:val="32"/>
          <w:szCs w:val="32"/>
          <w:lang w:val="en-US"/>
        </w:rPr>
      </w:pPr>
      <w:bookmarkStart w:id="0" w:name="OLE_LINK2"/>
      <w:bookmarkStart w:id="1" w:name="OLE_LINK1"/>
      <w:r>
        <w:rPr>
          <w:lang w:val="en-US"/>
        </w:rPr>
        <w:t>3GPP TSG RAN WG1 Meeting #8</w:t>
      </w:r>
      <w:r w:rsidR="00B91B06">
        <w:rPr>
          <w:lang w:val="en-US"/>
        </w:rPr>
        <w:t>9</w:t>
      </w:r>
      <w:r>
        <w:rPr>
          <w:lang w:val="en-US"/>
        </w:rPr>
        <w:tab/>
      </w:r>
      <w:r w:rsidRPr="00FD0040">
        <w:rPr>
          <w:sz w:val="32"/>
          <w:szCs w:val="32"/>
          <w:lang w:val="en-US"/>
        </w:rPr>
        <w:t>R1-</w:t>
      </w:r>
      <w:r w:rsidR="006E210F">
        <w:rPr>
          <w:sz w:val="32"/>
          <w:szCs w:val="32"/>
          <w:lang w:val="en-US"/>
        </w:rPr>
        <w:t>1708961</w:t>
      </w:r>
    </w:p>
    <w:p w14:paraId="13185123" w14:textId="77777777" w:rsidR="00B91B06" w:rsidRPr="00B91B06" w:rsidRDefault="00B91B06" w:rsidP="00B91B06">
      <w:pPr>
        <w:tabs>
          <w:tab w:val="center" w:pos="4536"/>
          <w:tab w:val="right" w:pos="9072"/>
        </w:tabs>
        <w:ind w:left="1440" w:hanging="1440"/>
        <w:rPr>
          <w:rFonts w:ascii="Arial" w:hAnsi="Arial"/>
          <w:b/>
          <w:sz w:val="24"/>
          <w:szCs w:val="20"/>
          <w:lang w:eastAsia="zh-CN"/>
        </w:rPr>
      </w:pPr>
      <w:r w:rsidRPr="00B91B06">
        <w:rPr>
          <w:rFonts w:ascii="Arial" w:hAnsi="Arial"/>
          <w:b/>
          <w:sz w:val="24"/>
          <w:szCs w:val="20"/>
          <w:lang w:eastAsia="zh-CN"/>
        </w:rPr>
        <w:t>Hangzhou, P.R. China 15th – 19th May 2017</w:t>
      </w:r>
    </w:p>
    <w:p w14:paraId="450B975B" w14:textId="77777777" w:rsidR="00406031" w:rsidRDefault="00406031" w:rsidP="00406031">
      <w:pPr>
        <w:pStyle w:val="TdocHeader2"/>
        <w:rPr>
          <w:sz w:val="22"/>
        </w:rPr>
      </w:pPr>
    </w:p>
    <w:p w14:paraId="68BA53ED" w14:textId="77777777" w:rsidR="00406031" w:rsidRDefault="00406031" w:rsidP="00406031">
      <w:pPr>
        <w:pStyle w:val="TdocHeader2"/>
        <w:rPr>
          <w:sz w:val="20"/>
          <w:lang w:val="en-US"/>
        </w:rPr>
      </w:pPr>
      <w:r>
        <w:rPr>
          <w:sz w:val="20"/>
          <w:lang w:val="en-US"/>
        </w:rPr>
        <w:t xml:space="preserve">Source: </w:t>
      </w:r>
      <w:r>
        <w:rPr>
          <w:sz w:val="20"/>
          <w:lang w:val="en-US"/>
        </w:rPr>
        <w:tab/>
        <w:t>Ericsson</w:t>
      </w:r>
    </w:p>
    <w:p w14:paraId="4F328B15" w14:textId="0B4784AD" w:rsidR="00406031" w:rsidRDefault="00406031" w:rsidP="00406031">
      <w:pPr>
        <w:pStyle w:val="TdocHeader2"/>
        <w:rPr>
          <w:sz w:val="20"/>
          <w:lang w:val="en-US"/>
        </w:rPr>
      </w:pPr>
      <w:r>
        <w:rPr>
          <w:sz w:val="20"/>
          <w:lang w:val="en-US"/>
        </w:rPr>
        <w:t>Title:</w:t>
      </w:r>
      <w:bookmarkStart w:id="2" w:name="Title"/>
      <w:bookmarkEnd w:id="2"/>
      <w:r>
        <w:rPr>
          <w:sz w:val="20"/>
          <w:lang w:val="en-US"/>
        </w:rPr>
        <w:tab/>
        <w:t>Multiple startin</w:t>
      </w:r>
      <w:r w:rsidR="00EA5295">
        <w:rPr>
          <w:sz w:val="20"/>
          <w:lang w:val="en-US"/>
        </w:rPr>
        <w:t>g and ending positions for LAA D</w:t>
      </w:r>
      <w:r>
        <w:rPr>
          <w:sz w:val="20"/>
          <w:lang w:val="en-US"/>
        </w:rPr>
        <w:t xml:space="preserve">L </w:t>
      </w:r>
      <w:r>
        <w:t xml:space="preserve"> </w:t>
      </w:r>
    </w:p>
    <w:p w14:paraId="610E7241" w14:textId="6482FE6D" w:rsidR="00406031" w:rsidRDefault="00406031" w:rsidP="00406031">
      <w:pPr>
        <w:pStyle w:val="TdocHeader2"/>
        <w:rPr>
          <w:sz w:val="20"/>
          <w:lang w:val="en-US"/>
        </w:rPr>
      </w:pPr>
      <w:r>
        <w:rPr>
          <w:sz w:val="20"/>
          <w:lang w:val="en-US"/>
        </w:rPr>
        <w:t>Agenda Item:</w:t>
      </w:r>
      <w:r>
        <w:rPr>
          <w:sz w:val="20"/>
          <w:lang w:val="en-US"/>
        </w:rPr>
        <w:tab/>
      </w:r>
      <w:r w:rsidR="00DF2C1E">
        <w:rPr>
          <w:bCs/>
          <w:iCs/>
          <w:sz w:val="20"/>
        </w:rPr>
        <w:t>6</w:t>
      </w:r>
      <w:r>
        <w:rPr>
          <w:bCs/>
          <w:iCs/>
          <w:sz w:val="20"/>
        </w:rPr>
        <w:t>.2.2.</w:t>
      </w:r>
      <w:r w:rsidR="00B85930">
        <w:rPr>
          <w:bCs/>
          <w:iCs/>
          <w:sz w:val="20"/>
        </w:rPr>
        <w:t>1</w:t>
      </w:r>
    </w:p>
    <w:p w14:paraId="0242085A" w14:textId="77777777" w:rsidR="00406031" w:rsidRDefault="00406031" w:rsidP="00406031">
      <w:pPr>
        <w:pStyle w:val="TdocHeader2"/>
        <w:rPr>
          <w:sz w:val="20"/>
          <w:lang w:val="en-US"/>
        </w:rPr>
      </w:pPr>
      <w:r>
        <w:rPr>
          <w:sz w:val="20"/>
          <w:lang w:val="en-US"/>
        </w:rPr>
        <w:t>Document for:</w:t>
      </w:r>
      <w:r>
        <w:rPr>
          <w:sz w:val="20"/>
          <w:lang w:val="en-US"/>
        </w:rPr>
        <w:tab/>
        <w:t>Discussion and Decision</w:t>
      </w:r>
    </w:p>
    <w:p w14:paraId="3A4704EA" w14:textId="77777777" w:rsidR="00406031" w:rsidRDefault="00406031" w:rsidP="00406031">
      <w:pPr>
        <w:pStyle w:val="Heading1"/>
        <w:keepLines/>
        <w:numPr>
          <w:ilvl w:val="0"/>
          <w:numId w:val="10"/>
        </w:numPr>
        <w:pBdr>
          <w:top w:val="single" w:sz="12" w:space="0" w:color="auto"/>
        </w:pBdr>
        <w:tabs>
          <w:tab w:val="num" w:pos="432"/>
        </w:tabs>
        <w:overflowPunct w:val="0"/>
        <w:autoSpaceDE w:val="0"/>
        <w:autoSpaceDN w:val="0"/>
        <w:adjustRightInd w:val="0"/>
        <w:spacing w:after="120"/>
        <w:jc w:val="both"/>
        <w:textAlignment w:val="baseline"/>
        <w:rPr>
          <w:b/>
          <w:bCs/>
        </w:rPr>
      </w:pPr>
      <w:bookmarkStart w:id="3" w:name="_Toc458153810"/>
      <w:bookmarkStart w:id="4" w:name="_Ref298777854"/>
      <w:bookmarkEnd w:id="0"/>
      <w:bookmarkEnd w:id="1"/>
      <w:r>
        <w:rPr>
          <w:b/>
          <w:bCs/>
        </w:rPr>
        <w:t>Introduction</w:t>
      </w:r>
      <w:bookmarkEnd w:id="3"/>
      <w:bookmarkEnd w:id="4"/>
    </w:p>
    <w:p w14:paraId="519462E5" w14:textId="77777777" w:rsidR="00406031" w:rsidRDefault="00406031" w:rsidP="00406031">
      <w:pPr>
        <w:spacing w:after="120"/>
        <w:jc w:val="both"/>
      </w:pPr>
      <w:r>
        <w:t xml:space="preserve">A work item on enhancements to LTE operation in unlicensed spectrum was agreed in RAN #75 meeting to further enhance the LAA performance in Rel-15. One objective of the work item is to specify the support for multiple starting and ending positions in a subframe for UL and DL on SCell with Frame structure type 3. </w:t>
      </w:r>
    </w:p>
    <w:p w14:paraId="284D1568" w14:textId="413056B1" w:rsidR="00406031" w:rsidRDefault="00406031" w:rsidP="00406031">
      <w:pPr>
        <w:spacing w:after="120"/>
        <w:jc w:val="both"/>
      </w:pPr>
      <w:r>
        <w:t>In this contribution, we provide</w:t>
      </w:r>
      <w:r w:rsidR="008F0A70">
        <w:t xml:space="preserve"> our views on multiple starting</w:t>
      </w:r>
      <w:r>
        <w:t xml:space="preserve"> positions for LAA DL.</w:t>
      </w:r>
    </w:p>
    <w:p w14:paraId="303AF8CB" w14:textId="77777777" w:rsidR="00406031" w:rsidRDefault="00406031" w:rsidP="00406031">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5" w:name="_Toc458153811"/>
      <w:r>
        <w:rPr>
          <w:b/>
          <w:bCs/>
        </w:rPr>
        <w:t>Discussion</w:t>
      </w:r>
      <w:bookmarkEnd w:id="5"/>
    </w:p>
    <w:p w14:paraId="3DE3098F" w14:textId="4711F87C" w:rsidR="00792F4B" w:rsidRDefault="00D054A2" w:rsidP="00B85930">
      <w:pPr>
        <w:pStyle w:val="BodyText"/>
      </w:pPr>
      <w:r>
        <w:t xml:space="preserve">First or all, </w:t>
      </w:r>
      <w:r w:rsidR="00792F4B">
        <w:t xml:space="preserve">it was discussed extensively and agreed in RAN1 #83 that </w:t>
      </w:r>
      <w:r w:rsidR="00792F4B">
        <w:fldChar w:fldCharType="begin"/>
      </w:r>
      <w:r w:rsidR="00792F4B">
        <w:instrText xml:space="preserve"> REF _Ref478040537 \r \h </w:instrText>
      </w:r>
      <w:r w:rsidR="00792F4B">
        <w:fldChar w:fldCharType="separate"/>
      </w:r>
      <w:r w:rsidR="00792F4B">
        <w:t>[1]</w:t>
      </w:r>
      <w:r w:rsidR="00792F4B">
        <w:fldChar w:fldCharType="end"/>
      </w:r>
    </w:p>
    <w:p w14:paraId="3B1F5E8F" w14:textId="77777777" w:rsidR="00792F4B" w:rsidRPr="00D05FB3" w:rsidRDefault="00792F4B" w:rsidP="00B85930">
      <w:pPr>
        <w:tabs>
          <w:tab w:val="left" w:pos="8640"/>
        </w:tabs>
        <w:ind w:left="720"/>
        <w:rPr>
          <w:rFonts w:eastAsia="MS Mincho"/>
          <w:b/>
          <w:szCs w:val="20"/>
          <w:highlight w:val="yellow"/>
          <w:u w:val="single"/>
          <w:lang w:eastAsia="ja-JP"/>
        </w:rPr>
      </w:pPr>
      <w:r w:rsidRPr="00114622">
        <w:rPr>
          <w:rFonts w:eastAsia="MS Mincho" w:hint="eastAsia"/>
          <w:b/>
          <w:szCs w:val="20"/>
          <w:u w:val="single"/>
          <w:lang w:eastAsia="ja-JP"/>
        </w:rPr>
        <w:t>Conclusion:</w:t>
      </w:r>
    </w:p>
    <w:p w14:paraId="18FE0F27" w14:textId="3D7B64DF" w:rsidR="00792F4B" w:rsidRDefault="00792F4B" w:rsidP="00B85930">
      <w:pPr>
        <w:pStyle w:val="BodyText"/>
        <w:tabs>
          <w:tab w:val="left" w:pos="8640"/>
        </w:tabs>
        <w:ind w:left="720"/>
      </w:pPr>
      <w:r w:rsidRPr="0039292C">
        <w:rPr>
          <w:rFonts w:eastAsia="MS Mincho" w:hint="eastAsia"/>
          <w:szCs w:val="20"/>
          <w:lang w:eastAsia="ja-JP"/>
        </w:rPr>
        <w:t>UE determines the TBS size for starting partial subframe in the same way as in full subframe</w:t>
      </w:r>
    </w:p>
    <w:p w14:paraId="3F34C624" w14:textId="4EA18437" w:rsidR="00CD529B" w:rsidRDefault="00792F4B" w:rsidP="00406031">
      <w:pPr>
        <w:pStyle w:val="BodyText"/>
      </w:pPr>
      <w:r>
        <w:t xml:space="preserve">This conclusion was reached noting </w:t>
      </w:r>
      <w:r w:rsidR="00D054A2">
        <w:t xml:space="preserve">that the transport block sizes (TBS) are determined by the scheduling step, which happens earlier than any listen-before-talk decisions. </w:t>
      </w:r>
      <w:r w:rsidR="005261D2">
        <w:t xml:space="preserve">This conclusion is also the guiding principle in the design of MCS table enhancement </w:t>
      </w:r>
      <w:r w:rsidR="005261D2">
        <w:fldChar w:fldCharType="begin"/>
      </w:r>
      <w:r w:rsidR="005261D2">
        <w:instrText xml:space="preserve"> REF _Ref478040858 \r \h </w:instrText>
      </w:r>
      <w:r w:rsidR="005261D2">
        <w:fldChar w:fldCharType="separate"/>
      </w:r>
      <w:r w:rsidR="005261D2">
        <w:t>[2]</w:t>
      </w:r>
      <w:r w:rsidR="005261D2">
        <w:fldChar w:fldCharType="end"/>
      </w:r>
      <w:r w:rsidR="005261D2">
        <w:fldChar w:fldCharType="begin"/>
      </w:r>
      <w:r w:rsidR="005261D2">
        <w:instrText xml:space="preserve"> REF _Ref478040859 \r \h </w:instrText>
      </w:r>
      <w:r w:rsidR="005261D2">
        <w:fldChar w:fldCharType="separate"/>
      </w:r>
      <w:r w:rsidR="005261D2">
        <w:t>[3]</w:t>
      </w:r>
      <w:r w:rsidR="005261D2">
        <w:fldChar w:fldCharType="end"/>
      </w:r>
      <w:r w:rsidR="005261D2">
        <w:fldChar w:fldCharType="begin"/>
      </w:r>
      <w:r w:rsidR="005261D2">
        <w:instrText xml:space="preserve"> REF _Ref478040861 \r \h </w:instrText>
      </w:r>
      <w:r w:rsidR="005261D2">
        <w:fldChar w:fldCharType="separate"/>
      </w:r>
      <w:r w:rsidR="005261D2">
        <w:t>[4]</w:t>
      </w:r>
      <w:r w:rsidR="005261D2">
        <w:fldChar w:fldCharType="end"/>
      </w:r>
      <w:r w:rsidR="005261D2">
        <w:t xml:space="preserve">in adopted in RAN1 #84bis </w:t>
      </w:r>
      <w:r w:rsidR="005261D2">
        <w:fldChar w:fldCharType="begin"/>
      </w:r>
      <w:r w:rsidR="005261D2">
        <w:instrText xml:space="preserve"> REF _Ref478040871 \r \h </w:instrText>
      </w:r>
      <w:r w:rsidR="005261D2">
        <w:fldChar w:fldCharType="separate"/>
      </w:r>
      <w:r w:rsidR="005261D2">
        <w:t>[5]</w:t>
      </w:r>
      <w:r w:rsidR="005261D2">
        <w:fldChar w:fldCharType="end"/>
      </w:r>
      <w:r w:rsidR="005261D2">
        <w:t>. This principle should still be followed in this WI since i</w:t>
      </w:r>
      <w:r w:rsidR="00CD529B">
        <w:t xml:space="preserve">t is a significant increase in complexity to change the TBS based on the LBT outcome. </w:t>
      </w:r>
    </w:p>
    <w:p w14:paraId="3D74C0CF" w14:textId="4884B14C" w:rsidR="00792F4B" w:rsidRDefault="00CD529B" w:rsidP="00B85930">
      <w:pPr>
        <w:pStyle w:val="BodyText"/>
        <w:rPr>
          <w:b/>
        </w:rPr>
      </w:pPr>
      <w:r w:rsidRPr="00CD529B">
        <w:rPr>
          <w:b/>
        </w:rPr>
        <w:t xml:space="preserve">Observation 1: </w:t>
      </w:r>
      <w:r>
        <w:rPr>
          <w:b/>
        </w:rPr>
        <w:t>It is not practical to adapt the transport block sizes based on the LBT outcome.</w:t>
      </w:r>
    </w:p>
    <w:p w14:paraId="71489053" w14:textId="42412F45" w:rsidR="00B50F3A" w:rsidRDefault="00BB2F17" w:rsidP="00A878EF">
      <w:pPr>
        <w:pStyle w:val="BodyText"/>
        <w:rPr>
          <w:bCs/>
        </w:rPr>
      </w:pPr>
      <w:r w:rsidRPr="00BB2F17">
        <w:rPr>
          <w:bCs/>
        </w:rPr>
        <w:t xml:space="preserve">During </w:t>
      </w:r>
      <w:r>
        <w:t>RAN1 #88bis</w:t>
      </w:r>
      <w:r w:rsidRPr="00BB2F17">
        <w:rPr>
          <w:bCs/>
        </w:rPr>
        <w:t xml:space="preserve">, majority of the companies </w:t>
      </w:r>
      <w:r>
        <w:rPr>
          <w:bCs/>
        </w:rPr>
        <w:t>argued against</w:t>
      </w:r>
      <w:r w:rsidRPr="00BB2F17">
        <w:rPr>
          <w:bCs/>
        </w:rPr>
        <w:t xml:space="preserve"> considering shortened TTI in the current </w:t>
      </w:r>
      <w:r w:rsidR="00A878EF">
        <w:rPr>
          <w:bCs/>
        </w:rPr>
        <w:t>e</w:t>
      </w:r>
      <w:r>
        <w:t>nhancements to LTE operation in unlicensed spectrum</w:t>
      </w:r>
      <w:r w:rsidRPr="00BB2F17">
        <w:rPr>
          <w:bCs/>
        </w:rPr>
        <w:t xml:space="preserve"> </w:t>
      </w:r>
      <w:r>
        <w:rPr>
          <w:bCs/>
        </w:rPr>
        <w:t>WI</w:t>
      </w:r>
      <w:r w:rsidR="006D0A41">
        <w:rPr>
          <w:bCs/>
        </w:rPr>
        <w:t xml:space="preserve"> since the sTTI design is not completed yet. In principle, </w:t>
      </w:r>
      <w:r w:rsidR="001E541F">
        <w:rPr>
          <w:bCs/>
        </w:rPr>
        <w:t>duplicate work and discussing same scope in different work items</w:t>
      </w:r>
      <w:r w:rsidR="006D0A41">
        <w:rPr>
          <w:bCs/>
        </w:rPr>
        <w:t xml:space="preserve"> should be avoided</w:t>
      </w:r>
      <w:r w:rsidR="001E541F">
        <w:rPr>
          <w:bCs/>
        </w:rPr>
        <w:t xml:space="preserve">. </w:t>
      </w:r>
      <w:r w:rsidR="006D0A41">
        <w:rPr>
          <w:bCs/>
        </w:rPr>
        <w:t xml:space="preserve">Therefore, discussions on whether to include sTTI or not should be postponed until the WI on sTTI is completed. </w:t>
      </w:r>
    </w:p>
    <w:p w14:paraId="0AF84FAD" w14:textId="3983151D" w:rsidR="00BB2F17" w:rsidRPr="00A878EF" w:rsidRDefault="00BB2F17" w:rsidP="00B85930">
      <w:pPr>
        <w:pStyle w:val="BodyText"/>
        <w:rPr>
          <w:b/>
        </w:rPr>
      </w:pPr>
      <w:r w:rsidRPr="00A878EF">
        <w:rPr>
          <w:b/>
        </w:rPr>
        <w:t xml:space="preserve">Observation 2: sTTI operation </w:t>
      </w:r>
      <w:r w:rsidR="00AC6BB2">
        <w:rPr>
          <w:b/>
        </w:rPr>
        <w:t xml:space="preserve">on LAA SCell </w:t>
      </w:r>
      <w:r w:rsidRPr="00A878EF">
        <w:rPr>
          <w:b/>
        </w:rPr>
        <w:t xml:space="preserve">is not considered </w:t>
      </w:r>
      <w:r w:rsidR="00A878EF" w:rsidRPr="00A878EF">
        <w:rPr>
          <w:b/>
        </w:rPr>
        <w:t xml:space="preserve">before the WI on sTTI is completed. </w:t>
      </w:r>
    </w:p>
    <w:p w14:paraId="75FE2C69" w14:textId="626966A7" w:rsidR="00CD529B" w:rsidRPr="006B501B" w:rsidRDefault="00CD529B" w:rsidP="006B501B">
      <w:pPr>
        <w:pStyle w:val="Heading2"/>
        <w:keepLines/>
        <w:numPr>
          <w:ilvl w:val="1"/>
          <w:numId w:val="10"/>
        </w:numPr>
        <w:pBdr>
          <w:top w:val="single" w:sz="12" w:space="0" w:color="auto"/>
        </w:pBdr>
        <w:tabs>
          <w:tab w:val="num" w:pos="432"/>
        </w:tabs>
        <w:overflowPunct w:val="0"/>
        <w:autoSpaceDE w:val="0"/>
        <w:autoSpaceDN w:val="0"/>
        <w:adjustRightInd w:val="0"/>
        <w:spacing w:after="120"/>
        <w:jc w:val="both"/>
        <w:textAlignment w:val="baseline"/>
        <w:rPr>
          <w:b/>
          <w:bCs/>
        </w:rPr>
      </w:pPr>
      <w:r w:rsidRPr="006B501B">
        <w:rPr>
          <w:b/>
          <w:bCs/>
        </w:rPr>
        <w:t>Rate matching the TB</w:t>
      </w:r>
      <w:r w:rsidR="00B00645">
        <w:rPr>
          <w:b/>
          <w:bCs/>
        </w:rPr>
        <w:t>S</w:t>
      </w:r>
      <w:r w:rsidRPr="006B501B">
        <w:rPr>
          <w:b/>
          <w:bCs/>
        </w:rPr>
        <w:t xml:space="preserve"> based on LBT outcome</w:t>
      </w:r>
    </w:p>
    <w:p w14:paraId="32FABC9E" w14:textId="6AF3035E" w:rsidR="00D054A2" w:rsidRDefault="00B00645" w:rsidP="00C37F7D">
      <w:pPr>
        <w:pStyle w:val="BodyText"/>
      </w:pPr>
      <w:r>
        <w:t xml:space="preserve">In </w:t>
      </w:r>
      <w:r w:rsidR="005E4BFB">
        <w:t>Rel-13</w:t>
      </w:r>
      <w:r>
        <w:t>,</w:t>
      </w:r>
      <w:r w:rsidR="005E4BFB">
        <w:t xml:space="preserve"> </w:t>
      </w:r>
      <w:r w:rsidR="007C214B">
        <w:t>a UE can be configured with two possible start</w:t>
      </w:r>
      <w:r w:rsidR="00B85930">
        <w:t>ing points</w:t>
      </w:r>
      <w:r w:rsidR="007C214B">
        <w:t xml:space="preserve"> {0,7} OFDM Symbol</w:t>
      </w:r>
      <w:r w:rsidR="005E4BFB">
        <w:t xml:space="preserve">. Using the same approach, more starting points can be added. L1 processing can adapt </w:t>
      </w:r>
      <w:r w:rsidR="00D054A2">
        <w:t>the</w:t>
      </w:r>
      <w:r w:rsidR="005E4BFB">
        <w:t xml:space="preserve"> same</w:t>
      </w:r>
      <w:r w:rsidR="00D054A2">
        <w:t xml:space="preserve"> TB</w:t>
      </w:r>
      <w:r>
        <w:t>S</w:t>
      </w:r>
      <w:r w:rsidR="00D054A2">
        <w:t xml:space="preserve"> into </w:t>
      </w:r>
      <w:r w:rsidR="005E4BFB" w:rsidRPr="005E4BFB">
        <w:t>different amount of radio resources to accommodate multiple data transmission starting points based on the LBT outcome.</w:t>
      </w:r>
      <w:r w:rsidR="00C37F7D" w:rsidRPr="00C37F7D">
        <w:t xml:space="preserve"> </w:t>
      </w:r>
      <w:r w:rsidR="00C37F7D">
        <w:t xml:space="preserve">Depending on the used starting point, the number of available resources is different and hence different coding rate is </w:t>
      </w:r>
      <w:r w:rsidR="005D1D67">
        <w:t xml:space="preserve">resulted </w:t>
      </w:r>
      <w:r w:rsidR="00C37F7D">
        <w:t>to fit the same scheduled TBS.</w:t>
      </w:r>
    </w:p>
    <w:p w14:paraId="5822D8A2" w14:textId="2DFB3FE4" w:rsidR="00D054A2" w:rsidRDefault="007C70D1" w:rsidP="00D054A2">
      <w:pPr>
        <w:pStyle w:val="BodyText"/>
        <w:rPr>
          <w:b/>
        </w:rPr>
      </w:pPr>
      <w:r>
        <w:rPr>
          <w:b/>
        </w:rPr>
        <w:t>Proposal 1</w:t>
      </w:r>
      <w:r w:rsidR="00D054A2">
        <w:rPr>
          <w:b/>
        </w:rPr>
        <w:t>:</w:t>
      </w:r>
    </w:p>
    <w:p w14:paraId="22D2A987" w14:textId="0613252C" w:rsidR="00E07B33" w:rsidRDefault="00EA5E3B" w:rsidP="00B85930">
      <w:pPr>
        <w:pStyle w:val="BodyText"/>
        <w:numPr>
          <w:ilvl w:val="0"/>
          <w:numId w:val="3"/>
        </w:numPr>
        <w:rPr>
          <w:b/>
          <w:bCs/>
        </w:rPr>
      </w:pPr>
      <w:r>
        <w:rPr>
          <w:b/>
          <w:bCs/>
        </w:rPr>
        <w:t xml:space="preserve">If additional DL starting points are considered, </w:t>
      </w:r>
      <w:r w:rsidR="00EA43E2">
        <w:rPr>
          <w:b/>
          <w:bCs/>
        </w:rPr>
        <w:t>it</w:t>
      </w:r>
      <w:r>
        <w:rPr>
          <w:b/>
          <w:bCs/>
        </w:rPr>
        <w:t xml:space="preserve"> should be based on</w:t>
      </w:r>
      <w:r w:rsidR="003F76DA">
        <w:rPr>
          <w:b/>
          <w:bCs/>
        </w:rPr>
        <w:t xml:space="preserve"> R</w:t>
      </w:r>
      <w:r w:rsidR="003F76DA" w:rsidRPr="003F76DA">
        <w:rPr>
          <w:b/>
          <w:bCs/>
        </w:rPr>
        <w:t xml:space="preserve">el-13 </w:t>
      </w:r>
      <w:r w:rsidR="003F76DA">
        <w:rPr>
          <w:b/>
          <w:bCs/>
        </w:rPr>
        <w:t xml:space="preserve">DL </w:t>
      </w:r>
      <w:r w:rsidR="003F76DA" w:rsidRPr="003F76DA">
        <w:rPr>
          <w:b/>
          <w:bCs/>
        </w:rPr>
        <w:t>slo</w:t>
      </w:r>
      <w:r w:rsidR="003F76DA">
        <w:rPr>
          <w:b/>
          <w:bCs/>
        </w:rPr>
        <w:t>t-</w:t>
      </w:r>
      <w:r w:rsidR="003F76DA" w:rsidRPr="003F76DA">
        <w:rPr>
          <w:b/>
          <w:bCs/>
        </w:rPr>
        <w:t>based transmission solution</w:t>
      </w:r>
      <w:r>
        <w:rPr>
          <w:b/>
          <w:bCs/>
        </w:rPr>
        <w:t>.</w:t>
      </w:r>
    </w:p>
    <w:p w14:paraId="02C06046" w14:textId="77777777" w:rsidR="00B80A5B" w:rsidRDefault="00EA5E3B" w:rsidP="00B80A5B">
      <w:pPr>
        <w:pStyle w:val="BodyText"/>
      </w:pPr>
      <w:r>
        <w:rPr>
          <w:rFonts w:eastAsia="MS Mincho"/>
          <w:lang w:eastAsia="ja-JP"/>
        </w:rPr>
        <w:t xml:space="preserve">It should also be pointed out that the design of multiple starting points should also take L1 processing and RRH distribution delays into consideration. It shall at least accommodate (1) the delay from RRH LBT circuit to the eNB, (2) the delay to abort ongoing L1 processing, (3) the delay to start a new L1 processing to generate at least one OS, and (4) the delay to distribute the digital samples back to the RRH. Note that </w:t>
      </w:r>
      <w:r>
        <w:lastRenderedPageBreak/>
        <w:t xml:space="preserve">the distribution delay is determined by the coverage area of the licensed band </w:t>
      </w:r>
      <w:proofErr w:type="spellStart"/>
      <w:r>
        <w:t>PCell</w:t>
      </w:r>
      <w:proofErr w:type="spellEnd"/>
      <w:r>
        <w:t>. For instance, even if the eNB is configured with starting position 1 on top of existing symbol 0, it is not realistically possible to execute steps 1 to 4 within less than 1 OFDM symbols.</w:t>
      </w:r>
      <w:r w:rsidR="00B80A5B">
        <w:t xml:space="preserve"> </w:t>
      </w:r>
    </w:p>
    <w:p w14:paraId="1B1525AD" w14:textId="177DA923" w:rsidR="000D5E9F" w:rsidRPr="00B80A5B" w:rsidRDefault="00B80A5B" w:rsidP="00B80A5B">
      <w:pPr>
        <w:pStyle w:val="BodyText"/>
      </w:pPr>
      <w:r>
        <w:t xml:space="preserve">Given that, symbol #4 is the most reasonable starting point between symbol #0 and #7. </w:t>
      </w:r>
      <w:r w:rsidR="000D5E9F">
        <w:t>Table 1 in the appendix calculate</w:t>
      </w:r>
      <w:r w:rsidR="002753E6">
        <w:t xml:space="preserve">s the code rates for starting point at symbol #4 </w:t>
      </w:r>
      <w:r w:rsidR="000D5E9F">
        <w:t>based</w:t>
      </w:r>
      <w:r w:rsidR="000D5E9F" w:rsidRPr="000D5E9F">
        <w:t xml:space="preserve"> </w:t>
      </w:r>
      <w:r w:rsidR="000D5E9F">
        <w:t>on the modulation levels for full subframe and partial subframe</w:t>
      </w:r>
      <w:r w:rsidR="002753E6">
        <w:t>, respectively</w:t>
      </w:r>
      <w:r w:rsidR="000D5E9F">
        <w:t>. If symbol # 4 is considered</w:t>
      </w:r>
      <w:r w:rsidR="002753E6">
        <w:t xml:space="preserve"> as DL transmission starting point</w:t>
      </w:r>
      <w:r w:rsidR="000D5E9F">
        <w:t xml:space="preserve">, </w:t>
      </w:r>
      <w:r>
        <w:t xml:space="preserve">the MCS </w:t>
      </w:r>
      <w:r w:rsidR="002753E6">
        <w:t xml:space="preserve">column defined for </w:t>
      </w:r>
      <w:r>
        <w:t>partial subframe in release 13</w:t>
      </w:r>
      <w:r w:rsidR="002753E6">
        <w:t xml:space="preserve"> can be reused</w:t>
      </w:r>
      <w:r w:rsidR="00267891">
        <w:t xml:space="preserve"> to maintain reasonable code rate</w:t>
      </w:r>
      <w:r>
        <w:t xml:space="preserve">.  </w:t>
      </w:r>
      <w:r w:rsidRPr="00B80A5B">
        <w:t xml:space="preserve"> </w:t>
      </w:r>
    </w:p>
    <w:p w14:paraId="5C7AF8EE" w14:textId="37921741" w:rsidR="00EA5E3B" w:rsidRDefault="00EA5E3B" w:rsidP="00EA5E3B">
      <w:pPr>
        <w:pStyle w:val="BodyText"/>
        <w:rPr>
          <w:b/>
        </w:rPr>
      </w:pPr>
      <w:r>
        <w:rPr>
          <w:b/>
        </w:rPr>
        <w:t>Proposal 2:</w:t>
      </w:r>
    </w:p>
    <w:p w14:paraId="520FE070" w14:textId="1B9FA219" w:rsidR="000D5E9F" w:rsidRDefault="00EA5E3B" w:rsidP="000D5E9F">
      <w:pPr>
        <w:pStyle w:val="BodyText"/>
        <w:numPr>
          <w:ilvl w:val="0"/>
          <w:numId w:val="3"/>
        </w:numPr>
        <w:rPr>
          <w:b/>
        </w:rPr>
      </w:pPr>
      <w:r>
        <w:rPr>
          <w:b/>
        </w:rPr>
        <w:t xml:space="preserve">Considering implementation and distribution latency requirements, support at most one starting point in </w:t>
      </w:r>
      <w:r w:rsidR="000D5E9F">
        <w:rPr>
          <w:b/>
        </w:rPr>
        <w:t>the first slot of the subframe, e.g. symbol # 4.</w:t>
      </w:r>
    </w:p>
    <w:p w14:paraId="561A5DCA" w14:textId="683E0B22" w:rsidR="000D5E9F" w:rsidRPr="000D5E9F" w:rsidRDefault="000D5E9F" w:rsidP="00267891">
      <w:pPr>
        <w:pStyle w:val="BodyText"/>
        <w:numPr>
          <w:ilvl w:val="1"/>
          <w:numId w:val="3"/>
        </w:numPr>
        <w:rPr>
          <w:b/>
        </w:rPr>
      </w:pPr>
      <w:r>
        <w:rPr>
          <w:b/>
        </w:rPr>
        <w:t xml:space="preserve">If starting point at symbol #4 is added, </w:t>
      </w:r>
      <w:r w:rsidR="00267891" w:rsidRPr="00267891">
        <w:rPr>
          <w:b/>
        </w:rPr>
        <w:t xml:space="preserve">the MCS column defined for </w:t>
      </w:r>
      <w:r w:rsidR="00267891">
        <w:rPr>
          <w:b/>
        </w:rPr>
        <w:t xml:space="preserve">partial subframe </w:t>
      </w:r>
      <w:r w:rsidR="00267891" w:rsidRPr="00267891">
        <w:rPr>
          <w:b/>
        </w:rPr>
        <w:t>in release 13 can be reused</w:t>
      </w:r>
      <w:r w:rsidR="00267891">
        <w:rPr>
          <w:b/>
        </w:rPr>
        <w:t xml:space="preserve"> to maintain reasonable code rate.</w:t>
      </w:r>
    </w:p>
    <w:p w14:paraId="28A09264" w14:textId="4C99A1EB" w:rsidR="009D06F0" w:rsidRDefault="00BB2F17" w:rsidP="009D06F0">
      <w:pPr>
        <w:pStyle w:val="BodyText"/>
      </w:pPr>
      <w:r>
        <w:t>A</w:t>
      </w:r>
      <w:r w:rsidR="003E2F60">
        <w:t xml:space="preserve">dditional starting points in the second slot </w:t>
      </w:r>
      <w:r w:rsidR="009D06F0">
        <w:t xml:space="preserve">of </w:t>
      </w:r>
      <w:r w:rsidR="00D24D59">
        <w:t xml:space="preserve">a </w:t>
      </w:r>
      <w:r w:rsidR="009D06F0">
        <w:t>subframe</w:t>
      </w:r>
      <w:r w:rsidR="00065219">
        <w:t xml:space="preserve"> do</w:t>
      </w:r>
      <w:r w:rsidR="009D06F0">
        <w:t xml:space="preserve"> not </w:t>
      </w:r>
      <w:r w:rsidR="00065219">
        <w:t xml:space="preserve">appear </w:t>
      </w:r>
      <w:r w:rsidR="009D06F0">
        <w:t>beneficial</w:t>
      </w:r>
      <w:r w:rsidR="00BA32FA">
        <w:t xml:space="preserve"> in terms of throughput gains</w:t>
      </w:r>
      <w:r w:rsidR="009D06F0">
        <w:t xml:space="preserve">. Starting points later than the start of the second slot </w:t>
      </w:r>
      <w:r w:rsidR="00D26860">
        <w:t xml:space="preserve">will </w:t>
      </w:r>
      <w:r w:rsidR="00065219">
        <w:t xml:space="preserve">carry </w:t>
      </w:r>
      <w:r w:rsidR="00D26860">
        <w:t xml:space="preserve">much </w:t>
      </w:r>
      <w:r w:rsidR="00B36ECF">
        <w:t>fewer</w:t>
      </w:r>
      <w:r w:rsidR="00D26860">
        <w:t xml:space="preserve"> radio resources. The effective code rates </w:t>
      </w:r>
      <w:r w:rsidR="00630000">
        <w:t xml:space="preserve">may </w:t>
      </w:r>
      <w:r w:rsidR="00D26860">
        <w:t xml:space="preserve">turn out to be higher than </w:t>
      </w:r>
      <w:r w:rsidR="008F0A70">
        <w:t>what the</w:t>
      </w:r>
      <w:r w:rsidR="00D26860">
        <w:t xml:space="preserve"> channel conditions</w:t>
      </w:r>
      <w:r w:rsidR="00EA43E2">
        <w:t xml:space="preserve"> </w:t>
      </w:r>
      <w:r w:rsidR="00D26860">
        <w:t xml:space="preserve">can support. In </w:t>
      </w:r>
      <w:r w:rsidR="00B36ECF">
        <w:t xml:space="preserve">many </w:t>
      </w:r>
      <w:r w:rsidR="00D26860">
        <w:t>cases, not even the systematic bits can all be transmitted.</w:t>
      </w:r>
      <w:r w:rsidR="009D06F0">
        <w:t xml:space="preserve"> For these LBT outcomes, decoding at the receiver will fail and the data needs to be retransmitted in the next subframe. That is, the transmission in this subframe does not contribute to </w:t>
      </w:r>
      <w:r w:rsidR="008F0A70">
        <w:t xml:space="preserve">the </w:t>
      </w:r>
      <w:r w:rsidR="009D06F0">
        <w:t xml:space="preserve">net increase in data throughput. </w:t>
      </w:r>
    </w:p>
    <w:p w14:paraId="331CE111" w14:textId="3B1F9707" w:rsidR="009D06F0" w:rsidRDefault="009D06F0" w:rsidP="000D5E9F">
      <w:pPr>
        <w:pStyle w:val="BodyText"/>
      </w:pPr>
      <w:r>
        <w:t xml:space="preserve">Table </w:t>
      </w:r>
      <w:r w:rsidR="000D5E9F">
        <w:t>2</w:t>
      </w:r>
      <w:r>
        <w:t xml:space="preserve"> in the appendix</w:t>
      </w:r>
      <w:r w:rsidR="009F31C3">
        <w:t xml:space="preserve"> is calculated based on the modulation levels for partial subframe that was specified during Release 13. According to </w:t>
      </w:r>
      <w:r w:rsidR="00D24D59">
        <w:t>T</w:t>
      </w:r>
      <w:r w:rsidR="009F31C3">
        <w:t xml:space="preserve">able </w:t>
      </w:r>
      <w:r w:rsidR="00D24D59">
        <w:t>2</w:t>
      </w:r>
      <w:r w:rsidR="009F31C3">
        <w:t xml:space="preserve">, </w:t>
      </w:r>
      <w:r>
        <w:t>if starting position at symbol 8 is allowed, only 8 MCS indices provide coding rate below 0.93</w:t>
      </w:r>
      <w:r w:rsidR="00630000">
        <w:t>1</w:t>
      </w:r>
      <w:r>
        <w:t xml:space="preserve"> when using 3OS for control. As another example, if starting position at symbol 9 is allowed, only 3 MCS indices provide coding rate below 0.93</w:t>
      </w:r>
      <w:r w:rsidR="00630000">
        <w:t>1</w:t>
      </w:r>
      <w:r>
        <w:t xml:space="preserve">. </w:t>
      </w:r>
      <w:r w:rsidR="009F31C3">
        <w:t>Since most of the MCS indices already use highest modulation level, there is very small margin for improvement if the modulation l</w:t>
      </w:r>
      <w:r w:rsidR="007A1935">
        <w:t>evel for the lower MCS indices is increased further.</w:t>
      </w:r>
    </w:p>
    <w:p w14:paraId="75F321BD" w14:textId="6FCE5BF1" w:rsidR="00EF1F23" w:rsidRDefault="007C70D1" w:rsidP="00EF1F23">
      <w:pPr>
        <w:pStyle w:val="BodyText"/>
        <w:rPr>
          <w:b/>
        </w:rPr>
      </w:pPr>
      <w:r>
        <w:rPr>
          <w:b/>
        </w:rPr>
        <w:t xml:space="preserve">Proposal </w:t>
      </w:r>
      <w:r w:rsidR="00EA5E3B">
        <w:rPr>
          <w:b/>
        </w:rPr>
        <w:t>3</w:t>
      </w:r>
      <w:r w:rsidR="00EF1F23">
        <w:rPr>
          <w:b/>
        </w:rPr>
        <w:t xml:space="preserve">: </w:t>
      </w:r>
    </w:p>
    <w:p w14:paraId="400917B1" w14:textId="6E88F300" w:rsidR="00E07B33" w:rsidRPr="00B85930" w:rsidRDefault="00AC6BB2" w:rsidP="00B85930">
      <w:pPr>
        <w:pStyle w:val="BodyText"/>
        <w:numPr>
          <w:ilvl w:val="0"/>
          <w:numId w:val="8"/>
        </w:numPr>
        <w:rPr>
          <w:b/>
        </w:rPr>
      </w:pPr>
      <w:r>
        <w:rPr>
          <w:b/>
        </w:rPr>
        <w:t xml:space="preserve">Given the </w:t>
      </w:r>
      <w:r w:rsidR="00EF1F23">
        <w:rPr>
          <w:b/>
        </w:rPr>
        <w:t xml:space="preserve">data throughput benefits, </w:t>
      </w:r>
      <w:r>
        <w:rPr>
          <w:b/>
        </w:rPr>
        <w:t>no additional starting positions in</w:t>
      </w:r>
      <w:r w:rsidR="009D06F0">
        <w:rPr>
          <w:b/>
        </w:rPr>
        <w:t xml:space="preserve"> the </w:t>
      </w:r>
      <w:r w:rsidR="00BA32FA">
        <w:rPr>
          <w:b/>
        </w:rPr>
        <w:t>second</w:t>
      </w:r>
      <w:r w:rsidR="009D06F0">
        <w:rPr>
          <w:b/>
        </w:rPr>
        <w:t xml:space="preserve"> slot</w:t>
      </w:r>
      <w:r w:rsidR="00EF1F23">
        <w:rPr>
          <w:b/>
        </w:rPr>
        <w:t xml:space="preserve"> </w:t>
      </w:r>
      <w:r w:rsidR="009D06F0">
        <w:rPr>
          <w:b/>
        </w:rPr>
        <w:t xml:space="preserve">of the subframe </w:t>
      </w:r>
      <w:r>
        <w:rPr>
          <w:b/>
        </w:rPr>
        <w:t xml:space="preserve">are considered. </w:t>
      </w:r>
    </w:p>
    <w:p w14:paraId="0ACC226B" w14:textId="77777777" w:rsidR="00AD06C9" w:rsidRDefault="00AD06C9" w:rsidP="00AD06C9">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bookmarkStart w:id="6" w:name="_Toc458153812"/>
      <w:r>
        <w:rPr>
          <w:b/>
          <w:bCs/>
        </w:rPr>
        <w:t>Conclusion</w:t>
      </w:r>
      <w:bookmarkEnd w:id="6"/>
    </w:p>
    <w:p w14:paraId="5451294E" w14:textId="26D4BE5E" w:rsidR="00AD06C9" w:rsidRDefault="00AD06C9" w:rsidP="00194F64">
      <w:pPr>
        <w:spacing w:after="120"/>
        <w:jc w:val="both"/>
      </w:pPr>
      <w:r>
        <w:t xml:space="preserve">In this paper, we discuss the </w:t>
      </w:r>
      <w:r w:rsidR="00194F64">
        <w:t>DL</w:t>
      </w:r>
      <w:r>
        <w:t xml:space="preserve"> transmission. </w:t>
      </w:r>
    </w:p>
    <w:p w14:paraId="3D2558D6" w14:textId="77777777" w:rsidR="00BB608D" w:rsidRDefault="00BB608D" w:rsidP="00BB608D">
      <w:pPr>
        <w:pStyle w:val="BodyText"/>
        <w:rPr>
          <w:b/>
        </w:rPr>
      </w:pPr>
      <w:r w:rsidRPr="00CD529B">
        <w:rPr>
          <w:b/>
        </w:rPr>
        <w:t xml:space="preserve">Observation 1: </w:t>
      </w:r>
      <w:r>
        <w:rPr>
          <w:b/>
        </w:rPr>
        <w:t>It is not practical to adapt the transport block sizes based on the LBT outcome.</w:t>
      </w:r>
    </w:p>
    <w:p w14:paraId="382D4884" w14:textId="77777777" w:rsidR="00BB608D" w:rsidRPr="00A878EF" w:rsidRDefault="00BB608D" w:rsidP="00BB608D">
      <w:pPr>
        <w:pStyle w:val="BodyText"/>
        <w:rPr>
          <w:b/>
        </w:rPr>
      </w:pPr>
      <w:r w:rsidRPr="00A878EF">
        <w:rPr>
          <w:b/>
        </w:rPr>
        <w:t xml:space="preserve">Observation 2: sTTI operation </w:t>
      </w:r>
      <w:r>
        <w:rPr>
          <w:b/>
        </w:rPr>
        <w:t xml:space="preserve">on LAA SCell </w:t>
      </w:r>
      <w:r w:rsidRPr="00A878EF">
        <w:rPr>
          <w:b/>
        </w:rPr>
        <w:t xml:space="preserve">is not considered before the WI on sTTI is completed. </w:t>
      </w:r>
    </w:p>
    <w:p w14:paraId="654FC3C2" w14:textId="77777777" w:rsidR="008A0384" w:rsidRPr="008A0384" w:rsidRDefault="008A0384" w:rsidP="00EA0D01">
      <w:pPr>
        <w:rPr>
          <w:b/>
          <w:bCs/>
        </w:rPr>
      </w:pPr>
    </w:p>
    <w:p w14:paraId="364BD689" w14:textId="3B069BDE" w:rsidR="008F0A70" w:rsidRPr="008F0A70" w:rsidRDefault="008F0A70" w:rsidP="008F0A70">
      <w:pPr>
        <w:pStyle w:val="BodyText"/>
        <w:rPr>
          <w:b/>
        </w:rPr>
      </w:pPr>
      <w:r>
        <w:rPr>
          <w:b/>
        </w:rPr>
        <w:t xml:space="preserve">Proposal 1: </w:t>
      </w:r>
      <w:r>
        <w:rPr>
          <w:b/>
          <w:bCs/>
        </w:rPr>
        <w:t>If additional DL starting points are considered, it should be based on R</w:t>
      </w:r>
      <w:r w:rsidRPr="003F76DA">
        <w:rPr>
          <w:b/>
          <w:bCs/>
        </w:rPr>
        <w:t xml:space="preserve">el-13 </w:t>
      </w:r>
      <w:r>
        <w:rPr>
          <w:b/>
          <w:bCs/>
        </w:rPr>
        <w:t xml:space="preserve">DL </w:t>
      </w:r>
      <w:r w:rsidRPr="003F76DA">
        <w:rPr>
          <w:b/>
          <w:bCs/>
        </w:rPr>
        <w:t>slo</w:t>
      </w:r>
      <w:r>
        <w:rPr>
          <w:b/>
          <w:bCs/>
        </w:rPr>
        <w:t>t-</w:t>
      </w:r>
      <w:r w:rsidRPr="003F76DA">
        <w:rPr>
          <w:b/>
          <w:bCs/>
        </w:rPr>
        <w:t>based transmission solution</w:t>
      </w:r>
      <w:r>
        <w:rPr>
          <w:b/>
          <w:bCs/>
        </w:rPr>
        <w:t>.</w:t>
      </w:r>
    </w:p>
    <w:p w14:paraId="6F3CB04C" w14:textId="74457D45" w:rsidR="008F0A70" w:rsidRDefault="008F0A70" w:rsidP="008F0A70">
      <w:pPr>
        <w:pStyle w:val="BodyText"/>
        <w:rPr>
          <w:b/>
        </w:rPr>
      </w:pPr>
      <w:r>
        <w:rPr>
          <w:b/>
        </w:rPr>
        <w:t>Proposal 2: Considering implementation and distribution latency requirements, support at most one starting point in the first slot of the subframe, e.g. symbol # 4.</w:t>
      </w:r>
    </w:p>
    <w:p w14:paraId="06443864" w14:textId="77777777" w:rsidR="008F0A70" w:rsidRPr="000D5E9F" w:rsidRDefault="008F0A70" w:rsidP="008F0A70">
      <w:pPr>
        <w:pStyle w:val="BodyText"/>
        <w:numPr>
          <w:ilvl w:val="1"/>
          <w:numId w:val="3"/>
        </w:numPr>
        <w:rPr>
          <w:b/>
        </w:rPr>
      </w:pPr>
      <w:r>
        <w:rPr>
          <w:b/>
        </w:rPr>
        <w:t xml:space="preserve">If starting point at symbol #4 is added, </w:t>
      </w:r>
      <w:r w:rsidRPr="00267891">
        <w:rPr>
          <w:b/>
        </w:rPr>
        <w:t xml:space="preserve">the MCS column defined for </w:t>
      </w:r>
      <w:r>
        <w:rPr>
          <w:b/>
        </w:rPr>
        <w:t xml:space="preserve">partial subframe </w:t>
      </w:r>
      <w:r w:rsidRPr="00267891">
        <w:rPr>
          <w:b/>
        </w:rPr>
        <w:t>in release 13 can be reused</w:t>
      </w:r>
      <w:r>
        <w:rPr>
          <w:b/>
        </w:rPr>
        <w:t xml:space="preserve"> to maintain reasonable code rate.</w:t>
      </w:r>
    </w:p>
    <w:p w14:paraId="49D34C73" w14:textId="08A3880E" w:rsidR="00EA0D01" w:rsidRPr="00070675" w:rsidRDefault="008F0A70" w:rsidP="00070675">
      <w:pPr>
        <w:pStyle w:val="BodyText"/>
        <w:rPr>
          <w:b/>
        </w:rPr>
      </w:pPr>
      <w:r>
        <w:rPr>
          <w:b/>
        </w:rPr>
        <w:t>Proposal 3: Given the data throughput benefits, no additional starting positions in the second slot o</w:t>
      </w:r>
      <w:r w:rsidR="00070675">
        <w:rPr>
          <w:b/>
        </w:rPr>
        <w:t xml:space="preserve">f the subframe are considered. </w:t>
      </w:r>
    </w:p>
    <w:p w14:paraId="2464F8BC" w14:textId="77777777" w:rsidR="00792F4B" w:rsidRPr="00B85930" w:rsidRDefault="00792F4B" w:rsidP="00B85930">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sidRPr="00B85930">
        <w:rPr>
          <w:b/>
          <w:bCs/>
        </w:rPr>
        <w:lastRenderedPageBreak/>
        <w:t>References</w:t>
      </w:r>
    </w:p>
    <w:p w14:paraId="50A70303" w14:textId="3EA5B3B0" w:rsidR="00792F4B" w:rsidRDefault="00792F4B" w:rsidP="00792F4B">
      <w:pPr>
        <w:numPr>
          <w:ilvl w:val="0"/>
          <w:numId w:val="16"/>
        </w:numPr>
        <w:spacing w:after="120"/>
        <w:jc w:val="both"/>
        <w:rPr>
          <w:lang w:val="en-GB"/>
        </w:rPr>
      </w:pPr>
      <w:bookmarkStart w:id="7" w:name="_Ref478040537"/>
      <w:r>
        <w:rPr>
          <w:lang w:val="en-GB"/>
        </w:rPr>
        <w:t>Chairman’s Notes, RAN1 WG #83</w:t>
      </w:r>
      <w:bookmarkEnd w:id="7"/>
    </w:p>
    <w:p w14:paraId="75EB2E1E" w14:textId="01B9AD3C" w:rsidR="005261D2" w:rsidRPr="00B85930" w:rsidRDefault="005261D2" w:rsidP="005261D2">
      <w:pPr>
        <w:numPr>
          <w:ilvl w:val="0"/>
          <w:numId w:val="16"/>
        </w:numPr>
        <w:spacing w:after="120"/>
        <w:jc w:val="both"/>
        <w:rPr>
          <w:lang w:val="en-GB"/>
        </w:rPr>
      </w:pPr>
      <w:bookmarkStart w:id="8" w:name="_Ref478040858"/>
      <w:r w:rsidRPr="005261D2">
        <w:rPr>
          <w:lang w:val="en-GB"/>
        </w:rPr>
        <w:t>R1-163205</w:t>
      </w:r>
      <w:r>
        <w:rPr>
          <w:lang w:val="en-GB"/>
        </w:rPr>
        <w:t xml:space="preserve"> </w:t>
      </w:r>
      <w:r>
        <w:t>Modulation Order Determination</w:t>
      </w:r>
      <w:r w:rsidRPr="00EC47A4">
        <w:t xml:space="preserve"> for Downlink Partial </w:t>
      </w:r>
      <w:proofErr w:type="spellStart"/>
      <w:r w:rsidRPr="00EC47A4">
        <w:t>Subframes</w:t>
      </w:r>
      <w:proofErr w:type="spellEnd"/>
      <w:r>
        <w:t>, Panasonic</w:t>
      </w:r>
      <w:bookmarkEnd w:id="8"/>
    </w:p>
    <w:p w14:paraId="4B377631" w14:textId="6DB9A4C2" w:rsidR="005261D2" w:rsidRDefault="005261D2" w:rsidP="005261D2">
      <w:pPr>
        <w:numPr>
          <w:ilvl w:val="0"/>
          <w:numId w:val="16"/>
        </w:numPr>
        <w:spacing w:after="120"/>
        <w:jc w:val="both"/>
        <w:rPr>
          <w:lang w:val="en-GB"/>
        </w:rPr>
      </w:pPr>
      <w:bookmarkStart w:id="9" w:name="_Ref478040859"/>
      <w:r>
        <w:rPr>
          <w:lang w:val="en-GB"/>
        </w:rPr>
        <w:t xml:space="preserve">R1-163367 </w:t>
      </w:r>
      <w:r w:rsidRPr="005261D2">
        <w:rPr>
          <w:lang w:val="en-GB"/>
        </w:rPr>
        <w:t>MCS Tables for Initial Partial TTI in LAA</w:t>
      </w:r>
      <w:r>
        <w:rPr>
          <w:lang w:val="en-GB"/>
        </w:rPr>
        <w:t>, Ericsson</w:t>
      </w:r>
      <w:bookmarkEnd w:id="9"/>
    </w:p>
    <w:p w14:paraId="05F28B69" w14:textId="6FC6BC65" w:rsidR="005261D2" w:rsidRPr="00B85930" w:rsidRDefault="005261D2" w:rsidP="005261D2">
      <w:pPr>
        <w:numPr>
          <w:ilvl w:val="0"/>
          <w:numId w:val="16"/>
        </w:numPr>
        <w:spacing w:after="120"/>
        <w:jc w:val="both"/>
        <w:rPr>
          <w:lang w:val="en-GB"/>
        </w:rPr>
      </w:pPr>
      <w:bookmarkStart w:id="10" w:name="_Ref478040861"/>
      <w:r>
        <w:rPr>
          <w:lang w:val="en-GB"/>
        </w:rPr>
        <w:t xml:space="preserve">R1-163508 </w:t>
      </w:r>
      <w:r w:rsidRPr="007216C4">
        <w:rPr>
          <w:noProof/>
        </w:rPr>
        <w:t>MCS</w:t>
      </w:r>
      <w:r>
        <w:rPr>
          <w:noProof/>
        </w:rPr>
        <w:t xml:space="preserve"> Table for I</w:t>
      </w:r>
      <w:r w:rsidRPr="007216C4">
        <w:rPr>
          <w:noProof/>
        </w:rPr>
        <w:t xml:space="preserve">nitial </w:t>
      </w:r>
      <w:r>
        <w:rPr>
          <w:noProof/>
        </w:rPr>
        <w:t>P</w:t>
      </w:r>
      <w:r w:rsidRPr="007216C4">
        <w:rPr>
          <w:noProof/>
        </w:rPr>
        <w:t xml:space="preserve">artial </w:t>
      </w:r>
      <w:r>
        <w:rPr>
          <w:noProof/>
        </w:rPr>
        <w:t>TTI in LAA, Ericsson, Panasonic</w:t>
      </w:r>
      <w:bookmarkEnd w:id="10"/>
    </w:p>
    <w:p w14:paraId="43361A86" w14:textId="0E021A41" w:rsidR="007A1935" w:rsidRDefault="005261D2" w:rsidP="00853444">
      <w:pPr>
        <w:numPr>
          <w:ilvl w:val="0"/>
          <w:numId w:val="16"/>
        </w:numPr>
        <w:spacing w:after="120"/>
        <w:jc w:val="both"/>
        <w:rPr>
          <w:lang w:val="en-GB"/>
        </w:rPr>
      </w:pPr>
      <w:bookmarkStart w:id="11" w:name="_Ref478040871"/>
      <w:r>
        <w:rPr>
          <w:lang w:val="en-GB"/>
        </w:rPr>
        <w:t>Chairman’s’ Notes, RAN1 WG #84bis</w:t>
      </w:r>
      <w:bookmarkEnd w:id="11"/>
    </w:p>
    <w:p w14:paraId="01B5F633" w14:textId="344969F6" w:rsidR="0001366F" w:rsidRDefault="0001366F" w:rsidP="0001366F">
      <w:pPr>
        <w:spacing w:after="120"/>
        <w:jc w:val="both"/>
        <w:rPr>
          <w:lang w:val="en-GB"/>
        </w:rPr>
      </w:pPr>
    </w:p>
    <w:p w14:paraId="7F72CA72" w14:textId="40586749" w:rsidR="0001366F" w:rsidRDefault="0001366F" w:rsidP="0001366F">
      <w:pPr>
        <w:spacing w:after="120"/>
        <w:jc w:val="both"/>
        <w:rPr>
          <w:lang w:val="en-GB"/>
        </w:rPr>
      </w:pPr>
    </w:p>
    <w:p w14:paraId="1A7F2627" w14:textId="07C0DD2C" w:rsidR="0001366F" w:rsidRDefault="0001366F" w:rsidP="0001366F">
      <w:pPr>
        <w:spacing w:after="120"/>
        <w:jc w:val="both"/>
        <w:rPr>
          <w:lang w:val="en-GB"/>
        </w:rPr>
      </w:pPr>
    </w:p>
    <w:p w14:paraId="0CF19EE1" w14:textId="6FC3623E" w:rsidR="0001366F" w:rsidRDefault="0001366F" w:rsidP="0001366F">
      <w:pPr>
        <w:spacing w:after="120"/>
        <w:jc w:val="both"/>
        <w:rPr>
          <w:lang w:val="en-GB"/>
        </w:rPr>
      </w:pPr>
    </w:p>
    <w:p w14:paraId="359CD43E" w14:textId="36BFA527" w:rsidR="0001366F" w:rsidRDefault="0001366F" w:rsidP="0001366F">
      <w:pPr>
        <w:spacing w:after="120"/>
        <w:jc w:val="both"/>
        <w:rPr>
          <w:lang w:val="en-GB"/>
        </w:rPr>
      </w:pPr>
    </w:p>
    <w:p w14:paraId="712F9F55" w14:textId="1740D7A5" w:rsidR="0001366F" w:rsidRDefault="0001366F" w:rsidP="0001366F">
      <w:pPr>
        <w:spacing w:after="120"/>
        <w:jc w:val="both"/>
        <w:rPr>
          <w:lang w:val="en-GB"/>
        </w:rPr>
      </w:pPr>
    </w:p>
    <w:p w14:paraId="2D9DA365" w14:textId="7BE9EA61" w:rsidR="0001366F" w:rsidRDefault="0001366F" w:rsidP="0001366F">
      <w:pPr>
        <w:spacing w:after="120"/>
        <w:jc w:val="both"/>
        <w:rPr>
          <w:lang w:val="en-GB"/>
        </w:rPr>
      </w:pPr>
    </w:p>
    <w:p w14:paraId="57D1824C" w14:textId="0A73FD68" w:rsidR="0001366F" w:rsidRDefault="0001366F" w:rsidP="0001366F">
      <w:pPr>
        <w:spacing w:after="120"/>
        <w:jc w:val="both"/>
        <w:rPr>
          <w:lang w:val="en-GB"/>
        </w:rPr>
      </w:pPr>
    </w:p>
    <w:p w14:paraId="1ECD2659" w14:textId="059465FC" w:rsidR="0001366F" w:rsidRDefault="0001366F" w:rsidP="0001366F">
      <w:pPr>
        <w:spacing w:after="120"/>
        <w:jc w:val="both"/>
        <w:rPr>
          <w:lang w:val="en-GB"/>
        </w:rPr>
      </w:pPr>
    </w:p>
    <w:p w14:paraId="29193822" w14:textId="6B009B71" w:rsidR="0001366F" w:rsidRDefault="0001366F" w:rsidP="0001366F">
      <w:pPr>
        <w:spacing w:after="120"/>
        <w:jc w:val="both"/>
        <w:rPr>
          <w:lang w:val="en-GB"/>
        </w:rPr>
      </w:pPr>
    </w:p>
    <w:p w14:paraId="1158321E" w14:textId="40DDD3B5" w:rsidR="0001366F" w:rsidRDefault="0001366F" w:rsidP="0001366F">
      <w:pPr>
        <w:spacing w:after="120"/>
        <w:jc w:val="both"/>
        <w:rPr>
          <w:lang w:val="en-GB"/>
        </w:rPr>
      </w:pPr>
    </w:p>
    <w:p w14:paraId="190F967B" w14:textId="1C25F95B" w:rsidR="0001366F" w:rsidRDefault="0001366F" w:rsidP="0001366F">
      <w:pPr>
        <w:spacing w:after="120"/>
        <w:jc w:val="both"/>
        <w:rPr>
          <w:lang w:val="en-GB"/>
        </w:rPr>
      </w:pPr>
    </w:p>
    <w:p w14:paraId="77DBE24F" w14:textId="5D7612E0" w:rsidR="0001366F" w:rsidRDefault="0001366F" w:rsidP="0001366F">
      <w:pPr>
        <w:spacing w:after="120"/>
        <w:jc w:val="both"/>
        <w:rPr>
          <w:lang w:val="en-GB"/>
        </w:rPr>
      </w:pPr>
    </w:p>
    <w:p w14:paraId="15BEF631" w14:textId="0ACCC2B6" w:rsidR="0001366F" w:rsidRDefault="0001366F" w:rsidP="0001366F">
      <w:pPr>
        <w:spacing w:after="120"/>
        <w:jc w:val="both"/>
        <w:rPr>
          <w:lang w:val="en-GB"/>
        </w:rPr>
      </w:pPr>
    </w:p>
    <w:p w14:paraId="6C566CB2" w14:textId="51712DBC" w:rsidR="0001366F" w:rsidRDefault="0001366F" w:rsidP="0001366F">
      <w:pPr>
        <w:spacing w:after="120"/>
        <w:jc w:val="both"/>
        <w:rPr>
          <w:lang w:val="en-GB"/>
        </w:rPr>
      </w:pPr>
    </w:p>
    <w:p w14:paraId="7DF4729D" w14:textId="09B4507E" w:rsidR="0001366F" w:rsidRDefault="0001366F" w:rsidP="0001366F">
      <w:pPr>
        <w:spacing w:after="120"/>
        <w:jc w:val="both"/>
        <w:rPr>
          <w:lang w:val="en-GB"/>
        </w:rPr>
      </w:pPr>
    </w:p>
    <w:p w14:paraId="6580998F" w14:textId="41FF2BDA" w:rsidR="0001366F" w:rsidRDefault="0001366F" w:rsidP="0001366F">
      <w:pPr>
        <w:spacing w:after="120"/>
        <w:jc w:val="both"/>
        <w:rPr>
          <w:lang w:val="en-GB"/>
        </w:rPr>
      </w:pPr>
    </w:p>
    <w:p w14:paraId="7542138C" w14:textId="17552AA7" w:rsidR="0001366F" w:rsidRDefault="0001366F" w:rsidP="0001366F">
      <w:pPr>
        <w:spacing w:after="120"/>
        <w:jc w:val="both"/>
        <w:rPr>
          <w:lang w:val="en-GB"/>
        </w:rPr>
      </w:pPr>
    </w:p>
    <w:p w14:paraId="3951F51A" w14:textId="5406FE0D" w:rsidR="0001366F" w:rsidRDefault="0001366F" w:rsidP="0001366F">
      <w:pPr>
        <w:spacing w:after="120"/>
        <w:jc w:val="both"/>
        <w:rPr>
          <w:lang w:val="en-GB"/>
        </w:rPr>
      </w:pPr>
    </w:p>
    <w:p w14:paraId="2B4D2957" w14:textId="34A757E0" w:rsidR="0001366F" w:rsidRDefault="0001366F" w:rsidP="0001366F">
      <w:pPr>
        <w:spacing w:after="120"/>
        <w:jc w:val="both"/>
        <w:rPr>
          <w:lang w:val="en-GB"/>
        </w:rPr>
      </w:pPr>
    </w:p>
    <w:p w14:paraId="12E3076A" w14:textId="48DF4880" w:rsidR="0001366F" w:rsidRDefault="0001366F" w:rsidP="0001366F">
      <w:pPr>
        <w:spacing w:after="120"/>
        <w:jc w:val="both"/>
        <w:rPr>
          <w:lang w:val="en-GB"/>
        </w:rPr>
      </w:pPr>
    </w:p>
    <w:p w14:paraId="38ED35F6" w14:textId="68893387" w:rsidR="0001366F" w:rsidRDefault="0001366F" w:rsidP="0001366F">
      <w:pPr>
        <w:spacing w:after="120"/>
        <w:jc w:val="both"/>
        <w:rPr>
          <w:lang w:val="en-GB"/>
        </w:rPr>
      </w:pPr>
    </w:p>
    <w:p w14:paraId="728ABC53" w14:textId="0007B7ED" w:rsidR="0001366F" w:rsidRDefault="0001366F" w:rsidP="0001366F">
      <w:pPr>
        <w:spacing w:after="120"/>
        <w:jc w:val="both"/>
        <w:rPr>
          <w:lang w:val="en-GB"/>
        </w:rPr>
      </w:pPr>
    </w:p>
    <w:p w14:paraId="4327BB91" w14:textId="2B5A9CC6" w:rsidR="0001366F" w:rsidRDefault="0001366F" w:rsidP="0001366F">
      <w:pPr>
        <w:spacing w:after="120"/>
        <w:jc w:val="both"/>
        <w:rPr>
          <w:lang w:val="en-GB"/>
        </w:rPr>
      </w:pPr>
    </w:p>
    <w:p w14:paraId="4E3D184B" w14:textId="6DA4D831" w:rsidR="0001366F" w:rsidRDefault="0001366F" w:rsidP="0001366F">
      <w:pPr>
        <w:spacing w:after="120"/>
        <w:jc w:val="both"/>
        <w:rPr>
          <w:lang w:val="en-GB"/>
        </w:rPr>
      </w:pPr>
    </w:p>
    <w:p w14:paraId="6806BFF7" w14:textId="4F3E2B52" w:rsidR="0001366F" w:rsidRDefault="0001366F" w:rsidP="0001366F">
      <w:pPr>
        <w:spacing w:after="120"/>
        <w:jc w:val="both"/>
        <w:rPr>
          <w:lang w:val="en-GB"/>
        </w:rPr>
      </w:pPr>
    </w:p>
    <w:p w14:paraId="06672719" w14:textId="492970AB" w:rsidR="0001366F" w:rsidRPr="00853444" w:rsidRDefault="0001366F" w:rsidP="0001366F">
      <w:pPr>
        <w:spacing w:after="120"/>
        <w:jc w:val="both"/>
        <w:rPr>
          <w:lang w:val="en-GB"/>
        </w:rPr>
      </w:pPr>
    </w:p>
    <w:p w14:paraId="55D7FA02" w14:textId="0EAEE9FF" w:rsidR="0001366F" w:rsidRPr="0001366F" w:rsidRDefault="00EA5295" w:rsidP="0001366F">
      <w:pPr>
        <w:pStyle w:val="Heading1"/>
        <w:keepLines/>
        <w:numPr>
          <w:ilvl w:val="0"/>
          <w:numId w:val="10"/>
        </w:numPr>
        <w:pBdr>
          <w:top w:val="single" w:sz="12" w:space="3" w:color="auto"/>
        </w:pBdr>
        <w:tabs>
          <w:tab w:val="num" w:pos="432"/>
        </w:tabs>
        <w:overflowPunct w:val="0"/>
        <w:autoSpaceDE w:val="0"/>
        <w:autoSpaceDN w:val="0"/>
        <w:adjustRightInd w:val="0"/>
        <w:spacing w:after="120"/>
        <w:jc w:val="both"/>
        <w:textAlignment w:val="baseline"/>
        <w:rPr>
          <w:b/>
          <w:bCs/>
        </w:rPr>
      </w:pPr>
      <w:r>
        <w:rPr>
          <w:b/>
          <w:bCs/>
        </w:rPr>
        <w:lastRenderedPageBreak/>
        <w:t>Appendix</w:t>
      </w:r>
    </w:p>
    <w:p w14:paraId="4C0B14F5" w14:textId="77777777" w:rsidR="0001366F" w:rsidRDefault="0001366F" w:rsidP="00B85930"/>
    <w:p w14:paraId="12B4E57D" w14:textId="2F3DF4A3" w:rsidR="0001366F" w:rsidRDefault="0001366F" w:rsidP="0001366F">
      <w:pPr>
        <w:pStyle w:val="Caption"/>
        <w:keepNext/>
      </w:pPr>
      <w:r>
        <w:t xml:space="preserve">Table </w:t>
      </w:r>
      <w:r w:rsidR="006E210F">
        <w:fldChar w:fldCharType="begin"/>
      </w:r>
      <w:r w:rsidR="006E210F">
        <w:instrText xml:space="preserve"> SEQ Table \* ARABIC </w:instrText>
      </w:r>
      <w:r w:rsidR="006E210F">
        <w:fldChar w:fldCharType="separate"/>
      </w:r>
      <w:r>
        <w:rPr>
          <w:noProof/>
        </w:rPr>
        <w:t>1</w:t>
      </w:r>
      <w:r w:rsidR="006E210F">
        <w:rPr>
          <w:noProof/>
        </w:rPr>
        <w:fldChar w:fldCharType="end"/>
      </w:r>
      <w:r>
        <w:t xml:space="preserve">: Resulting code rate for starting point </w:t>
      </w:r>
      <w:r w:rsidR="002753E6">
        <w:t xml:space="preserve">at symbol 4 </w:t>
      </w:r>
      <w:r>
        <w:t>using MCS selection based on full or partial subframe</w:t>
      </w:r>
    </w:p>
    <w:p w14:paraId="04F8513B" w14:textId="600E6435" w:rsidR="00065219" w:rsidRPr="0090017A" w:rsidRDefault="007F2757" w:rsidP="00B85930">
      <w:r w:rsidRPr="007F2757">
        <w:rPr>
          <w:noProof/>
          <w:lang w:val="sv-SE" w:eastAsia="zh-CN"/>
        </w:rPr>
        <w:drawing>
          <wp:inline distT="0" distB="0" distL="0" distR="0" wp14:anchorId="103167F2" wp14:editId="3608750B">
            <wp:extent cx="5943600" cy="525552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255524"/>
                    </a:xfrm>
                    <a:prstGeom prst="rect">
                      <a:avLst/>
                    </a:prstGeom>
                    <a:noFill/>
                    <a:ln>
                      <a:noFill/>
                    </a:ln>
                  </pic:spPr>
                </pic:pic>
              </a:graphicData>
            </a:graphic>
          </wp:inline>
        </w:drawing>
      </w:r>
    </w:p>
    <w:p w14:paraId="64356E14" w14:textId="69692F25" w:rsidR="00C37F7D" w:rsidRDefault="00C37F7D" w:rsidP="00CC6EEF">
      <w:pPr>
        <w:rPr>
          <w:b/>
          <w:bCs/>
          <w:sz w:val="20"/>
          <w:szCs w:val="22"/>
        </w:rPr>
      </w:pPr>
    </w:p>
    <w:p w14:paraId="03428A31" w14:textId="6C08CC78" w:rsidR="0001366F" w:rsidRDefault="0001366F" w:rsidP="00CC6EEF">
      <w:pPr>
        <w:rPr>
          <w:b/>
          <w:bCs/>
          <w:sz w:val="20"/>
          <w:szCs w:val="22"/>
        </w:rPr>
      </w:pPr>
    </w:p>
    <w:p w14:paraId="289902F8" w14:textId="2E063FDE" w:rsidR="0001366F" w:rsidRDefault="0001366F" w:rsidP="00CC6EEF">
      <w:pPr>
        <w:rPr>
          <w:b/>
          <w:bCs/>
          <w:sz w:val="20"/>
          <w:szCs w:val="22"/>
        </w:rPr>
      </w:pPr>
    </w:p>
    <w:p w14:paraId="40CCFC3E" w14:textId="5C439617" w:rsidR="0001366F" w:rsidRDefault="0001366F" w:rsidP="00CC6EEF">
      <w:pPr>
        <w:rPr>
          <w:b/>
          <w:bCs/>
          <w:sz w:val="20"/>
          <w:szCs w:val="22"/>
        </w:rPr>
      </w:pPr>
    </w:p>
    <w:p w14:paraId="27E1E64B" w14:textId="47A8DF35" w:rsidR="0001366F" w:rsidRDefault="0001366F" w:rsidP="00CC6EEF">
      <w:pPr>
        <w:rPr>
          <w:b/>
          <w:bCs/>
          <w:sz w:val="20"/>
          <w:szCs w:val="22"/>
        </w:rPr>
      </w:pPr>
    </w:p>
    <w:p w14:paraId="3487E10D" w14:textId="73CF808D" w:rsidR="0001366F" w:rsidRDefault="0001366F" w:rsidP="00CC6EEF">
      <w:pPr>
        <w:rPr>
          <w:b/>
          <w:bCs/>
          <w:sz w:val="20"/>
          <w:szCs w:val="22"/>
        </w:rPr>
      </w:pPr>
    </w:p>
    <w:p w14:paraId="7A838FAA" w14:textId="62BC8107" w:rsidR="0001366F" w:rsidRDefault="0001366F" w:rsidP="00CC6EEF">
      <w:pPr>
        <w:rPr>
          <w:b/>
          <w:bCs/>
          <w:sz w:val="20"/>
          <w:szCs w:val="22"/>
        </w:rPr>
      </w:pPr>
    </w:p>
    <w:p w14:paraId="49F01D44" w14:textId="7E2DBCEF" w:rsidR="0001366F" w:rsidRDefault="0001366F" w:rsidP="0001366F">
      <w:pPr>
        <w:pStyle w:val="Caption"/>
        <w:keepNext/>
      </w:pPr>
      <w:r>
        <w:lastRenderedPageBreak/>
        <w:t xml:space="preserve">Table 2: </w:t>
      </w:r>
      <w:r w:rsidR="00070675">
        <w:t xml:space="preserve">Resulting code rate for starting point at symbol 8 and 9 using MCS selection based </w:t>
      </w:r>
      <w:r w:rsidR="00491ABA">
        <w:t>on</w:t>
      </w:r>
      <w:r w:rsidR="00070675">
        <w:t xml:space="preserve"> partial subframe</w:t>
      </w:r>
    </w:p>
    <w:p w14:paraId="5896DEF9" w14:textId="002093F8" w:rsidR="0001366F" w:rsidRPr="00853444" w:rsidRDefault="00070675" w:rsidP="00CC6EEF">
      <w:pPr>
        <w:rPr>
          <w:b/>
          <w:bCs/>
          <w:sz w:val="20"/>
          <w:szCs w:val="22"/>
        </w:rPr>
      </w:pPr>
      <w:r w:rsidRPr="00070675">
        <w:rPr>
          <w:noProof/>
          <w:lang w:val="sv-SE" w:eastAsia="zh-CN"/>
        </w:rPr>
        <w:drawing>
          <wp:inline distT="0" distB="0" distL="0" distR="0" wp14:anchorId="14569E2F" wp14:editId="628AC125">
            <wp:extent cx="5097780" cy="6105525"/>
            <wp:effectExtent l="0" t="0" r="762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7780" cy="6105525"/>
                    </a:xfrm>
                    <a:prstGeom prst="rect">
                      <a:avLst/>
                    </a:prstGeom>
                    <a:noFill/>
                    <a:ln>
                      <a:noFill/>
                    </a:ln>
                  </pic:spPr>
                </pic:pic>
              </a:graphicData>
            </a:graphic>
          </wp:inline>
        </w:drawing>
      </w:r>
      <w:bookmarkStart w:id="12" w:name="_GoBack"/>
      <w:bookmarkEnd w:id="12"/>
    </w:p>
    <w:sectPr w:rsidR="0001366F" w:rsidRPr="008534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BD5"/>
    <w:multiLevelType w:val="hybridMultilevel"/>
    <w:tmpl w:val="8D742334"/>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1" w15:restartNumberingAfterBreak="0">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4D15914"/>
    <w:multiLevelType w:val="hybridMultilevel"/>
    <w:tmpl w:val="45F0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2845FD"/>
    <w:multiLevelType w:val="hybridMultilevel"/>
    <w:tmpl w:val="85E2C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3BF7CF5"/>
    <w:multiLevelType w:val="hybridMultilevel"/>
    <w:tmpl w:val="1EE2202E"/>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D709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E06293E"/>
    <w:multiLevelType w:val="hybridMultilevel"/>
    <w:tmpl w:val="BCD822E8"/>
    <w:lvl w:ilvl="0" w:tplc="151292E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E3E38A8"/>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567"/>
        </w:tabs>
        <w:ind w:left="567" w:hanging="567"/>
      </w:pPr>
      <w:rPr>
        <w:strike w:val="0"/>
        <w:dstrike w:val="0"/>
        <w:u w:val="none"/>
        <w:effect w:val="none"/>
      </w:rPr>
    </w:lvl>
    <w:lvl w:ilvl="2">
      <w:start w:val="1"/>
      <w:numFmt w:val="decimal"/>
      <w:pStyle w:val="Heading3"/>
      <w:lvlText w:val="%1.%2.%3"/>
      <w:lvlJc w:val="left"/>
      <w:pPr>
        <w:tabs>
          <w:tab w:val="num" w:pos="-1247"/>
        </w:tabs>
        <w:ind w:left="1304" w:hanging="1304"/>
      </w:pPr>
      <w:rPr>
        <w:strike w:val="0"/>
        <w:dstrike w:val="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pStyle w:val="H6"/>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abstractNum w:abstractNumId="10" w15:restartNumberingAfterBreak="0">
    <w:nsid w:val="7C4251A3"/>
    <w:multiLevelType w:val="hybridMultilevel"/>
    <w:tmpl w:val="74541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
  </w:num>
  <w:num w:numId="8">
    <w:abstractNumId w:val="10"/>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4"/>
  </w:num>
  <w:num w:numId="16">
    <w:abstractNumId w:val="6"/>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A2"/>
    <w:rsid w:val="0001366F"/>
    <w:rsid w:val="00016135"/>
    <w:rsid w:val="00065219"/>
    <w:rsid w:val="00070675"/>
    <w:rsid w:val="000A4861"/>
    <w:rsid w:val="000D4BFE"/>
    <w:rsid w:val="000D5E9F"/>
    <w:rsid w:val="00107C20"/>
    <w:rsid w:val="00133F57"/>
    <w:rsid w:val="00194F64"/>
    <w:rsid w:val="001B498C"/>
    <w:rsid w:val="001D1E39"/>
    <w:rsid w:val="001E3B32"/>
    <w:rsid w:val="001E541F"/>
    <w:rsid w:val="001F1E0D"/>
    <w:rsid w:val="00245752"/>
    <w:rsid w:val="00267891"/>
    <w:rsid w:val="002753E6"/>
    <w:rsid w:val="00326CE6"/>
    <w:rsid w:val="00336E7F"/>
    <w:rsid w:val="00347C8C"/>
    <w:rsid w:val="0039424D"/>
    <w:rsid w:val="003C33E9"/>
    <w:rsid w:val="003C72C8"/>
    <w:rsid w:val="003E2F60"/>
    <w:rsid w:val="003F200D"/>
    <w:rsid w:val="003F76DA"/>
    <w:rsid w:val="00406031"/>
    <w:rsid w:val="004148ED"/>
    <w:rsid w:val="0049138B"/>
    <w:rsid w:val="00491ABA"/>
    <w:rsid w:val="004D0247"/>
    <w:rsid w:val="005062D9"/>
    <w:rsid w:val="005261D2"/>
    <w:rsid w:val="005B04F1"/>
    <w:rsid w:val="005D1D67"/>
    <w:rsid w:val="005E4BFB"/>
    <w:rsid w:val="005F5AAB"/>
    <w:rsid w:val="00630000"/>
    <w:rsid w:val="0068783D"/>
    <w:rsid w:val="006A4757"/>
    <w:rsid w:val="006B501B"/>
    <w:rsid w:val="006D0A41"/>
    <w:rsid w:val="006E210F"/>
    <w:rsid w:val="00737D59"/>
    <w:rsid w:val="00792F4B"/>
    <w:rsid w:val="007A1935"/>
    <w:rsid w:val="007A734D"/>
    <w:rsid w:val="007C214B"/>
    <w:rsid w:val="007C70D1"/>
    <w:rsid w:val="007D5828"/>
    <w:rsid w:val="007F2757"/>
    <w:rsid w:val="00853444"/>
    <w:rsid w:val="00861ECD"/>
    <w:rsid w:val="00876DC1"/>
    <w:rsid w:val="008A0384"/>
    <w:rsid w:val="008F0A70"/>
    <w:rsid w:val="0090017A"/>
    <w:rsid w:val="009051B0"/>
    <w:rsid w:val="009B2DE7"/>
    <w:rsid w:val="009D06F0"/>
    <w:rsid w:val="009F31C3"/>
    <w:rsid w:val="00A878EF"/>
    <w:rsid w:val="00AC6BB2"/>
    <w:rsid w:val="00AD06C9"/>
    <w:rsid w:val="00AF0281"/>
    <w:rsid w:val="00B00645"/>
    <w:rsid w:val="00B36ECF"/>
    <w:rsid w:val="00B50F3A"/>
    <w:rsid w:val="00B80A5B"/>
    <w:rsid w:val="00B85930"/>
    <w:rsid w:val="00B91B06"/>
    <w:rsid w:val="00BA32FA"/>
    <w:rsid w:val="00BB2F17"/>
    <w:rsid w:val="00BB608D"/>
    <w:rsid w:val="00BF0B1F"/>
    <w:rsid w:val="00C209C1"/>
    <w:rsid w:val="00C37F7D"/>
    <w:rsid w:val="00CC6EEF"/>
    <w:rsid w:val="00CD529B"/>
    <w:rsid w:val="00D054A2"/>
    <w:rsid w:val="00D219D2"/>
    <w:rsid w:val="00D24D59"/>
    <w:rsid w:val="00D26860"/>
    <w:rsid w:val="00D86D19"/>
    <w:rsid w:val="00DA24AF"/>
    <w:rsid w:val="00DF2C1E"/>
    <w:rsid w:val="00E07B33"/>
    <w:rsid w:val="00EA0D01"/>
    <w:rsid w:val="00EA43E2"/>
    <w:rsid w:val="00EA5295"/>
    <w:rsid w:val="00EA5E3B"/>
    <w:rsid w:val="00EE62C4"/>
    <w:rsid w:val="00EF1F23"/>
    <w:rsid w:val="00F207D8"/>
    <w:rsid w:val="00FD00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2E6C0"/>
  <w15:chartTrackingRefBased/>
  <w15:docId w15:val="{1C8A74B4-3F5F-4E6B-A01D-2C2BCB50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054A2"/>
    <w:pPr>
      <w:spacing w:after="0" w:line="240" w:lineRule="auto"/>
    </w:pPr>
    <w:rPr>
      <w:rFonts w:ascii="Times New Roman" w:eastAsia="Times New Roman" w:hAnsi="Times New Roman" w:cs="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D054A2"/>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2,h2,DO NOT USE_h2,h21,Head2A,2,UNDERRUBRIK 1-2,H2 Char,h2 Char"/>
    <w:basedOn w:val="Normal"/>
    <w:next w:val="BodyText"/>
    <w:link w:val="Heading2Char"/>
    <w:unhideWhenUsed/>
    <w:qFormat/>
    <w:rsid w:val="00D054A2"/>
    <w:pPr>
      <w:keepNext/>
      <w:numPr>
        <w:ilvl w:val="1"/>
        <w:numId w:val="1"/>
      </w:numPr>
      <w:spacing w:before="240" w:after="60"/>
      <w:outlineLvl w:val="1"/>
    </w:pPr>
    <w:rPr>
      <w:rFonts w:ascii="Helvetica" w:eastAsia="MS Mincho" w:hAnsi="Helvetica" w:cs="Arial"/>
      <w:i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0H"/>
    <w:basedOn w:val="Normal"/>
    <w:next w:val="Normal"/>
    <w:link w:val="Heading3Char"/>
    <w:unhideWhenUsed/>
    <w:qFormat/>
    <w:rsid w:val="00D054A2"/>
    <w:pPr>
      <w:keepNext/>
      <w:numPr>
        <w:ilvl w:val="2"/>
        <w:numId w:val="1"/>
      </w:numPr>
      <w:spacing w:before="240" w:after="60"/>
      <w:ind w:left="720" w:hanging="720"/>
      <w:outlineLvl w:val="2"/>
    </w:pPr>
    <w:rPr>
      <w:rFonts w:ascii="Helvetica" w:eastAsia="MS Mincho" w:hAnsi="Helvetica" w:cs="Helvetica"/>
      <w:szCs w:val="20"/>
    </w:rPr>
  </w:style>
  <w:style w:type="paragraph" w:styleId="Heading4">
    <w:name w:val="heading 4"/>
    <w:aliases w:val="h4,H4,H41,h41,H42,h42,H43,h43,H411,h411,H421,h421,H44,h44,H412,h412,H422,h422,H431,h431,H45,h45,H413,h413,H423,h423,H432,h432,H46,h46,H47,h47,Memo Heading 4,heading 4,Memo Heading 5,4H,4,Memo,5"/>
    <w:basedOn w:val="Normal"/>
    <w:next w:val="Normal"/>
    <w:link w:val="Heading4Char"/>
    <w:semiHidden/>
    <w:unhideWhenUsed/>
    <w:qFormat/>
    <w:rsid w:val="00D054A2"/>
    <w:pPr>
      <w:keepNext/>
      <w:numPr>
        <w:ilvl w:val="3"/>
        <w:numId w:val="1"/>
      </w:numPr>
      <w:spacing w:before="240" w:after="60"/>
      <w:outlineLvl w:val="3"/>
    </w:pPr>
    <w:rPr>
      <w:rFonts w:eastAsia="MS Mincho"/>
      <w:sz w:val="28"/>
      <w:szCs w:val="28"/>
    </w:rPr>
  </w:style>
  <w:style w:type="paragraph" w:styleId="Heading5">
    <w:name w:val="heading 5"/>
    <w:aliases w:val="h5,Heading5"/>
    <w:basedOn w:val="Normal"/>
    <w:next w:val="Normal"/>
    <w:link w:val="Heading5Char"/>
    <w:semiHidden/>
    <w:unhideWhenUsed/>
    <w:qFormat/>
    <w:rsid w:val="00D054A2"/>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406031"/>
    <w:pPr>
      <w:spacing w:before="240" w:after="60"/>
      <w:ind w:left="1152" w:hanging="1152"/>
      <w:outlineLvl w:val="5"/>
    </w:pPr>
    <w:rPr>
      <w:b/>
      <w:bCs/>
      <w:szCs w:val="22"/>
      <w:lang w:val="en-GB"/>
    </w:rPr>
  </w:style>
  <w:style w:type="paragraph" w:styleId="Heading7">
    <w:name w:val="heading 7"/>
    <w:basedOn w:val="Normal"/>
    <w:next w:val="Normal"/>
    <w:link w:val="Heading7Char"/>
    <w:semiHidden/>
    <w:unhideWhenUsed/>
    <w:qFormat/>
    <w:rsid w:val="00406031"/>
    <w:pPr>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406031"/>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406031"/>
    <w:pPr>
      <w:spacing w:before="240" w:after="60"/>
      <w:ind w:left="1584" w:hanging="1584"/>
      <w:outlineLvl w:val="8"/>
    </w:pPr>
    <w:rPr>
      <w:rFonts w:ascii="Arial" w:eastAsia="Batang" w:hAnsi="Arial"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054A2"/>
    <w:rPr>
      <w:rFonts w:ascii="Helvetica" w:eastAsia="MS Mincho" w:hAnsi="Helvetica" w:cs="Arial"/>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D054A2"/>
    <w:rPr>
      <w:rFonts w:ascii="Helvetica" w:eastAsia="MS Mincho" w:hAnsi="Helvetica" w:cs="Arial"/>
      <w:iCs/>
      <w:sz w:val="24"/>
      <w:szCs w:val="24"/>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0H Char"/>
    <w:basedOn w:val="DefaultParagraphFont"/>
    <w:link w:val="Heading3"/>
    <w:rsid w:val="00D054A2"/>
    <w:rPr>
      <w:rFonts w:ascii="Helvetica" w:eastAsia="MS Mincho" w:hAnsi="Helvetica" w:cs="Helvetica"/>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054A2"/>
    <w:rPr>
      <w:rFonts w:ascii="Times New Roman" w:eastAsia="MS Mincho" w:hAnsi="Times New Roman" w:cs="Times New Roman"/>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054A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54A2"/>
    <w:rPr>
      <w:rFonts w:ascii="Times New Roman" w:eastAsia="Times New Roman" w:hAnsi="Times New Roman" w:cs="Times New Roman"/>
      <w:szCs w:val="24"/>
    </w:rPr>
  </w:style>
  <w:style w:type="paragraph" w:customStyle="1" w:styleId="H6">
    <w:name w:val="H6"/>
    <w:basedOn w:val="Heading5"/>
    <w:next w:val="Normal"/>
    <w:rsid w:val="00D054A2"/>
    <w:pPr>
      <w:numPr>
        <w:ilvl w:val="4"/>
        <w:numId w:val="1"/>
      </w:numPr>
      <w:tabs>
        <w:tab w:val="clear" w:pos="-1247"/>
        <w:tab w:val="num" w:pos="360"/>
        <w:tab w:val="num" w:pos="1008"/>
      </w:tabs>
      <w:spacing w:before="120" w:after="180"/>
      <w:ind w:left="1985" w:hanging="1985"/>
      <w:outlineLvl w:val="9"/>
    </w:pPr>
    <w:rPr>
      <w:rFonts w:ascii="Arial" w:eastAsia="MS Mincho" w:hAnsi="Arial" w:cs="Times New Roman"/>
      <w:color w:val="auto"/>
      <w:sz w:val="20"/>
      <w:szCs w:val="20"/>
      <w:lang w:val="en-GB"/>
    </w:rPr>
  </w:style>
  <w:style w:type="character" w:customStyle="1" w:styleId="Heading5Char">
    <w:name w:val="Heading 5 Char"/>
    <w:aliases w:val="h5 Char,Heading5 Char"/>
    <w:basedOn w:val="DefaultParagraphFont"/>
    <w:link w:val="Heading5"/>
    <w:semiHidden/>
    <w:rsid w:val="00D054A2"/>
    <w:rPr>
      <w:rFonts w:asciiTheme="majorHAnsi" w:eastAsiaTheme="majorEastAsia" w:hAnsiTheme="majorHAnsi" w:cstheme="majorBidi"/>
      <w:color w:val="2E74B5" w:themeColor="accent1" w:themeShade="BF"/>
      <w:szCs w:val="24"/>
    </w:rPr>
  </w:style>
  <w:style w:type="character" w:styleId="CommentReference">
    <w:name w:val="annotation reference"/>
    <w:basedOn w:val="DefaultParagraphFont"/>
    <w:uiPriority w:val="99"/>
    <w:unhideWhenUsed/>
    <w:rsid w:val="00D054A2"/>
    <w:rPr>
      <w:sz w:val="16"/>
      <w:szCs w:val="16"/>
    </w:rPr>
  </w:style>
  <w:style w:type="paragraph" w:styleId="CommentText">
    <w:name w:val="annotation text"/>
    <w:basedOn w:val="Normal"/>
    <w:link w:val="CommentTextChar"/>
    <w:uiPriority w:val="99"/>
    <w:unhideWhenUsed/>
    <w:rsid w:val="00D054A2"/>
    <w:rPr>
      <w:sz w:val="20"/>
      <w:szCs w:val="20"/>
    </w:rPr>
  </w:style>
  <w:style w:type="character" w:customStyle="1" w:styleId="CommentTextChar">
    <w:name w:val="Comment Text Char"/>
    <w:basedOn w:val="DefaultParagraphFont"/>
    <w:link w:val="CommentText"/>
    <w:uiPriority w:val="99"/>
    <w:rsid w:val="00D05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54A2"/>
    <w:rPr>
      <w:b/>
      <w:bCs/>
    </w:rPr>
  </w:style>
  <w:style w:type="character" w:customStyle="1" w:styleId="CommentSubjectChar">
    <w:name w:val="Comment Subject Char"/>
    <w:basedOn w:val="CommentTextChar"/>
    <w:link w:val="CommentSubject"/>
    <w:uiPriority w:val="99"/>
    <w:semiHidden/>
    <w:rsid w:val="00D05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54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4A2"/>
    <w:rPr>
      <w:rFonts w:ascii="Segoe UI" w:eastAsia="Times New Roman" w:hAnsi="Segoe UI" w:cs="Segoe UI"/>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C72C8"/>
    <w:rPr>
      <w:rFonts w:ascii="Times New Roman" w:eastAsia="Times New Roman" w:hAnsi="Times New Roman" w:cs="Times New Roman"/>
      <w:b/>
      <w:bCs/>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3C72C8"/>
    <w:rPr>
      <w:b/>
      <w:bCs/>
      <w:szCs w:val="20"/>
    </w:rPr>
  </w:style>
  <w:style w:type="table" w:styleId="TableGrid">
    <w:name w:val="Table Grid"/>
    <w:basedOn w:val="TableNormal"/>
    <w:rsid w:val="003C72C8"/>
    <w:pPr>
      <w:spacing w:after="0" w:line="240" w:lineRule="auto"/>
    </w:pPr>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EEF"/>
    <w:pPr>
      <w:ind w:left="720"/>
    </w:pPr>
    <w:rPr>
      <w:rFonts w:ascii="Calibri" w:eastAsiaTheme="minorHAnsi" w:hAnsi="Calibri"/>
      <w:szCs w:val="22"/>
    </w:rPr>
  </w:style>
  <w:style w:type="character" w:customStyle="1" w:styleId="Heading6Char">
    <w:name w:val="Heading 6 Char"/>
    <w:basedOn w:val="DefaultParagraphFont"/>
    <w:link w:val="Heading6"/>
    <w:semiHidden/>
    <w:rsid w:val="00406031"/>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406031"/>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semiHidden/>
    <w:rsid w:val="00406031"/>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semiHidden/>
    <w:rsid w:val="00406031"/>
    <w:rPr>
      <w:rFonts w:ascii="Arial" w:eastAsia="Batang" w:hAnsi="Arial" w:cs="Arial"/>
      <w:lang w:val="en-GB"/>
    </w:rPr>
  </w:style>
  <w:style w:type="paragraph" w:customStyle="1" w:styleId="TdocHeader2">
    <w:name w:val="Tdoc_Header_2"/>
    <w:basedOn w:val="Normal"/>
    <w:rsid w:val="0040603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RCoverPage">
    <w:name w:val="CR Cover Page"/>
    <w:rsid w:val="00406031"/>
    <w:pPr>
      <w:spacing w:after="120" w:line="240" w:lineRule="auto"/>
    </w:pPr>
    <w:rPr>
      <w:rFonts w:ascii="Arial" w:eastAsia="Times New Roman" w:hAnsi="Arial" w:cs="Times New Roman"/>
      <w:sz w:val="20"/>
      <w:szCs w:val="20"/>
      <w:lang w:val="en-GB"/>
    </w:rPr>
  </w:style>
  <w:style w:type="paragraph" w:customStyle="1" w:styleId="3GPPHeader">
    <w:name w:val="3GPP_Header"/>
    <w:basedOn w:val="Normal"/>
    <w:rsid w:val="0040603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references">
    <w:name w:val="references"/>
    <w:rsid w:val="00792F4B"/>
    <w:pPr>
      <w:numPr>
        <w:numId w:val="15"/>
      </w:numPr>
      <w:spacing w:after="50" w:line="180" w:lineRule="exact"/>
      <w:jc w:val="both"/>
    </w:pPr>
    <w:rPr>
      <w:rFonts w:ascii="Times New Roman" w:eastAsia="MS Mincho" w:hAnsi="Times New Roman" w:cs="Times New Roman"/>
      <w:noProof/>
      <w:sz w:val="16"/>
      <w:szCs w:val="16"/>
    </w:rPr>
  </w:style>
  <w:style w:type="paragraph" w:customStyle="1" w:styleId="TdocHeader1">
    <w:name w:val="Tdoc_Header_1"/>
    <w:basedOn w:val="Header"/>
    <w:rsid w:val="00792F4B"/>
    <w:pPr>
      <w:widowControl w:val="0"/>
      <w:tabs>
        <w:tab w:val="clear" w:pos="4680"/>
        <w:tab w:val="clear" w:pos="9360"/>
        <w:tab w:val="right" w:pos="9072"/>
        <w:tab w:val="right" w:pos="10206"/>
      </w:tabs>
      <w:ind w:left="1440" w:hanging="1440"/>
      <w:jc w:val="both"/>
    </w:pPr>
    <w:rPr>
      <w:rFonts w:ascii="Arial" w:eastAsia="Batang" w:hAnsi="Arial"/>
      <w:b/>
      <w:sz w:val="20"/>
      <w:szCs w:val="20"/>
      <w:lang w:val="en-GB"/>
    </w:rPr>
  </w:style>
  <w:style w:type="paragraph" w:styleId="Header">
    <w:name w:val="header"/>
    <w:basedOn w:val="Normal"/>
    <w:link w:val="HeaderChar"/>
    <w:uiPriority w:val="99"/>
    <w:semiHidden/>
    <w:unhideWhenUsed/>
    <w:rsid w:val="00792F4B"/>
    <w:pPr>
      <w:tabs>
        <w:tab w:val="center" w:pos="4680"/>
        <w:tab w:val="right" w:pos="9360"/>
      </w:tabs>
    </w:pPr>
  </w:style>
  <w:style w:type="character" w:customStyle="1" w:styleId="HeaderChar">
    <w:name w:val="Header Char"/>
    <w:basedOn w:val="DefaultParagraphFont"/>
    <w:link w:val="Header"/>
    <w:uiPriority w:val="99"/>
    <w:semiHidden/>
    <w:rsid w:val="00792F4B"/>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0532">
      <w:bodyDiv w:val="1"/>
      <w:marLeft w:val="0"/>
      <w:marRight w:val="0"/>
      <w:marTop w:val="0"/>
      <w:marBottom w:val="0"/>
      <w:divBdr>
        <w:top w:val="none" w:sz="0" w:space="0" w:color="auto"/>
        <w:left w:val="none" w:sz="0" w:space="0" w:color="auto"/>
        <w:bottom w:val="none" w:sz="0" w:space="0" w:color="auto"/>
        <w:right w:val="none" w:sz="0" w:space="0" w:color="auto"/>
      </w:divBdr>
    </w:div>
    <w:div w:id="214051456">
      <w:bodyDiv w:val="1"/>
      <w:marLeft w:val="0"/>
      <w:marRight w:val="0"/>
      <w:marTop w:val="0"/>
      <w:marBottom w:val="0"/>
      <w:divBdr>
        <w:top w:val="none" w:sz="0" w:space="0" w:color="auto"/>
        <w:left w:val="none" w:sz="0" w:space="0" w:color="auto"/>
        <w:bottom w:val="none" w:sz="0" w:space="0" w:color="auto"/>
        <w:right w:val="none" w:sz="0" w:space="0" w:color="auto"/>
      </w:divBdr>
    </w:div>
    <w:div w:id="377706337">
      <w:bodyDiv w:val="1"/>
      <w:marLeft w:val="0"/>
      <w:marRight w:val="0"/>
      <w:marTop w:val="0"/>
      <w:marBottom w:val="0"/>
      <w:divBdr>
        <w:top w:val="none" w:sz="0" w:space="0" w:color="auto"/>
        <w:left w:val="none" w:sz="0" w:space="0" w:color="auto"/>
        <w:bottom w:val="none" w:sz="0" w:space="0" w:color="auto"/>
        <w:right w:val="none" w:sz="0" w:space="0" w:color="auto"/>
      </w:divBdr>
    </w:div>
    <w:div w:id="406733701">
      <w:bodyDiv w:val="1"/>
      <w:marLeft w:val="0"/>
      <w:marRight w:val="0"/>
      <w:marTop w:val="0"/>
      <w:marBottom w:val="0"/>
      <w:divBdr>
        <w:top w:val="none" w:sz="0" w:space="0" w:color="auto"/>
        <w:left w:val="none" w:sz="0" w:space="0" w:color="auto"/>
        <w:bottom w:val="none" w:sz="0" w:space="0" w:color="auto"/>
        <w:right w:val="none" w:sz="0" w:space="0" w:color="auto"/>
      </w:divBdr>
    </w:div>
    <w:div w:id="441147486">
      <w:bodyDiv w:val="1"/>
      <w:marLeft w:val="0"/>
      <w:marRight w:val="0"/>
      <w:marTop w:val="0"/>
      <w:marBottom w:val="0"/>
      <w:divBdr>
        <w:top w:val="none" w:sz="0" w:space="0" w:color="auto"/>
        <w:left w:val="none" w:sz="0" w:space="0" w:color="auto"/>
        <w:bottom w:val="none" w:sz="0" w:space="0" w:color="auto"/>
        <w:right w:val="none" w:sz="0" w:space="0" w:color="auto"/>
      </w:divBdr>
    </w:div>
    <w:div w:id="552539645">
      <w:bodyDiv w:val="1"/>
      <w:marLeft w:val="0"/>
      <w:marRight w:val="0"/>
      <w:marTop w:val="0"/>
      <w:marBottom w:val="0"/>
      <w:divBdr>
        <w:top w:val="none" w:sz="0" w:space="0" w:color="auto"/>
        <w:left w:val="none" w:sz="0" w:space="0" w:color="auto"/>
        <w:bottom w:val="none" w:sz="0" w:space="0" w:color="auto"/>
        <w:right w:val="none" w:sz="0" w:space="0" w:color="auto"/>
      </w:divBdr>
    </w:div>
    <w:div w:id="696925286">
      <w:bodyDiv w:val="1"/>
      <w:marLeft w:val="0"/>
      <w:marRight w:val="0"/>
      <w:marTop w:val="0"/>
      <w:marBottom w:val="0"/>
      <w:divBdr>
        <w:top w:val="none" w:sz="0" w:space="0" w:color="auto"/>
        <w:left w:val="none" w:sz="0" w:space="0" w:color="auto"/>
        <w:bottom w:val="none" w:sz="0" w:space="0" w:color="auto"/>
        <w:right w:val="none" w:sz="0" w:space="0" w:color="auto"/>
      </w:divBdr>
    </w:div>
    <w:div w:id="1025254693">
      <w:bodyDiv w:val="1"/>
      <w:marLeft w:val="0"/>
      <w:marRight w:val="0"/>
      <w:marTop w:val="0"/>
      <w:marBottom w:val="0"/>
      <w:divBdr>
        <w:top w:val="none" w:sz="0" w:space="0" w:color="auto"/>
        <w:left w:val="none" w:sz="0" w:space="0" w:color="auto"/>
        <w:bottom w:val="none" w:sz="0" w:space="0" w:color="auto"/>
        <w:right w:val="none" w:sz="0" w:space="0" w:color="auto"/>
      </w:divBdr>
    </w:div>
    <w:div w:id="1217856884">
      <w:bodyDiv w:val="1"/>
      <w:marLeft w:val="0"/>
      <w:marRight w:val="0"/>
      <w:marTop w:val="0"/>
      <w:marBottom w:val="0"/>
      <w:divBdr>
        <w:top w:val="none" w:sz="0" w:space="0" w:color="auto"/>
        <w:left w:val="none" w:sz="0" w:space="0" w:color="auto"/>
        <w:bottom w:val="none" w:sz="0" w:space="0" w:color="auto"/>
        <w:right w:val="none" w:sz="0" w:space="0" w:color="auto"/>
      </w:divBdr>
    </w:div>
    <w:div w:id="1406756515">
      <w:bodyDiv w:val="1"/>
      <w:marLeft w:val="0"/>
      <w:marRight w:val="0"/>
      <w:marTop w:val="0"/>
      <w:marBottom w:val="0"/>
      <w:divBdr>
        <w:top w:val="none" w:sz="0" w:space="0" w:color="auto"/>
        <w:left w:val="none" w:sz="0" w:space="0" w:color="auto"/>
        <w:bottom w:val="none" w:sz="0" w:space="0" w:color="auto"/>
        <w:right w:val="none" w:sz="0" w:space="0" w:color="auto"/>
      </w:divBdr>
    </w:div>
    <w:div w:id="1638295410">
      <w:bodyDiv w:val="1"/>
      <w:marLeft w:val="0"/>
      <w:marRight w:val="0"/>
      <w:marTop w:val="0"/>
      <w:marBottom w:val="0"/>
      <w:divBdr>
        <w:top w:val="none" w:sz="0" w:space="0" w:color="auto"/>
        <w:left w:val="none" w:sz="0" w:space="0" w:color="auto"/>
        <w:bottom w:val="none" w:sz="0" w:space="0" w:color="auto"/>
        <w:right w:val="none" w:sz="0" w:space="0" w:color="auto"/>
      </w:divBdr>
    </w:div>
    <w:div w:id="1686131584">
      <w:bodyDiv w:val="1"/>
      <w:marLeft w:val="0"/>
      <w:marRight w:val="0"/>
      <w:marTop w:val="0"/>
      <w:marBottom w:val="0"/>
      <w:divBdr>
        <w:top w:val="none" w:sz="0" w:space="0" w:color="auto"/>
        <w:left w:val="none" w:sz="0" w:space="0" w:color="auto"/>
        <w:bottom w:val="none" w:sz="0" w:space="0" w:color="auto"/>
        <w:right w:val="none" w:sz="0" w:space="0" w:color="auto"/>
      </w:divBdr>
    </w:div>
    <w:div w:id="1742211237">
      <w:bodyDiv w:val="1"/>
      <w:marLeft w:val="0"/>
      <w:marRight w:val="0"/>
      <w:marTop w:val="0"/>
      <w:marBottom w:val="0"/>
      <w:divBdr>
        <w:top w:val="none" w:sz="0" w:space="0" w:color="auto"/>
        <w:left w:val="none" w:sz="0" w:space="0" w:color="auto"/>
        <w:bottom w:val="none" w:sz="0" w:space="0" w:color="auto"/>
        <w:right w:val="none" w:sz="0" w:space="0" w:color="auto"/>
      </w:divBdr>
    </w:div>
    <w:div w:id="19668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5NUHHDQN7SK2-1-116405</_dlc_DocId>
    <TaxCatchAll xmlns="08b2df90-05d3-4030-90d4-c9feeb4a1cd9">
      <Value>2</Value>
      <Value>1</Value>
    </TaxCatchAll>
    <_dlc_DocIdUrl xmlns="08b2df90-05d3-4030-90d4-c9feeb4a1cd9">
      <Url>https://ericoll.internal.ericsson.com/sites/STAR/_layouts/DocIdRedir.aspx?ID=5NUHHDQN7SK2-1-116405</Url>
      <Description>5NUHHDQN7SK2-1-116405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00F0-E578-4B4E-A9E6-E2A382E7848A}">
  <ds:schemaRefs>
    <ds:schemaRef ds:uri="http://schemas.microsoft.com/sharepoint/v3/contenttype/forms"/>
  </ds:schemaRefs>
</ds:datastoreItem>
</file>

<file path=customXml/itemProps2.xml><?xml version="1.0" encoding="utf-8"?>
<ds:datastoreItem xmlns:ds="http://schemas.openxmlformats.org/officeDocument/2006/customXml" ds:itemID="{F91CEC82-A6D9-4DC9-86DB-0B3B51535386}">
  <ds:schemaRefs>
    <ds:schemaRef ds:uri="Microsoft.SharePoint.Taxonomy.ContentTypeSync"/>
  </ds:schemaRefs>
</ds:datastoreItem>
</file>

<file path=customXml/itemProps3.xml><?xml version="1.0" encoding="utf-8"?>
<ds:datastoreItem xmlns:ds="http://schemas.openxmlformats.org/officeDocument/2006/customXml" ds:itemID="{3760DE50-ED2E-4D13-ABDB-A2D1A2E2E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40636-BE6F-42BB-89D7-74876F640A7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ABD4FE04-870B-4A20-9B80-7488275531BA}">
  <ds:schemaRefs>
    <ds:schemaRef ds:uri="http://schemas.microsoft.com/sharepoint/events"/>
  </ds:schemaRefs>
</ds:datastoreItem>
</file>

<file path=customXml/itemProps6.xml><?xml version="1.0" encoding="utf-8"?>
<ds:datastoreItem xmlns:ds="http://schemas.openxmlformats.org/officeDocument/2006/customXml" ds:itemID="{DAF32929-D608-4700-93F2-8F222CB0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1082</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dc:description/>
  <cp:lastModifiedBy>Yu Yang A</cp:lastModifiedBy>
  <cp:revision>3</cp:revision>
  <dcterms:created xsi:type="dcterms:W3CDTF">2017-05-05T12:51:00Z</dcterms:created>
  <dcterms:modified xsi:type="dcterms:W3CDTF">2017-05-05T12:53:00Z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1a078f2c-16f1-4b50-b747-2af07a4be98f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