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0B7B5B29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C46ED4">
        <w:rPr>
          <w:rFonts w:ascii="Arial" w:hAnsi="Arial" w:cs="Arial"/>
          <w:b/>
          <w:sz w:val="24"/>
        </w:rPr>
        <w:t>9</w:t>
      </w:r>
      <w:r w:rsidR="00E926CB">
        <w:rPr>
          <w:rFonts w:ascii="Arial" w:hAnsi="Arial" w:cs="Arial"/>
          <w:b/>
          <w:sz w:val="24"/>
        </w:rPr>
        <w:t xml:space="preserve">   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C46ED4">
        <w:rPr>
          <w:rFonts w:ascii="Arial" w:hAnsi="Arial" w:cs="Arial"/>
          <w:b/>
          <w:sz w:val="24"/>
          <w:lang w:eastAsia="zh-CN"/>
        </w:rPr>
        <w:t>7421</w:t>
      </w:r>
    </w:p>
    <w:p w14:paraId="5C3E292E" w14:textId="55CEE9C2" w:rsidR="00EB10CB" w:rsidRPr="00FC7BBB" w:rsidRDefault="00C46ED4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Hangzhou, P.R. China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19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257415A5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C46ED4">
        <w:rPr>
          <w:rFonts w:ascii="Arial" w:hAnsi="Arial"/>
          <w:b/>
          <w:sz w:val="24"/>
        </w:rPr>
        <w:t>7</w:t>
      </w:r>
      <w:r w:rsidR="00BF6FF4">
        <w:rPr>
          <w:rFonts w:ascii="Arial" w:hAnsi="Arial"/>
          <w:b/>
          <w:sz w:val="24"/>
        </w:rPr>
        <w:t>.1.8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2BC15973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BF6FF4">
        <w:rPr>
          <w:rFonts w:ascii="Arial" w:hAnsi="Arial"/>
          <w:b/>
          <w:sz w:val="24"/>
        </w:rPr>
        <w:t>NR</w:t>
      </w:r>
      <w:r w:rsidR="00C46ED4">
        <w:rPr>
          <w:rFonts w:ascii="Arial" w:hAnsi="Arial"/>
          <w:b/>
          <w:sz w:val="24"/>
        </w:rPr>
        <w:t xml:space="preserve"> </w:t>
      </w:r>
      <w:r w:rsidR="00890F43">
        <w:rPr>
          <w:rFonts w:ascii="Arial" w:hAnsi="Arial"/>
          <w:b/>
          <w:sz w:val="24"/>
        </w:rPr>
        <w:t>LTE</w:t>
      </w:r>
      <w:r w:rsidR="00BF6FF4">
        <w:rPr>
          <w:rFonts w:ascii="Arial" w:hAnsi="Arial"/>
          <w:b/>
          <w:sz w:val="24"/>
        </w:rPr>
        <w:t xml:space="preserve"> coexistence</w:t>
      </w:r>
      <w:r w:rsidR="00C46ED4">
        <w:rPr>
          <w:rFonts w:ascii="Arial" w:hAnsi="Arial"/>
          <w:b/>
          <w:sz w:val="24"/>
        </w:rPr>
        <w:t xml:space="preserve"> remaining issues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0389ACDB" w:rsidR="00AC631B" w:rsidRDefault="00AC631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the RAN WG1</w:t>
      </w:r>
      <w:r w:rsidR="00BF6FF4">
        <w:rPr>
          <w:sz w:val="20"/>
          <w:szCs w:val="20"/>
          <w:lang w:val="en-US"/>
        </w:rPr>
        <w:t xml:space="preserve"> NR Ad-Hoc</w:t>
      </w:r>
      <w:r>
        <w:rPr>
          <w:sz w:val="20"/>
          <w:szCs w:val="20"/>
          <w:lang w:val="en-US"/>
        </w:rPr>
        <w:t xml:space="preserve"> Meeting</w:t>
      </w:r>
      <w:r w:rsidR="004062BD">
        <w:rPr>
          <w:sz w:val="20"/>
          <w:szCs w:val="20"/>
          <w:lang w:val="en-US"/>
        </w:rPr>
        <w:t xml:space="preserve"> in January</w:t>
      </w:r>
      <w:r>
        <w:rPr>
          <w:sz w:val="20"/>
          <w:szCs w:val="20"/>
          <w:lang w:val="en-US"/>
        </w:rPr>
        <w:t>, the following agreement</w:t>
      </w:r>
      <w:r w:rsidR="00BF6FF4">
        <w:rPr>
          <w:sz w:val="20"/>
          <w:szCs w:val="20"/>
          <w:lang w:val="en-US"/>
        </w:rPr>
        <w:t xml:space="preserve">s were made regarding the LTE-NR coexistence </w:t>
      </w:r>
      <w:r>
        <w:rPr>
          <w:sz w:val="20"/>
          <w:szCs w:val="20"/>
          <w:lang w:val="en-US"/>
        </w:rPr>
        <w:t>[1]</w:t>
      </w:r>
      <w:r w:rsidR="00991F9D">
        <w:rPr>
          <w:sz w:val="20"/>
          <w:szCs w:val="20"/>
          <w:lang w:val="en-US"/>
        </w:rPr>
        <w:t>.</w:t>
      </w:r>
    </w:p>
    <w:p w14:paraId="57735A3F" w14:textId="77777777" w:rsidR="008475FE" w:rsidRDefault="008475FE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75FE" w14:paraId="3EEBE14E" w14:textId="77777777" w:rsidTr="008475FE">
        <w:tc>
          <w:tcPr>
            <w:tcW w:w="9962" w:type="dxa"/>
          </w:tcPr>
          <w:p w14:paraId="74CD12FB" w14:textId="77777777" w:rsidR="00DC0003" w:rsidRPr="00C02FF6" w:rsidRDefault="00DC0003" w:rsidP="00BF6FF4">
            <w:pPr>
              <w:spacing w:before="0" w:after="0" w:line="240" w:lineRule="auto"/>
              <w:rPr>
                <w:sz w:val="10"/>
                <w:highlight w:val="green"/>
                <w:lang w:val="en-US"/>
              </w:rPr>
            </w:pPr>
          </w:p>
          <w:p w14:paraId="1C5CB1D8" w14:textId="77777777" w:rsidR="00BF6FF4" w:rsidRPr="009568C4" w:rsidRDefault="00BF6FF4" w:rsidP="00BF6FF4">
            <w:pPr>
              <w:spacing w:before="0" w:after="0" w:line="240" w:lineRule="auto"/>
              <w:rPr>
                <w:lang w:val="en-US"/>
              </w:rPr>
            </w:pPr>
            <w:r w:rsidRPr="009568C4">
              <w:rPr>
                <w:highlight w:val="green"/>
                <w:lang w:val="en-US"/>
              </w:rPr>
              <w:t>Agreements</w:t>
            </w:r>
            <w:r w:rsidRPr="009568C4">
              <w:rPr>
                <w:lang w:val="en-US"/>
              </w:rPr>
              <w:t>:</w:t>
            </w:r>
          </w:p>
          <w:p w14:paraId="2B1F69F6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UL-DL configurations 0,1,2,3,4,5 in unpaired spectrum</w:t>
            </w:r>
            <w:r w:rsidRPr="009568C4">
              <w:rPr>
                <w:lang w:val="en-US"/>
              </w:rPr>
              <w:t xml:space="preserve">  </w:t>
            </w:r>
          </w:p>
          <w:p w14:paraId="6F30C89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FFS detailed mechanism</w:t>
            </w:r>
          </w:p>
          <w:p w14:paraId="3D8B90CF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all the special subframe configurations in unpaired spectrum</w:t>
            </w:r>
          </w:p>
          <w:p w14:paraId="2E3F3423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Notes:</w:t>
            </w:r>
          </w:p>
          <w:p w14:paraId="49BFDB8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above bullets does not necessarily imply that two or more frame structures are to be defined for NR</w:t>
            </w:r>
          </w:p>
          <w:p w14:paraId="6054FE4A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wording “efficient” in the above two bullets does not imply exact alignment of configurations</w:t>
            </w:r>
          </w:p>
          <w:p w14:paraId="37AC4496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RAN1 has agreed the following</w:t>
            </w:r>
          </w:p>
          <w:p w14:paraId="4E982C64" w14:textId="57D8F506" w:rsidR="00363CE1" w:rsidRPr="00D25B1E" w:rsidRDefault="00BF6FF4" w:rsidP="00D25B1E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0" w:after="24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Design at least one semi-statically assigned DL/UL transmission direction configuration for NR that avoids DL/UL interference with at least one LTE TDD DL/UL configuration and special subframe configuration</w:t>
            </w:r>
          </w:p>
        </w:tc>
      </w:tr>
    </w:tbl>
    <w:p w14:paraId="0D7A68AB" w14:textId="4F6CF221" w:rsidR="00DD34FD" w:rsidRDefault="00065EBA" w:rsidP="00751C18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8530AC">
        <w:rPr>
          <w:sz w:val="20"/>
          <w:szCs w:val="20"/>
          <w:lang w:val="en-US"/>
        </w:rPr>
        <w:t xml:space="preserve"> we</w:t>
      </w:r>
      <w:r w:rsidR="002B357E">
        <w:rPr>
          <w:sz w:val="20"/>
          <w:szCs w:val="20"/>
          <w:lang w:val="en-US"/>
        </w:rPr>
        <w:t xml:space="preserve"> discuss </w:t>
      </w:r>
      <w:r w:rsidR="00FE6CF5">
        <w:rPr>
          <w:sz w:val="20"/>
          <w:szCs w:val="20"/>
          <w:lang w:val="en-US"/>
        </w:rPr>
        <w:t xml:space="preserve">the following </w:t>
      </w:r>
      <w:r w:rsidR="00DD34FD">
        <w:rPr>
          <w:sz w:val="20"/>
          <w:szCs w:val="20"/>
          <w:lang w:val="en-US"/>
        </w:rPr>
        <w:t>LTE-NR coexistence</w:t>
      </w:r>
      <w:r w:rsidR="008530AC">
        <w:rPr>
          <w:sz w:val="20"/>
          <w:szCs w:val="20"/>
          <w:lang w:val="en-US"/>
        </w:rPr>
        <w:t xml:space="preserve"> </w:t>
      </w:r>
      <w:r w:rsidR="00FE6CF5">
        <w:rPr>
          <w:sz w:val="20"/>
          <w:szCs w:val="20"/>
          <w:lang w:val="en-US"/>
        </w:rPr>
        <w:t>aspects</w:t>
      </w:r>
      <w:r w:rsidR="008530AC">
        <w:rPr>
          <w:sz w:val="20"/>
          <w:szCs w:val="20"/>
          <w:lang w:val="en-US"/>
        </w:rPr>
        <w:t>.</w:t>
      </w:r>
    </w:p>
    <w:p w14:paraId="489AB0CD" w14:textId="77777777" w:rsidR="003F0BF2" w:rsidRDefault="003F0BF2" w:rsidP="003F0BF2">
      <w:pPr>
        <w:pStyle w:val="LGTdoc"/>
        <w:numPr>
          <w:ilvl w:val="0"/>
          <w:numId w:val="14"/>
        </w:numPr>
        <w:spacing w:before="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Considerations on NR slot types</w:t>
      </w:r>
    </w:p>
    <w:p w14:paraId="3B0E38F5" w14:textId="07E05531" w:rsidR="00431167" w:rsidRPr="003F0BF2" w:rsidRDefault="00431167" w:rsidP="003F0BF2">
      <w:pPr>
        <w:pStyle w:val="LGTdoc"/>
        <w:numPr>
          <w:ilvl w:val="0"/>
          <w:numId w:val="14"/>
        </w:numPr>
        <w:spacing w:before="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Adjacent channel LTE-NR coexistence</w:t>
      </w:r>
    </w:p>
    <w:p w14:paraId="669E348A" w14:textId="47361DB4" w:rsidR="00D25B1E" w:rsidRPr="00751C18" w:rsidRDefault="003F0BF2" w:rsidP="00D25B1E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Considerations on </w:t>
      </w:r>
      <w:r w:rsidR="00D25B1E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NR slot types</w:t>
      </w:r>
    </w:p>
    <w:p w14:paraId="5E527B2E" w14:textId="6613377C" w:rsidR="00D25B1E" w:rsidRDefault="00D25B1E" w:rsidP="00D25B1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It was agreed for NR to ‘</w:t>
      </w:r>
      <w:r w:rsidRPr="007846DA">
        <w:rPr>
          <w:b w:val="0"/>
          <w:i/>
          <w:snapToGrid/>
          <w:color w:val="000000" w:themeColor="text1"/>
          <w:kern w:val="2"/>
          <w:sz w:val="20"/>
          <w:lang w:val="en-US"/>
        </w:rPr>
        <w:t>study flexible/dynamic TDD, including both downlink and uplink transmissions in the same subframe interval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.’ Following this agreement, any combination of DL/UL multiplexing within an NR slot can be conceived. The following figure illustrates probable NR DL/UL slot structure. </w:t>
      </w:r>
      <w:r w:rsidR="00517C9B">
        <w:rPr>
          <w:b w:val="0"/>
          <w:snapToGrid/>
          <w:color w:val="000000" w:themeColor="text1"/>
          <w:kern w:val="2"/>
          <w:sz w:val="20"/>
          <w:lang w:val="en-US"/>
        </w:rPr>
        <w:t>W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ith the additional multiplexing of URLLC or special purpose reference signal transmissions, e.g., for interference measurement, there could be numerous possible constructions of DL/UL slot structures. </w:t>
      </w:r>
    </w:p>
    <w:p w14:paraId="1D4C86E1" w14:textId="77777777" w:rsidR="00D25B1E" w:rsidRDefault="00D25B1E" w:rsidP="00D25B1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1BDF202F" w14:textId="77777777" w:rsidR="00D25B1E" w:rsidRDefault="00D25B1E" w:rsidP="00D25B1E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66708C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08C8E4F3" wp14:editId="1E040456">
            <wp:extent cx="3735530" cy="760909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35530" cy="76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278A0" w14:textId="65CFA24D" w:rsidR="00D25B1E" w:rsidRPr="00FC7BBB" w:rsidRDefault="00D25B1E" w:rsidP="00D25B1E">
      <w:pPr>
        <w:pStyle w:val="LGTdoc1"/>
        <w:spacing w:beforeLines="0" w:before="24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 w:rsidR="003F0BF2">
        <w:rPr>
          <w:snapToGrid/>
          <w:kern w:val="2"/>
          <w:sz w:val="20"/>
        </w:rPr>
        <w:t>1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>Possible NR DL/UL slot structure</w:t>
      </w:r>
    </w:p>
    <w:p w14:paraId="603A6BE3" w14:textId="77777777" w:rsidR="00D25B1E" w:rsidRDefault="00D25B1E" w:rsidP="00D25B1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3C49D488" w14:textId="7925490A" w:rsidR="00D25B1E" w:rsidRDefault="00D25B1E" w:rsidP="00D25B1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lastRenderedPageBreak/>
        <w:t xml:space="preserve">Note that in sharing the spectrum between LTE and NR, there are cases that certain subframes are </w:t>
      </w:r>
      <w:r w:rsidR="0063499C">
        <w:rPr>
          <w:b w:val="0"/>
          <w:snapToGrid/>
          <w:color w:val="000000" w:themeColor="text1"/>
          <w:kern w:val="2"/>
          <w:sz w:val="20"/>
          <w:lang w:val="en-US"/>
        </w:rPr>
        <w:t xml:space="preserve">not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supposed to be used</w:t>
      </w:r>
      <w:r w:rsidR="0063499C">
        <w:rPr>
          <w:b w:val="0"/>
          <w:snapToGrid/>
          <w:color w:val="000000" w:themeColor="text1"/>
          <w:kern w:val="2"/>
          <w:sz w:val="20"/>
          <w:lang w:val="en-US"/>
        </w:rPr>
        <w:t xml:space="preserve"> bi-directionally.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Those cases are, for instance,</w:t>
      </w:r>
    </w:p>
    <w:p w14:paraId="776B42EA" w14:textId="77777777" w:rsidR="00D25B1E" w:rsidRDefault="00D25B1E" w:rsidP="00D25B1E">
      <w:pPr>
        <w:pStyle w:val="LGTdoc1"/>
        <w:numPr>
          <w:ilvl w:val="0"/>
          <w:numId w:val="17"/>
        </w:numPr>
        <w:spacing w:beforeLines="0" w:before="12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Sharing the same carrier in UL frequency band.</w:t>
      </w:r>
    </w:p>
    <w:p w14:paraId="68F2FF38" w14:textId="633EEAD6" w:rsidR="00D25B1E" w:rsidRDefault="00D25B1E" w:rsidP="00D25B1E">
      <w:pPr>
        <w:pStyle w:val="LGTdoc1"/>
        <w:numPr>
          <w:ilvl w:val="0"/>
          <w:numId w:val="17"/>
        </w:numPr>
        <w:spacing w:beforeLines="0" w:before="6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Sharing the same c</w:t>
      </w:r>
      <w:r w:rsidR="0063499C">
        <w:rPr>
          <w:b w:val="0"/>
          <w:snapToGrid/>
          <w:color w:val="000000" w:themeColor="text1"/>
          <w:kern w:val="2"/>
          <w:sz w:val="20"/>
          <w:lang w:val="en-US"/>
        </w:rPr>
        <w:t>arrier in DL frequency band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4D35FD0E" w14:textId="30321737" w:rsidR="00D25B1E" w:rsidRDefault="00D25B1E" w:rsidP="00D25B1E">
      <w:pPr>
        <w:pStyle w:val="LGTdoc1"/>
        <w:numPr>
          <w:ilvl w:val="0"/>
          <w:numId w:val="17"/>
        </w:numPr>
        <w:spacing w:beforeLines="0" w:before="60" w:after="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Adjacent channel </w:t>
      </w:r>
      <w:r w:rsidR="00517C9B">
        <w:rPr>
          <w:b w:val="0"/>
          <w:snapToGrid/>
          <w:color w:val="000000" w:themeColor="text1"/>
          <w:kern w:val="2"/>
          <w:sz w:val="20"/>
          <w:lang w:val="en-US"/>
        </w:rPr>
        <w:t xml:space="preserve">NR-LTE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coexistence in unpaired spectrum. </w:t>
      </w:r>
    </w:p>
    <w:p w14:paraId="2B39E9A3" w14:textId="1C21F3BC" w:rsidR="00D25B1E" w:rsidRDefault="00D25B1E" w:rsidP="00D25B1E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lang w:val="en-US"/>
        </w:rPr>
      </w:pPr>
      <w:r w:rsidRPr="0063499C">
        <w:rPr>
          <w:b w:val="0"/>
          <w:snapToGrid/>
          <w:kern w:val="2"/>
          <w:sz w:val="20"/>
          <w:lang w:val="en-US"/>
        </w:rPr>
        <w:t>If a certain shared LTE subframe is supposed to be used for a particular direction, NR should operate accordingly.</w:t>
      </w:r>
      <w:r>
        <w:rPr>
          <w:b w:val="0"/>
          <w:snapToGrid/>
          <w:kern w:val="2"/>
          <w:sz w:val="20"/>
          <w:lang w:val="en-US"/>
        </w:rPr>
        <w:t xml:space="preserve"> This requirement may be enforced due to the cross-link interference issue and/or the regulations on use of FDD bands, e.g., DL band is not allowed to be used for UL transmission. In this regard, NR design should provide DL-only and UL-only slots. In the case of UL slots, in particular, it should not be assumed that UL slots always start with DL control channel transmission. This</w:t>
      </w:r>
      <w:r w:rsidR="008C2C03">
        <w:rPr>
          <w:b w:val="0"/>
          <w:snapToGrid/>
          <w:kern w:val="2"/>
          <w:sz w:val="20"/>
          <w:lang w:val="en-US"/>
        </w:rPr>
        <w:t xml:space="preserve"> implies that self-contained scheduling is not possible and</w:t>
      </w:r>
      <w:r>
        <w:rPr>
          <w:b w:val="0"/>
          <w:snapToGrid/>
          <w:kern w:val="2"/>
          <w:sz w:val="20"/>
          <w:lang w:val="en-US"/>
        </w:rPr>
        <w:t xml:space="preserve"> UL </w:t>
      </w:r>
      <w:r w:rsidR="008C2C03">
        <w:rPr>
          <w:b w:val="0"/>
          <w:snapToGrid/>
          <w:kern w:val="2"/>
          <w:sz w:val="20"/>
          <w:lang w:val="en-US"/>
        </w:rPr>
        <w:t>transmission</w:t>
      </w:r>
      <w:r>
        <w:rPr>
          <w:b w:val="0"/>
          <w:snapToGrid/>
          <w:kern w:val="2"/>
          <w:sz w:val="20"/>
          <w:lang w:val="en-US"/>
        </w:rPr>
        <w:t xml:space="preserve"> needs to be scheduled in </w:t>
      </w:r>
      <w:r w:rsidR="008C2C03">
        <w:rPr>
          <w:b w:val="0"/>
          <w:snapToGrid/>
          <w:kern w:val="2"/>
          <w:sz w:val="20"/>
          <w:lang w:val="en-US"/>
        </w:rPr>
        <w:t>an</w:t>
      </w:r>
      <w:r>
        <w:rPr>
          <w:b w:val="0"/>
          <w:snapToGrid/>
          <w:kern w:val="2"/>
          <w:sz w:val="20"/>
          <w:lang w:val="en-US"/>
        </w:rPr>
        <w:t xml:space="preserve"> earlier DL slot (in the case of unpaired spectrum without cross-carrier scheduling) or by another DL carrier</w:t>
      </w:r>
      <w:r w:rsidR="008C2C03">
        <w:rPr>
          <w:b w:val="0"/>
          <w:snapToGrid/>
          <w:kern w:val="2"/>
          <w:sz w:val="20"/>
          <w:lang w:val="en-US"/>
        </w:rPr>
        <w:t xml:space="preserve"> via cross-carrier scheduling.</w:t>
      </w:r>
      <w:r>
        <w:rPr>
          <w:b w:val="0"/>
          <w:snapToGrid/>
          <w:kern w:val="2"/>
          <w:sz w:val="20"/>
          <w:lang w:val="en-US"/>
        </w:rPr>
        <w:t xml:space="preserve">  </w:t>
      </w:r>
    </w:p>
    <w:p w14:paraId="68D8F790" w14:textId="3037715B" w:rsidR="00D25B1E" w:rsidRPr="00D25B1E" w:rsidRDefault="00D25B1E" w:rsidP="00D25B1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63499C">
        <w:rPr>
          <w:snapToGrid/>
          <w:kern w:val="2"/>
          <w:sz w:val="20"/>
          <w:lang w:val="en-US"/>
        </w:rPr>
        <w:t xml:space="preserve">Proposal </w:t>
      </w:r>
      <w:r w:rsidR="0063499C" w:rsidRPr="0063499C">
        <w:rPr>
          <w:snapToGrid/>
          <w:kern w:val="2"/>
          <w:sz w:val="20"/>
          <w:lang w:val="en-US"/>
        </w:rPr>
        <w:t>1</w:t>
      </w:r>
      <w:r w:rsidRPr="0063499C">
        <w:rPr>
          <w:snapToGrid/>
          <w:kern w:val="2"/>
          <w:sz w:val="20"/>
          <w:lang w:val="en-US"/>
        </w:rPr>
        <w:t>: NR design should provide DL-only and UL-only slots. In particular, it should not be assumed that UL slots always start with DL control channel transmission.</w:t>
      </w:r>
      <w:r>
        <w:rPr>
          <w:snapToGrid/>
          <w:kern w:val="2"/>
          <w:sz w:val="20"/>
          <w:lang w:val="en-US"/>
        </w:rPr>
        <w:t xml:space="preserve"> </w:t>
      </w:r>
    </w:p>
    <w:p w14:paraId="5994CE5F" w14:textId="75AD0AC3" w:rsidR="00105FC8" w:rsidRDefault="00431167" w:rsidP="00751C18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Adjacent channel LTE-NR coexistence</w:t>
      </w:r>
    </w:p>
    <w:p w14:paraId="207A0994" w14:textId="1EC9F224" w:rsidR="00CE14E1" w:rsidRDefault="00D65274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Per the agreement made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in the</w:t>
      </w:r>
      <w:r w:rsid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RAN1 </w:t>
      </w:r>
      <w:r w:rsidR="00E67BF0">
        <w:rPr>
          <w:b w:val="0"/>
          <w:snapToGrid/>
          <w:color w:val="000000" w:themeColor="text1"/>
          <w:kern w:val="2"/>
          <w:sz w:val="20"/>
          <w:lang w:val="en-US"/>
        </w:rPr>
        <w:t xml:space="preserve">NR </w:t>
      </w:r>
      <w:r w:rsidR="001C34EC">
        <w:rPr>
          <w:b w:val="0"/>
          <w:snapToGrid/>
          <w:color w:val="000000" w:themeColor="text1"/>
          <w:kern w:val="2"/>
          <w:sz w:val="20"/>
          <w:lang w:val="en-US"/>
        </w:rPr>
        <w:t>Ad-hoc meeting</w:t>
      </w:r>
      <w:r w:rsidR="00E67BF0">
        <w:rPr>
          <w:b w:val="0"/>
          <w:snapToGrid/>
          <w:color w:val="000000" w:themeColor="text1"/>
          <w:kern w:val="2"/>
          <w:sz w:val="20"/>
          <w:lang w:val="en-US"/>
        </w:rPr>
        <w:t xml:space="preserve"> in January</w:t>
      </w:r>
      <w:r w:rsid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,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NR supports 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‘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efficient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’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 adjacent channel coexistence with LTE-TDD in unpaired spectrum.</w:t>
      </w:r>
      <w:r w:rsidR="00612839"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>section, we try to address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how the 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>adjacent channel coexistence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DE17C7">
        <w:rPr>
          <w:b w:val="0"/>
          <w:snapToGrid/>
          <w:color w:val="000000" w:themeColor="text1"/>
          <w:kern w:val="2"/>
          <w:sz w:val="20"/>
          <w:lang w:val="en-US"/>
        </w:rPr>
        <w:t>can be made ‘efficient.’</w:t>
      </w:r>
    </w:p>
    <w:p w14:paraId="75D542F7" w14:textId="4AE62D73" w:rsidR="0023687E" w:rsidRDefault="001B7116" w:rsidP="00DE17C7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In non-collocated scenarios, where gNB and eNB are </w:t>
      </w:r>
      <w:r w:rsidR="0097649A">
        <w:rPr>
          <w:b w:val="0"/>
          <w:snapToGrid/>
          <w:color w:val="000000" w:themeColor="text1"/>
          <w:kern w:val="2"/>
          <w:sz w:val="20"/>
        </w:rPr>
        <w:t>not collocated,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97649A">
        <w:rPr>
          <w:b w:val="0"/>
          <w:snapToGrid/>
          <w:color w:val="000000" w:themeColor="text1"/>
          <w:kern w:val="2"/>
          <w:sz w:val="20"/>
        </w:rPr>
        <w:t>t</w:t>
      </w:r>
      <w:r w:rsidR="00DE17C7" w:rsidRPr="001C34EC">
        <w:rPr>
          <w:b w:val="0"/>
          <w:snapToGrid/>
          <w:color w:val="000000" w:themeColor="text1"/>
          <w:kern w:val="2"/>
          <w:sz w:val="20"/>
        </w:rPr>
        <w:t xml:space="preserve">he transmission direction alignment between adjacent carriers is not a critical issue as neither the non-collocated base stations share the same RF nor there exists self-interference. In some situations, however, it may be still beneficial to align the transmission direction of adjacent channels between non-collocated base stations, </w:t>
      </w:r>
      <w:r w:rsidR="009D1AB3">
        <w:rPr>
          <w:b w:val="0"/>
          <w:snapToGrid/>
          <w:color w:val="000000" w:themeColor="text1"/>
          <w:kern w:val="2"/>
          <w:sz w:val="20"/>
        </w:rPr>
        <w:t xml:space="preserve">for instance, </w:t>
      </w:r>
      <w:r w:rsidR="00DE17C7" w:rsidRPr="001C34EC">
        <w:rPr>
          <w:b w:val="0"/>
          <w:snapToGrid/>
          <w:color w:val="000000" w:themeColor="text1"/>
          <w:kern w:val="2"/>
          <w:sz w:val="20"/>
        </w:rPr>
        <w:t xml:space="preserve">if it happens to be that LTE UE in DL reception is close by the NR UE in UL transmission and, vice versa. However, this additional optimization from the perspective of cross-link interference leakage to adjacent channels can restrict ‘efficient’ operation of gNB from traffic adaptation perspective. By giving some flexibility, the gNB can better adapt to varying DL/UL traffic demand. For instance, the NR static DL/UL frame structure is designed to be constituted of DL, UL, S (special), and F (flexible) </w:t>
      </w:r>
      <w:r w:rsidR="009D1AB3">
        <w:rPr>
          <w:b w:val="0"/>
          <w:snapToGrid/>
          <w:color w:val="000000" w:themeColor="text1"/>
          <w:kern w:val="2"/>
          <w:sz w:val="20"/>
        </w:rPr>
        <w:t>slot</w:t>
      </w:r>
      <w:r w:rsidR="009D1AB3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DE17C7" w:rsidRPr="001C34EC">
        <w:rPr>
          <w:b w:val="0"/>
          <w:snapToGrid/>
          <w:color w:val="000000" w:themeColor="text1"/>
          <w:kern w:val="2"/>
          <w:sz w:val="20"/>
        </w:rPr>
        <w:t xml:space="preserve">types. The S refers to </w:t>
      </w:r>
      <w:r w:rsidR="009D1AB3">
        <w:rPr>
          <w:b w:val="0"/>
          <w:snapToGrid/>
          <w:color w:val="000000" w:themeColor="text1"/>
          <w:kern w:val="2"/>
          <w:sz w:val="20"/>
        </w:rPr>
        <w:t>slots</w:t>
      </w:r>
      <w:r w:rsidR="009D1AB3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DE17C7" w:rsidRPr="001C34EC">
        <w:rPr>
          <w:b w:val="0"/>
          <w:snapToGrid/>
          <w:color w:val="000000" w:themeColor="text1"/>
          <w:kern w:val="2"/>
          <w:sz w:val="20"/>
        </w:rPr>
        <w:t xml:space="preserve">in line with LTE TDD special subframes. The new </w:t>
      </w:r>
      <w:r w:rsidR="009D1AB3">
        <w:rPr>
          <w:b w:val="0"/>
          <w:snapToGrid/>
          <w:color w:val="000000" w:themeColor="text1"/>
          <w:kern w:val="2"/>
          <w:sz w:val="20"/>
        </w:rPr>
        <w:t>slot</w:t>
      </w:r>
      <w:r w:rsidR="009D1AB3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DE17C7" w:rsidRPr="001C34EC">
        <w:rPr>
          <w:b w:val="0"/>
          <w:snapToGrid/>
          <w:color w:val="000000" w:themeColor="text1"/>
          <w:kern w:val="2"/>
          <w:sz w:val="20"/>
        </w:rPr>
        <w:t xml:space="preserve">type F is intended to be flexibly used for either DL or UL up to gNB decision. </w:t>
      </w:r>
      <w:r w:rsidR="004162F8" w:rsidRPr="001C34EC">
        <w:rPr>
          <w:b w:val="0"/>
          <w:snapToGrid/>
          <w:color w:val="000000" w:themeColor="text1"/>
          <w:kern w:val="2"/>
          <w:sz w:val="20"/>
        </w:rPr>
        <w:t>The overall NR static DL/UL frame structure for coexistence scenarios can be, for example, chosen to have maximum commonality with the LTE TDD configurations used by the operator.</w:t>
      </w:r>
    </w:p>
    <w:p w14:paraId="37B3945E" w14:textId="16B18290" w:rsidR="004162F8" w:rsidRPr="004162F8" w:rsidRDefault="004162F8" w:rsidP="004162F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t xml:space="preserve">Proposal 2: </w:t>
      </w:r>
      <w:r w:rsidR="001B7116">
        <w:rPr>
          <w:snapToGrid/>
          <w:kern w:val="2"/>
          <w:sz w:val="20"/>
          <w:lang w:val="en-US"/>
        </w:rPr>
        <w:t>T</w:t>
      </w:r>
      <w:r w:rsidRPr="001C34EC">
        <w:rPr>
          <w:snapToGrid/>
          <w:kern w:val="2"/>
          <w:sz w:val="20"/>
          <w:lang w:val="en-US"/>
        </w:rPr>
        <w:t xml:space="preserve">he NR static DL/UL frame structure can be constituted of DL, UL, S (special), and F (flexible) </w:t>
      </w:r>
      <w:r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types, where the </w:t>
      </w:r>
      <w:r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 F is intended to be flexibly used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423B803B" w14:textId="22762BC9" w:rsidR="0023687E" w:rsidRPr="0023687E" w:rsidRDefault="0023687E" w:rsidP="0023687E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B9632E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18A9D9C7" wp14:editId="47145CDE">
            <wp:extent cx="2348685" cy="798830"/>
            <wp:effectExtent l="0" t="0" r="0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58248"/>
                    <a:stretch/>
                  </pic:blipFill>
                  <pic:spPr bwMode="auto">
                    <a:xfrm>
                      <a:off x="0" y="0"/>
                      <a:ext cx="2349053" cy="798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4FCB27" w14:textId="19E7FA8B" w:rsidR="00CE14E1" w:rsidRDefault="0023687E" w:rsidP="004162F8">
      <w:pPr>
        <w:pStyle w:val="LGTdoc1"/>
        <w:spacing w:beforeLines="0" w:before="24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>
        <w:rPr>
          <w:snapToGrid/>
          <w:kern w:val="2"/>
          <w:sz w:val="20"/>
        </w:rPr>
        <w:t>2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>An example NR static DL/UL configuration with ‘flexible’ subframes</w:t>
      </w:r>
    </w:p>
    <w:p w14:paraId="738366EE" w14:textId="77777777" w:rsidR="004162F8" w:rsidRPr="004162F8" w:rsidRDefault="004162F8" w:rsidP="004162F8">
      <w:pPr>
        <w:pStyle w:val="LGTdoc1"/>
        <w:spacing w:beforeLines="0" w:before="24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</w:p>
    <w:p w14:paraId="3E378CBD" w14:textId="486BB054" w:rsidR="0097649A" w:rsidRDefault="00773BC7" w:rsidP="0097649A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In collocated scenarios, </w:t>
      </w:r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single RF front-end </w:t>
      </w:r>
      <w:r w:rsidR="009D1AB3">
        <w:rPr>
          <w:b w:val="0"/>
          <w:snapToGrid/>
          <w:color w:val="000000" w:themeColor="text1"/>
          <w:kern w:val="2"/>
          <w:sz w:val="20"/>
          <w:lang w:val="en-US"/>
        </w:rPr>
        <w:t>may</w:t>
      </w:r>
      <w:r w:rsidR="009D1AB3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>be shared between eNB and gNB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, which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requires</w:t>
      </w:r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that</w:t>
      </w:r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the transmission directions of the adjacent channels </w:t>
      </w:r>
      <w:r w:rsidR="004B00C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must be perfectly aligned. </w:t>
      </w:r>
      <w:r w:rsidR="009D1AB3">
        <w:rPr>
          <w:b w:val="0"/>
          <w:snapToGrid/>
          <w:color w:val="000000" w:themeColor="text1"/>
          <w:kern w:val="2"/>
          <w:sz w:val="20"/>
          <w:lang w:val="en-US"/>
        </w:rPr>
        <w:t>E</w:t>
      </w:r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>ven i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f </w:t>
      </w:r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the collocated eNB and gNB use different RF front-end, the 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effect of self-interference would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not allow 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the adjacent carriers to operate in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different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direction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reg</w:t>
      </w:r>
      <w:bookmarkStart w:id="4" w:name="_GoBack"/>
      <w:bookmarkEnd w:id="4"/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ard,</w:t>
      </w:r>
      <w:r w:rsidR="002D5196">
        <w:rPr>
          <w:b w:val="0"/>
          <w:snapToGrid/>
          <w:color w:val="000000" w:themeColor="text1"/>
          <w:kern w:val="2"/>
          <w:sz w:val="20"/>
          <w:lang w:val="en-US"/>
        </w:rPr>
        <w:t xml:space="preserve"> the DL/UL direction must be aligned between </w:t>
      </w:r>
      <w:r w:rsidR="00823412">
        <w:rPr>
          <w:b w:val="0"/>
          <w:snapToGrid/>
          <w:color w:val="000000" w:themeColor="text1"/>
          <w:kern w:val="2"/>
          <w:sz w:val="20"/>
          <w:lang w:val="en-US"/>
        </w:rPr>
        <w:t>LTE and NR</w:t>
      </w:r>
      <w:r w:rsidR="002D5196">
        <w:rPr>
          <w:b w:val="0"/>
          <w:snapToGrid/>
          <w:color w:val="000000" w:themeColor="text1"/>
          <w:kern w:val="2"/>
          <w:sz w:val="20"/>
          <w:lang w:val="en-US"/>
        </w:rPr>
        <w:t xml:space="preserve">. Thus, </w:t>
      </w:r>
      <w:r w:rsidR="001B7116">
        <w:rPr>
          <w:b w:val="0"/>
          <w:snapToGrid/>
          <w:color w:val="000000" w:themeColor="text1"/>
          <w:kern w:val="2"/>
          <w:sz w:val="20"/>
          <w:lang w:val="en-US"/>
        </w:rPr>
        <w:t xml:space="preserve">no flexible </w:t>
      </w:r>
      <w:r w:rsidR="00516908">
        <w:rPr>
          <w:b w:val="0"/>
          <w:snapToGrid/>
          <w:color w:val="000000" w:themeColor="text1"/>
          <w:kern w:val="2"/>
          <w:sz w:val="20"/>
          <w:lang w:val="en-US"/>
        </w:rPr>
        <w:t xml:space="preserve">slot </w:t>
      </w:r>
      <w:r w:rsidR="001B7116">
        <w:rPr>
          <w:b w:val="0"/>
          <w:snapToGrid/>
          <w:color w:val="000000" w:themeColor="text1"/>
          <w:kern w:val="2"/>
          <w:sz w:val="20"/>
          <w:lang w:val="en-US"/>
        </w:rPr>
        <w:t xml:space="preserve">will be configured for NR, if eNB and gNB are collocated and use adjacent channels. </w:t>
      </w:r>
    </w:p>
    <w:p w14:paraId="3FB165E2" w14:textId="741EFC6F" w:rsidR="008B3614" w:rsidRPr="0097649A" w:rsidRDefault="008B3614" w:rsidP="0097649A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4E1AD2">
        <w:rPr>
          <w:snapToGrid/>
          <w:kern w:val="2"/>
          <w:sz w:val="20"/>
          <w:lang w:val="en-US"/>
        </w:rPr>
        <w:t xml:space="preserve"> </w:t>
      </w:r>
    </w:p>
    <w:p w14:paraId="276196D5" w14:textId="3196694B" w:rsidR="00676A1E" w:rsidRPr="00D62CB8" w:rsidRDefault="00676A1E" w:rsidP="00676A1E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Conclusion</w:t>
      </w:r>
    </w:p>
    <w:p w14:paraId="4E652781" w14:textId="41914107" w:rsidR="00222DEF" w:rsidRDefault="00222DEF" w:rsidP="00222DEF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 we discuss</w:t>
      </w:r>
      <w:r w:rsidR="00CF2BBA">
        <w:rPr>
          <w:sz w:val="20"/>
          <w:szCs w:val="20"/>
          <w:lang w:val="en-US"/>
        </w:rPr>
        <w:t>ed</w:t>
      </w:r>
      <w:r w:rsidR="0008638A">
        <w:rPr>
          <w:sz w:val="20"/>
          <w:szCs w:val="20"/>
          <w:lang w:val="en-US"/>
        </w:rPr>
        <w:t xml:space="preserve"> about NR slot type and </w:t>
      </w:r>
      <w:r w:rsidR="00CF2BBA">
        <w:rPr>
          <w:sz w:val="20"/>
          <w:szCs w:val="20"/>
          <w:lang w:val="en-US"/>
        </w:rPr>
        <w:t>a</w:t>
      </w:r>
      <w:r w:rsidR="00CF2BBA" w:rsidRPr="00CF2BBA">
        <w:rPr>
          <w:sz w:val="20"/>
          <w:szCs w:val="20"/>
          <w:lang w:val="en-US"/>
        </w:rPr>
        <w:t>djacent channel LTE-NR coexistence</w:t>
      </w:r>
      <w:r w:rsidR="00CF2BBA">
        <w:rPr>
          <w:sz w:val="20"/>
          <w:szCs w:val="20"/>
          <w:lang w:val="en-US"/>
        </w:rPr>
        <w:t xml:space="preserve">, and the following proposals and observations were made. </w:t>
      </w:r>
    </w:p>
    <w:p w14:paraId="41CFDBF6" w14:textId="77777777" w:rsidR="0008638A" w:rsidRPr="00D25B1E" w:rsidRDefault="0008638A" w:rsidP="0008638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63499C">
        <w:rPr>
          <w:snapToGrid/>
          <w:kern w:val="2"/>
          <w:sz w:val="20"/>
          <w:lang w:val="en-US"/>
        </w:rPr>
        <w:t>Proposal 1: NR design should provide DL-only and UL-only slots. In particular, it should not be assumed that UL slots always start with DL control channel transmission.</w:t>
      </w:r>
      <w:r>
        <w:rPr>
          <w:snapToGrid/>
          <w:kern w:val="2"/>
          <w:sz w:val="20"/>
          <w:lang w:val="en-US"/>
        </w:rPr>
        <w:t xml:space="preserve"> </w:t>
      </w:r>
    </w:p>
    <w:p w14:paraId="356C42C0" w14:textId="77777777" w:rsidR="0008638A" w:rsidRPr="004162F8" w:rsidRDefault="0008638A" w:rsidP="0008638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t xml:space="preserve">Proposal 2: </w:t>
      </w:r>
      <w:r>
        <w:rPr>
          <w:snapToGrid/>
          <w:kern w:val="2"/>
          <w:sz w:val="20"/>
          <w:lang w:val="en-US"/>
        </w:rPr>
        <w:t>T</w:t>
      </w:r>
      <w:r w:rsidRPr="001C34EC">
        <w:rPr>
          <w:snapToGrid/>
          <w:kern w:val="2"/>
          <w:sz w:val="20"/>
          <w:lang w:val="en-US"/>
        </w:rPr>
        <w:t xml:space="preserve">he NR static DL/UL frame structure can be constituted of DL, UL, S (special), and F (flexible) </w:t>
      </w:r>
      <w:r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types, where the </w:t>
      </w:r>
      <w:r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 F is intended to be flexibly used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1F4FA2FA" w14:textId="77777777" w:rsidR="00CF2BBA" w:rsidRPr="00CF2BBA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40596FDD" w14:textId="2AF42F19" w:rsidR="006266E5" w:rsidRPr="00915C3F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991F9D">
        <w:rPr>
          <w:sz w:val="20"/>
        </w:rPr>
        <w:t>RAN1 Chairman’s Note</w:t>
      </w:r>
      <w:r w:rsidR="00991F9D" w:rsidRPr="00EF467A">
        <w:rPr>
          <w:sz w:val="20"/>
        </w:rPr>
        <w:t>, 3GPP TSG RAN WG1 Meeting</w:t>
      </w:r>
      <w:r w:rsidR="00BF6FF4">
        <w:rPr>
          <w:sz w:val="20"/>
        </w:rPr>
        <w:t xml:space="preserve"> NR Ad-Hoc</w:t>
      </w:r>
      <w:r w:rsidR="00991F9D" w:rsidRPr="00EF467A">
        <w:rPr>
          <w:sz w:val="20"/>
        </w:rPr>
        <w:t xml:space="preserve">, </w:t>
      </w:r>
      <w:r w:rsidR="00BF6FF4">
        <w:rPr>
          <w:sz w:val="20"/>
        </w:rPr>
        <w:t>January</w:t>
      </w:r>
      <w:r w:rsidR="00991F9D" w:rsidRPr="00EF467A">
        <w:rPr>
          <w:sz w:val="20"/>
        </w:rPr>
        <w:t>, 201</w:t>
      </w:r>
      <w:r w:rsidR="00BF6FF4">
        <w:rPr>
          <w:sz w:val="20"/>
        </w:rPr>
        <w:t>7</w:t>
      </w:r>
    </w:p>
    <w:p w14:paraId="422559E3" w14:textId="0FDBCF09" w:rsidR="00385823" w:rsidRPr="00915C3F" w:rsidRDefault="00385823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385823" w:rsidRPr="00915C3F" w:rsidSect="00FC27AE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05B0A" w14:textId="77777777" w:rsidR="002450D8" w:rsidRDefault="002450D8">
      <w:r>
        <w:separator/>
      </w:r>
    </w:p>
  </w:endnote>
  <w:endnote w:type="continuationSeparator" w:id="0">
    <w:p w14:paraId="7181901E" w14:textId="77777777" w:rsidR="002450D8" w:rsidRDefault="0024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60280E" w:rsidRDefault="0060280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60280E" w:rsidRDefault="0060280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60280E" w:rsidRDefault="0060280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54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545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5AA1A" w14:textId="77777777" w:rsidR="002450D8" w:rsidRDefault="002450D8">
      <w:r>
        <w:separator/>
      </w:r>
    </w:p>
  </w:footnote>
  <w:footnote w:type="continuationSeparator" w:id="0">
    <w:p w14:paraId="4569FE8B" w14:textId="77777777" w:rsidR="002450D8" w:rsidRDefault="00245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60280E" w:rsidRDefault="00602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E70BF2"/>
    <w:multiLevelType w:val="hybridMultilevel"/>
    <w:tmpl w:val="3C66747E"/>
    <w:lvl w:ilvl="0" w:tplc="BE22BCDE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EE2ED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18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5"/>
  </w:num>
  <w:num w:numId="14">
    <w:abstractNumId w:val="16"/>
  </w:num>
  <w:num w:numId="15">
    <w:abstractNumId w:val="19"/>
  </w:num>
  <w:num w:numId="16">
    <w:abstractNumId w:val="13"/>
  </w:num>
  <w:num w:numId="17">
    <w:abstractNumId w:val="6"/>
  </w:num>
  <w:num w:numId="18">
    <w:abstractNumId w:val="15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36B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EBB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0AB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38A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151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FBE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784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16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3A6"/>
    <w:rsid w:val="001C3474"/>
    <w:rsid w:val="001C34EC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2DEF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87E"/>
    <w:rsid w:val="00236F55"/>
    <w:rsid w:val="00236F71"/>
    <w:rsid w:val="002373FC"/>
    <w:rsid w:val="0023776F"/>
    <w:rsid w:val="00237BB4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0D8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FF"/>
    <w:rsid w:val="00252D74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2FAA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57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196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01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3F99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4A63"/>
    <w:rsid w:val="0036692E"/>
    <w:rsid w:val="00367D2F"/>
    <w:rsid w:val="00367F5D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0BF2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2BD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2F8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167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066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AD2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908"/>
    <w:rsid w:val="00516B96"/>
    <w:rsid w:val="005173A4"/>
    <w:rsid w:val="0051770E"/>
    <w:rsid w:val="00517C9B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1BD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839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499C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A1E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A75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142"/>
    <w:rsid w:val="00714312"/>
    <w:rsid w:val="00714722"/>
    <w:rsid w:val="0071482A"/>
    <w:rsid w:val="00714D6A"/>
    <w:rsid w:val="007153CE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17F8"/>
    <w:rsid w:val="007721AD"/>
    <w:rsid w:val="007726F2"/>
    <w:rsid w:val="007726FD"/>
    <w:rsid w:val="00772D15"/>
    <w:rsid w:val="00772DAA"/>
    <w:rsid w:val="00772DC3"/>
    <w:rsid w:val="007733C4"/>
    <w:rsid w:val="00773BC7"/>
    <w:rsid w:val="0077432A"/>
    <w:rsid w:val="007743A1"/>
    <w:rsid w:val="007744EF"/>
    <w:rsid w:val="007750DC"/>
    <w:rsid w:val="00775330"/>
    <w:rsid w:val="00775BAA"/>
    <w:rsid w:val="00775EFD"/>
    <w:rsid w:val="00775F11"/>
    <w:rsid w:val="00775F33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417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77F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7C6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0AC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0F43"/>
    <w:rsid w:val="008911A2"/>
    <w:rsid w:val="0089125F"/>
    <w:rsid w:val="00891444"/>
    <w:rsid w:val="00891F63"/>
    <w:rsid w:val="0089214C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3EC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456"/>
    <w:rsid w:val="008B35ED"/>
    <w:rsid w:val="008B3614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2C03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4FF1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37C"/>
    <w:rsid w:val="00957487"/>
    <w:rsid w:val="00957D9C"/>
    <w:rsid w:val="009602B9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649A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095B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1AB3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8B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782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ED4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5719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BB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3FB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5B1E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1D15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CB8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2F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C8E"/>
    <w:rsid w:val="00D84268"/>
    <w:rsid w:val="00D846C5"/>
    <w:rsid w:val="00D851F9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A39"/>
    <w:rsid w:val="00DE0B7A"/>
    <w:rsid w:val="00DE17C7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67BF0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1B3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5C8A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D4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45E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2C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CF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7FBA2-6F82-4C6C-A6B1-A494120B8B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B8C5AF-6C0B-4DF5-A1FD-8910F49B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8</cp:revision>
  <cp:lastPrinted>2017-03-24T22:45:00Z</cp:lastPrinted>
  <dcterms:created xsi:type="dcterms:W3CDTF">2017-05-05T23:29:00Z</dcterms:created>
  <dcterms:modified xsi:type="dcterms:W3CDTF">2017-05-06T05:15:00Z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