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0C8" w:rsidRPr="009C718A" w:rsidRDefault="00E240C8" w:rsidP="00E240C8">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#8</w:t>
      </w:r>
      <w:r>
        <w:rPr>
          <w:rFonts w:ascii="Arial" w:hAnsi="Arial" w:cs="Arial"/>
          <w:b/>
          <w:bCs/>
          <w:sz w:val="24"/>
          <w:szCs w:val="24"/>
        </w:rPr>
        <w:t>9</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Pr>
          <w:rFonts w:ascii="Arial" w:hAnsi="Arial" w:cs="Arial"/>
          <w:b/>
          <w:bCs/>
          <w:sz w:val="24"/>
          <w:szCs w:val="24"/>
        </w:rPr>
        <w:t>07410</w:t>
      </w:r>
    </w:p>
    <w:p w:rsidR="00E240C8" w:rsidRPr="009C718A" w:rsidRDefault="00E240C8" w:rsidP="00E240C8">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Hangzhou, P.R. China 15-19 May</w:t>
      </w:r>
      <w:r>
        <w:rPr>
          <w:rFonts w:ascii="Arial" w:hAnsi="Arial" w:cs="Arial"/>
          <w:b/>
          <w:bCs/>
          <w:sz w:val="24"/>
          <w:szCs w:val="24"/>
        </w:rPr>
        <w:t xml:space="preserve"> 2017</w:t>
      </w:r>
    </w:p>
    <w:p w:rsidR="00E240C8" w:rsidRPr="009C718A" w:rsidRDefault="00E240C8" w:rsidP="00E240C8">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t>7.1.3.3.4</w:t>
      </w:r>
    </w:p>
    <w:p w:rsidR="00E240C8" w:rsidRPr="009C718A" w:rsidRDefault="00E240C8" w:rsidP="00E240C8">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E240C8" w:rsidRPr="009C718A" w:rsidRDefault="00E240C8" w:rsidP="00E240C8">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Defining soft-buffer requirements in NR</w:t>
      </w:r>
    </w:p>
    <w:p w:rsidR="00E240C8" w:rsidRPr="009C718A" w:rsidRDefault="00E240C8" w:rsidP="00E240C8">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E240C8" w:rsidRPr="002B5BBB" w:rsidRDefault="00E240C8" w:rsidP="00E240C8">
      <w:pPr>
        <w:pStyle w:val="Heading1"/>
        <w:numPr>
          <w:ilvl w:val="0"/>
          <w:numId w:val="2"/>
        </w:numPr>
        <w:ind w:left="360"/>
        <w:textAlignment w:val="auto"/>
        <w:rPr>
          <w:sz w:val="32"/>
        </w:rPr>
      </w:pPr>
      <w:r w:rsidRPr="002B5BBB">
        <w:rPr>
          <w:sz w:val="32"/>
        </w:rPr>
        <w:t>Introduction</w:t>
      </w:r>
    </w:p>
    <w:p w:rsidR="00E240C8" w:rsidRPr="007920F7" w:rsidRDefault="00E240C8" w:rsidP="00E240C8">
      <w:pPr>
        <w:spacing w:before="240"/>
        <w:jc w:val="both"/>
        <w:rPr>
          <w:sz w:val="22"/>
          <w:szCs w:val="22"/>
        </w:rPr>
      </w:pPr>
      <w:r>
        <w:rPr>
          <w:sz w:val="22"/>
          <w:szCs w:val="22"/>
        </w:rPr>
        <w:t>In this contribution, we discuss aspects related to defining soft buffer requirements in NR and some related aspects which were discussed in the email discussion topic [88b-14].</w:t>
      </w:r>
      <w:r w:rsidRPr="007920F7">
        <w:rPr>
          <w:sz w:val="22"/>
          <w:szCs w:val="22"/>
        </w:rPr>
        <w:t xml:space="preserve"> </w:t>
      </w:r>
    </w:p>
    <w:p w:rsidR="00E240C8" w:rsidRPr="007920F7" w:rsidRDefault="00E240C8" w:rsidP="00E240C8">
      <w:pPr>
        <w:keepNext/>
        <w:keepLines/>
        <w:numPr>
          <w:ilvl w:val="0"/>
          <w:numId w:val="2"/>
        </w:numPr>
        <w:pBdr>
          <w:top w:val="single" w:sz="12" w:space="3" w:color="auto"/>
        </w:pBdr>
        <w:spacing w:before="240"/>
        <w:ind w:left="360"/>
        <w:textAlignment w:val="auto"/>
        <w:outlineLvl w:val="0"/>
        <w:rPr>
          <w:rFonts w:ascii="Arial" w:hAnsi="Arial"/>
          <w:sz w:val="32"/>
          <w:lang w:val="en-GB"/>
        </w:rPr>
      </w:pPr>
      <w:r w:rsidRPr="007920F7">
        <w:rPr>
          <w:rFonts w:ascii="Arial" w:hAnsi="Arial"/>
          <w:sz w:val="32"/>
          <w:lang w:val="en-GB"/>
        </w:rPr>
        <w:t xml:space="preserve">Discussion on </w:t>
      </w:r>
      <w:r>
        <w:rPr>
          <w:rFonts w:ascii="Arial" w:hAnsi="Arial"/>
          <w:sz w:val="32"/>
          <w:lang w:val="en-GB"/>
        </w:rPr>
        <w:t>defining soft buffer requirements in NR</w:t>
      </w:r>
      <w:r w:rsidRPr="007920F7">
        <w:rPr>
          <w:rFonts w:ascii="Arial" w:hAnsi="Arial"/>
          <w:sz w:val="32"/>
          <w:lang w:val="en-GB"/>
        </w:rPr>
        <w:t xml:space="preserve"> </w:t>
      </w:r>
    </w:p>
    <w:p w:rsidR="00E240C8" w:rsidRPr="007920F7" w:rsidRDefault="00E240C8" w:rsidP="00E240C8">
      <w:pPr>
        <w:jc w:val="both"/>
        <w:rPr>
          <w:sz w:val="22"/>
          <w:szCs w:val="22"/>
        </w:rPr>
      </w:pPr>
      <w:r w:rsidRPr="007920F7">
        <w:rPr>
          <w:sz w:val="22"/>
          <w:szCs w:val="22"/>
        </w:rPr>
        <w:t xml:space="preserve">In LTE, a single numerology, slot duration, fixed processing time-budgets (or round-trip) and fixed UL-DL configurations (in case of TDD) were assumed to determine the number of HARQ processes, which yielded a single value for FDD (8) , and a fixed value for each of the TDD configurations (ranging from 4 to 15). The soft buffer for LTE was dimensioned based on factors such as fixed number of HARQ processes (i.e. 8), peak data rate (or max TBS bits per TTI), and soft buffer reduction techniques (i.e. LBRM). Then, the same soft buffer requirement was applied to cases where the actual number of HARQ processes is less than 8 (e.g. 4 for config-0) or for the case where the number of HARQ processes is larger (e.g. 10 for config-2, 15 for config-5). For latter cases, studies at the time showed that soft buffer overbooking techniques could be utilized to support same peak rate for larger number of HARQ processes while minimizing blocking. </w:t>
      </w:r>
    </w:p>
    <w:p w:rsidR="00E240C8" w:rsidRDefault="00E240C8" w:rsidP="00E240C8">
      <w:pPr>
        <w:jc w:val="both"/>
        <w:rPr>
          <w:sz w:val="22"/>
          <w:szCs w:val="22"/>
        </w:rPr>
      </w:pPr>
      <w:r>
        <w:rPr>
          <w:sz w:val="22"/>
          <w:szCs w:val="22"/>
        </w:rPr>
        <w:t>We think some of the same principles for defining soft buffer requirements from LTE can be re-applied, though in NR, there is a lot of configurability (e.g. numerology, processing time-budgets, UL and DL transmissions) compared to LTE, which needs to be properly accounted for. Our view is that the total soft buffer for a UE will impact the UE categorization and capability considerations; for example, a UE belonging to a particular category may offer only a certain amount of soft buffer irrespective of the configuration applicable (e.g. SCS, etc). In our view, therefore, the soft buffer should not be defined based on the maximum number of HARQ processes, rather it should be based on a suitable reference configuration(s) for the corresponding UE category, wherein such configurations can include assumptions on numerology, slot duration (assuming slot-based scheduling), achievable peak data rates for the assumed numerology, HARQ RTT, etc.</w:t>
      </w:r>
    </w:p>
    <w:p w:rsidR="00E240C8" w:rsidRDefault="00E240C8" w:rsidP="00E240C8">
      <w:pPr>
        <w:jc w:val="both"/>
        <w:rPr>
          <w:sz w:val="22"/>
          <w:szCs w:val="22"/>
        </w:rPr>
      </w:pPr>
      <w:r>
        <w:rPr>
          <w:sz w:val="22"/>
          <w:szCs w:val="22"/>
        </w:rPr>
        <w:t xml:space="preserve">For example, a processing time of two slots (at UE) </w:t>
      </w:r>
      <w:r w:rsidRPr="0014589F">
        <w:rPr>
          <w:sz w:val="22"/>
          <w:szCs w:val="22"/>
        </w:rPr>
        <w:t>with SCS</w:t>
      </w:r>
      <w:r>
        <w:rPr>
          <w:sz w:val="22"/>
          <w:szCs w:val="22"/>
        </w:rPr>
        <w:t xml:space="preserve"> </w:t>
      </w:r>
      <w:r w:rsidRPr="0014589F">
        <w:rPr>
          <w:sz w:val="22"/>
          <w:szCs w:val="22"/>
        </w:rPr>
        <w:t>30kHz</w:t>
      </w:r>
      <w:r>
        <w:rPr>
          <w:sz w:val="22"/>
          <w:szCs w:val="22"/>
        </w:rPr>
        <w:t xml:space="preserve">, and a peak TBS bits of 100,000 bits per TB, and two 2 TBs per slot of 0.5ms, and a 50% LBRM, yields four HARQ processes supporting a peak data rate of 400 Mbps, and a soft buffer of 1,200,000 locations (4 x 2 x 100,000 x 3 x 0.5). Now, if for the same SCS, due to gNB scheduling, if the UE has to support a maximum number of HARQ processes (e.g. 5 or 6) larger than the reference scenario (4 processes), then techniques such as overbooking should be allowed. Note this is an example to illustrate the concept of using a reference configuration for determining the soft buffer – the actual reference configurations (to be used for NR) may need further discussion in RAN1 and perhaps in overall UE category definition discussions. </w:t>
      </w:r>
    </w:p>
    <w:p w:rsidR="00E240C8" w:rsidRDefault="00E240C8" w:rsidP="00E240C8">
      <w:pPr>
        <w:jc w:val="both"/>
        <w:rPr>
          <w:sz w:val="22"/>
          <w:szCs w:val="22"/>
        </w:rPr>
      </w:pPr>
      <w:r>
        <w:rPr>
          <w:sz w:val="22"/>
          <w:szCs w:val="22"/>
        </w:rPr>
        <w:t xml:space="preserve">It is also noted that for some scenarios, there may be benefits in not utilizing the entire soft buffer at the UE, e.g. if UE is configured with smaller number of HARQ processes than the reference scenario, since the same rate-matching (e.g. for LDPC codeword) as reference scenario could potentially be used for other scenarios as well. </w:t>
      </w:r>
    </w:p>
    <w:p w:rsidR="00E240C8" w:rsidRDefault="00E240C8" w:rsidP="00E240C8">
      <w:pPr>
        <w:jc w:val="both"/>
        <w:rPr>
          <w:sz w:val="22"/>
          <w:szCs w:val="22"/>
        </w:rPr>
      </w:pPr>
      <w:r>
        <w:rPr>
          <w:sz w:val="22"/>
          <w:szCs w:val="22"/>
        </w:rPr>
        <w:t xml:space="preserve">HARQ buffers are only needed when the UE needs to perform combining of the multiple received transmissions to improve decoding performance. When the system is operating with appropriate target BLER and link adaptation techniques, the HARQ buffer may not be fully occupied at the UE. For efficient use of HARQ buffers at the UE, </w:t>
      </w:r>
      <w:r>
        <w:rPr>
          <w:sz w:val="22"/>
          <w:szCs w:val="22"/>
        </w:rPr>
        <w:lastRenderedPageBreak/>
        <w:t xml:space="preserve">pooling the HARQ buffers (e.g. among all component carriers in carrier aggregation) may simplify UE implementation. This would also allow the network to cope with varying loads of component carrier and allow flexible utilization of resources by shifting HARQ resources of one UE from one component carrier to another dynamically. Providing flexibility on the UE side to manage its HARQ buffer efficiently can lead to simplified and scalable design rather than specifying hard buffer splits that can complicate UE implementations. As such, overbooking techniques should be allowed on the UE side. </w:t>
      </w:r>
    </w:p>
    <w:p w:rsidR="00E240C8" w:rsidRDefault="00E240C8" w:rsidP="00E240C8">
      <w:pPr>
        <w:jc w:val="both"/>
        <w:rPr>
          <w:sz w:val="22"/>
          <w:szCs w:val="22"/>
        </w:rPr>
      </w:pPr>
      <w:r w:rsidRPr="003740D8">
        <w:rPr>
          <w:sz w:val="22"/>
          <w:szCs w:val="22"/>
        </w:rPr>
        <w:t xml:space="preserve">The soft buffer size for different UE categories </w:t>
      </w:r>
      <w:r>
        <w:rPr>
          <w:sz w:val="22"/>
          <w:szCs w:val="22"/>
        </w:rPr>
        <w:t>should be</w:t>
      </w:r>
      <w:r w:rsidRPr="003740D8">
        <w:rPr>
          <w:sz w:val="22"/>
          <w:szCs w:val="22"/>
        </w:rPr>
        <w:t xml:space="preserve"> independent of the number of HARQ processes and at least </w:t>
      </w:r>
      <w:r>
        <w:rPr>
          <w:sz w:val="22"/>
          <w:szCs w:val="22"/>
        </w:rPr>
        <w:t xml:space="preserve">shall </w:t>
      </w:r>
      <w:r w:rsidRPr="003740D8">
        <w:rPr>
          <w:sz w:val="22"/>
          <w:szCs w:val="22"/>
        </w:rPr>
        <w:t xml:space="preserve">not dimensioned based on the maximum number of HARQ processes. If the gNodeB </w:t>
      </w:r>
      <w:r>
        <w:rPr>
          <w:sz w:val="22"/>
          <w:szCs w:val="22"/>
        </w:rPr>
        <w:t>scheduler chooses to operate</w:t>
      </w:r>
      <w:r w:rsidRPr="003740D8">
        <w:rPr>
          <w:sz w:val="22"/>
          <w:szCs w:val="22"/>
        </w:rPr>
        <w:t xml:space="preserve"> </w:t>
      </w:r>
      <w:r>
        <w:rPr>
          <w:sz w:val="22"/>
          <w:szCs w:val="22"/>
        </w:rPr>
        <w:t xml:space="preserve">with </w:t>
      </w:r>
      <w:r w:rsidRPr="003740D8">
        <w:rPr>
          <w:sz w:val="22"/>
          <w:szCs w:val="22"/>
        </w:rPr>
        <w:t xml:space="preserve">more </w:t>
      </w:r>
      <w:r>
        <w:rPr>
          <w:sz w:val="22"/>
          <w:szCs w:val="22"/>
        </w:rPr>
        <w:t xml:space="preserve">HARQ </w:t>
      </w:r>
      <w:r w:rsidRPr="003740D8">
        <w:rPr>
          <w:sz w:val="22"/>
          <w:szCs w:val="22"/>
        </w:rPr>
        <w:t xml:space="preserve">processes, the UE </w:t>
      </w:r>
      <w:r>
        <w:rPr>
          <w:sz w:val="22"/>
          <w:szCs w:val="22"/>
        </w:rPr>
        <w:t xml:space="preserve">shall not expected to </w:t>
      </w:r>
      <w:r w:rsidRPr="003740D8">
        <w:rPr>
          <w:sz w:val="22"/>
          <w:szCs w:val="22"/>
        </w:rPr>
        <w:t>buffer all the soft bits in case of a negative acknowledgement</w:t>
      </w:r>
      <w:r>
        <w:rPr>
          <w:sz w:val="22"/>
          <w:szCs w:val="22"/>
        </w:rPr>
        <w:t>(s)</w:t>
      </w:r>
      <w:r w:rsidRPr="003740D8">
        <w:rPr>
          <w:sz w:val="22"/>
          <w:szCs w:val="22"/>
        </w:rPr>
        <w:t>.</w:t>
      </w:r>
    </w:p>
    <w:p w:rsidR="00E240C8" w:rsidRDefault="00E240C8" w:rsidP="00E240C8">
      <w:pPr>
        <w:jc w:val="both"/>
        <w:rPr>
          <w:sz w:val="22"/>
          <w:szCs w:val="22"/>
        </w:rPr>
      </w:pPr>
      <w:r>
        <w:rPr>
          <w:sz w:val="22"/>
          <w:szCs w:val="22"/>
        </w:rPr>
        <w:t xml:space="preserve">As soft buffer memory management should be left to UE implementation, the network may require some information from the UE that would allow the network to intelligently determine scheduling decisions, e.g. transmission timing, HARQ-ACK timing, redundancy version, etc. For this purpose, we should investigate further into UE reporting of HARQ buffer loading status or similar information. </w:t>
      </w:r>
    </w:p>
    <w:p w:rsidR="00E240C8" w:rsidRDefault="00E240C8" w:rsidP="00E240C8">
      <w:pPr>
        <w:ind w:firstLine="284"/>
        <w:jc w:val="both"/>
        <w:rPr>
          <w:b/>
          <w:i/>
          <w:sz w:val="22"/>
          <w:szCs w:val="22"/>
        </w:rPr>
      </w:pPr>
      <w:r>
        <w:rPr>
          <w:b/>
          <w:i/>
          <w:sz w:val="22"/>
          <w:szCs w:val="22"/>
        </w:rPr>
        <w:t>Proposal:</w:t>
      </w:r>
    </w:p>
    <w:p w:rsidR="00E240C8" w:rsidRDefault="00E240C8" w:rsidP="00E240C8">
      <w:pPr>
        <w:numPr>
          <w:ilvl w:val="0"/>
          <w:numId w:val="1"/>
        </w:numPr>
        <w:jc w:val="both"/>
        <w:textAlignment w:val="auto"/>
        <w:rPr>
          <w:i/>
          <w:sz w:val="22"/>
          <w:szCs w:val="22"/>
        </w:rPr>
      </w:pPr>
      <w:r>
        <w:rPr>
          <w:i/>
          <w:sz w:val="22"/>
          <w:szCs w:val="22"/>
        </w:rPr>
        <w:t>Soft buffer requirements</w:t>
      </w:r>
      <w:r w:rsidRPr="003740D8">
        <w:rPr>
          <w:i/>
          <w:sz w:val="22"/>
          <w:szCs w:val="22"/>
        </w:rPr>
        <w:t xml:space="preserve"> should be guided primarily by UE categories and capabilities based on suitable selection of reference configuration (SCS, slot duration (assuming slot-based scheduling), achievable peak data rates, HARQ RTT, etc.) that is determined independent of the maximum number of addressable HARQ processes.</w:t>
      </w:r>
    </w:p>
    <w:p w:rsidR="00E240C8" w:rsidRDefault="00E240C8" w:rsidP="00E240C8">
      <w:pPr>
        <w:numPr>
          <w:ilvl w:val="0"/>
          <w:numId w:val="1"/>
        </w:numPr>
        <w:jc w:val="both"/>
        <w:textAlignment w:val="auto"/>
        <w:rPr>
          <w:i/>
          <w:sz w:val="22"/>
          <w:szCs w:val="22"/>
        </w:rPr>
      </w:pPr>
      <w:r>
        <w:rPr>
          <w:i/>
          <w:sz w:val="22"/>
          <w:szCs w:val="22"/>
        </w:rPr>
        <w:t xml:space="preserve">NR should support dynamic pooling of HARQ buffer across component carriers in carrier aggregation of NR carriers. </w:t>
      </w:r>
    </w:p>
    <w:p w:rsidR="00E240C8" w:rsidRPr="002B5BBB" w:rsidRDefault="00E240C8" w:rsidP="00E240C8">
      <w:pPr>
        <w:numPr>
          <w:ilvl w:val="0"/>
          <w:numId w:val="1"/>
        </w:numPr>
        <w:jc w:val="both"/>
        <w:textAlignment w:val="auto"/>
        <w:rPr>
          <w:i/>
          <w:sz w:val="22"/>
          <w:szCs w:val="22"/>
        </w:rPr>
      </w:pPr>
      <w:r w:rsidRPr="002B5BBB">
        <w:rPr>
          <w:i/>
          <w:sz w:val="22"/>
          <w:szCs w:val="22"/>
        </w:rPr>
        <w:t xml:space="preserve">Soft buffer management for NR </w:t>
      </w:r>
      <w:r>
        <w:rPr>
          <w:i/>
          <w:sz w:val="22"/>
          <w:szCs w:val="22"/>
        </w:rPr>
        <w:t>should</w:t>
      </w:r>
      <w:r w:rsidRPr="002B5BBB">
        <w:rPr>
          <w:i/>
          <w:sz w:val="22"/>
          <w:szCs w:val="22"/>
        </w:rPr>
        <w:t xml:space="preserve"> left up to UE implementation</w:t>
      </w:r>
      <w:r>
        <w:rPr>
          <w:i/>
          <w:sz w:val="22"/>
          <w:szCs w:val="22"/>
        </w:rPr>
        <w:t xml:space="preserve"> to allow some flexibility </w:t>
      </w:r>
    </w:p>
    <w:p w:rsidR="00E240C8" w:rsidRDefault="00E240C8" w:rsidP="00E240C8">
      <w:pPr>
        <w:numPr>
          <w:ilvl w:val="0"/>
          <w:numId w:val="1"/>
        </w:numPr>
        <w:jc w:val="both"/>
        <w:textAlignment w:val="auto"/>
        <w:rPr>
          <w:i/>
          <w:sz w:val="22"/>
          <w:szCs w:val="22"/>
        </w:rPr>
      </w:pPr>
      <w:r>
        <w:rPr>
          <w:i/>
          <w:sz w:val="22"/>
          <w:szCs w:val="22"/>
        </w:rPr>
        <w:t>NR supports HARQ buffer loading status reporting from the UE</w:t>
      </w:r>
    </w:p>
    <w:p w:rsidR="00E240C8" w:rsidRPr="000349E0" w:rsidRDefault="00E240C8" w:rsidP="00E240C8">
      <w:pPr>
        <w:pStyle w:val="Heading1"/>
        <w:numPr>
          <w:ilvl w:val="0"/>
          <w:numId w:val="2"/>
        </w:numPr>
        <w:ind w:left="360"/>
        <w:textAlignment w:val="auto"/>
        <w:rPr>
          <w:sz w:val="32"/>
        </w:rPr>
      </w:pPr>
      <w:r w:rsidRPr="000349E0">
        <w:rPr>
          <w:sz w:val="32"/>
        </w:rPr>
        <w:t>Summary</w:t>
      </w:r>
    </w:p>
    <w:p w:rsidR="00E240C8" w:rsidRDefault="00E240C8" w:rsidP="00E240C8">
      <w:pPr>
        <w:spacing w:before="240"/>
        <w:jc w:val="both"/>
        <w:rPr>
          <w:sz w:val="22"/>
          <w:szCs w:val="22"/>
        </w:rPr>
      </w:pPr>
      <w:r>
        <w:rPr>
          <w:sz w:val="22"/>
          <w:szCs w:val="22"/>
        </w:rPr>
        <w:t>This document presented our views on defining soft buffer requirements in NR. The following is a summary of our proposals in this contribution.</w:t>
      </w:r>
    </w:p>
    <w:p w:rsidR="00E240C8" w:rsidRDefault="00E240C8" w:rsidP="00E240C8">
      <w:pPr>
        <w:ind w:firstLine="284"/>
        <w:jc w:val="both"/>
        <w:rPr>
          <w:b/>
          <w:i/>
          <w:sz w:val="22"/>
          <w:szCs w:val="22"/>
        </w:rPr>
      </w:pPr>
      <w:r>
        <w:rPr>
          <w:b/>
          <w:i/>
          <w:sz w:val="22"/>
          <w:szCs w:val="22"/>
        </w:rPr>
        <w:t>Proposals:</w:t>
      </w:r>
    </w:p>
    <w:p w:rsidR="00E240C8" w:rsidRDefault="00E240C8" w:rsidP="00E240C8">
      <w:pPr>
        <w:numPr>
          <w:ilvl w:val="0"/>
          <w:numId w:val="1"/>
        </w:numPr>
        <w:jc w:val="both"/>
        <w:textAlignment w:val="auto"/>
        <w:rPr>
          <w:i/>
          <w:sz w:val="22"/>
          <w:szCs w:val="22"/>
        </w:rPr>
      </w:pPr>
      <w:r>
        <w:rPr>
          <w:i/>
          <w:sz w:val="22"/>
          <w:szCs w:val="22"/>
        </w:rPr>
        <w:t>Soft buffer requirements</w:t>
      </w:r>
      <w:r w:rsidRPr="003740D8">
        <w:rPr>
          <w:i/>
          <w:sz w:val="22"/>
          <w:szCs w:val="22"/>
        </w:rPr>
        <w:t xml:space="preserve"> should be guided primarily by UE categories and capabilities based on suitable selection of reference configuration (SCS, slot duration (assuming slot-based scheduling), achievable peak data rates, HARQ RTT, etc.) that is determined independent of the maximum number of addressable HARQ processes.</w:t>
      </w:r>
    </w:p>
    <w:p w:rsidR="00E240C8" w:rsidRDefault="00E240C8" w:rsidP="00E240C8">
      <w:pPr>
        <w:numPr>
          <w:ilvl w:val="0"/>
          <w:numId w:val="1"/>
        </w:numPr>
        <w:jc w:val="both"/>
        <w:textAlignment w:val="auto"/>
        <w:rPr>
          <w:i/>
          <w:sz w:val="22"/>
          <w:szCs w:val="22"/>
        </w:rPr>
      </w:pPr>
      <w:r>
        <w:rPr>
          <w:i/>
          <w:sz w:val="22"/>
          <w:szCs w:val="22"/>
        </w:rPr>
        <w:t xml:space="preserve">NR should support dynamic pooling of HARQ buffer across component carriers in carrier aggregation of NR carriers. </w:t>
      </w:r>
    </w:p>
    <w:p w:rsidR="00E240C8" w:rsidRPr="002B5BBB" w:rsidRDefault="00E240C8" w:rsidP="00E240C8">
      <w:pPr>
        <w:numPr>
          <w:ilvl w:val="0"/>
          <w:numId w:val="1"/>
        </w:numPr>
        <w:jc w:val="both"/>
        <w:textAlignment w:val="auto"/>
        <w:rPr>
          <w:i/>
          <w:sz w:val="22"/>
          <w:szCs w:val="22"/>
        </w:rPr>
      </w:pPr>
      <w:r w:rsidRPr="002B5BBB">
        <w:rPr>
          <w:i/>
          <w:sz w:val="22"/>
          <w:szCs w:val="22"/>
        </w:rPr>
        <w:t xml:space="preserve">Soft buffer management for NR </w:t>
      </w:r>
      <w:r>
        <w:rPr>
          <w:i/>
          <w:sz w:val="22"/>
          <w:szCs w:val="22"/>
        </w:rPr>
        <w:t>should</w:t>
      </w:r>
      <w:r w:rsidRPr="002B5BBB">
        <w:rPr>
          <w:i/>
          <w:sz w:val="22"/>
          <w:szCs w:val="22"/>
        </w:rPr>
        <w:t xml:space="preserve"> left up to UE implementation</w:t>
      </w:r>
      <w:r>
        <w:rPr>
          <w:i/>
          <w:sz w:val="22"/>
          <w:szCs w:val="22"/>
        </w:rPr>
        <w:t xml:space="preserve"> to allow some flexibility </w:t>
      </w:r>
    </w:p>
    <w:p w:rsidR="00E240C8" w:rsidRDefault="00E240C8" w:rsidP="00E240C8">
      <w:pPr>
        <w:numPr>
          <w:ilvl w:val="0"/>
          <w:numId w:val="1"/>
        </w:numPr>
        <w:jc w:val="both"/>
        <w:textAlignment w:val="auto"/>
        <w:rPr>
          <w:i/>
          <w:sz w:val="22"/>
          <w:szCs w:val="22"/>
        </w:rPr>
      </w:pPr>
      <w:r>
        <w:rPr>
          <w:i/>
          <w:sz w:val="22"/>
          <w:szCs w:val="22"/>
        </w:rPr>
        <w:t>NR supports HARQ buffer loading status reporting from the UE</w:t>
      </w:r>
    </w:p>
    <w:p w:rsidR="00E240C8" w:rsidRPr="000349E0" w:rsidRDefault="00E240C8" w:rsidP="00E240C8">
      <w:pPr>
        <w:pStyle w:val="Heading1"/>
        <w:numPr>
          <w:ilvl w:val="0"/>
          <w:numId w:val="2"/>
        </w:numPr>
        <w:ind w:left="360"/>
        <w:textAlignment w:val="auto"/>
        <w:rPr>
          <w:sz w:val="32"/>
        </w:rPr>
      </w:pPr>
      <w:r>
        <w:rPr>
          <w:sz w:val="32"/>
        </w:rPr>
        <w:t>Reference</w:t>
      </w:r>
    </w:p>
    <w:p w:rsidR="002F3778" w:rsidRDefault="00E240C8">
      <w:r>
        <w:t xml:space="preserve">[1] R1-1707409, Intel, </w:t>
      </w:r>
      <w:r w:rsidRPr="009B0AFB">
        <w:t>On number of HARQ processes in NR, RAN1#89, May 2017</w:t>
      </w:r>
      <w:bookmarkStart w:id="1" w:name="_GoBack"/>
      <w:bookmarkEnd w:id="1"/>
    </w:p>
    <w:sectPr w:rsidR="002F3778" w:rsidSect="00AC7C34">
      <w:headerReference w:type="even" r:id="rId5"/>
      <w:footerReference w:type="even" r:id="rId6"/>
      <w:footerReference w:type="default" r:id="rId7"/>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E240C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1826" w:rsidRDefault="00E240C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E240C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826" w:rsidRDefault="00E240C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588401BC"/>
    <w:multiLevelType w:val="hybridMultilevel"/>
    <w:tmpl w:val="5054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0C8"/>
    <w:rsid w:val="002F3778"/>
    <w:rsid w:val="00CF1D54"/>
    <w:rsid w:val="00E240C8"/>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ADA582-689F-416E-B252-95B256B6A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0C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E240C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240C8"/>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E240C8"/>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E240C8"/>
    <w:rPr>
      <w:rFonts w:ascii="Arial" w:eastAsia="SimSun" w:hAnsi="Arial" w:cs="Times New Roman"/>
      <w:b/>
      <w:i/>
      <w:noProof/>
      <w:sz w:val="18"/>
      <w:szCs w:val="20"/>
    </w:rPr>
  </w:style>
  <w:style w:type="character" w:styleId="PageNumber">
    <w:name w:val="page number"/>
    <w:basedOn w:val="DefaultParagraphFont"/>
    <w:rsid w:val="00E240C8"/>
  </w:style>
  <w:style w:type="character" w:customStyle="1" w:styleId="Heading1Char1">
    <w:name w:val="Heading 1 Char1"/>
    <w:link w:val="Heading1"/>
    <w:rsid w:val="00E240C8"/>
    <w:rPr>
      <w:rFonts w:ascii="Arial" w:eastAsia="SimSun" w:hAnsi="Arial" w:cs="Times New Roman"/>
      <w:sz w:val="36"/>
      <w:szCs w:val="20"/>
      <w:lang w:val="en-GB"/>
    </w:rPr>
  </w:style>
  <w:style w:type="paragraph" w:styleId="Header">
    <w:name w:val="header"/>
    <w:basedOn w:val="Normal"/>
    <w:link w:val="HeaderChar"/>
    <w:uiPriority w:val="99"/>
    <w:semiHidden/>
    <w:unhideWhenUsed/>
    <w:rsid w:val="00E240C8"/>
    <w:pPr>
      <w:tabs>
        <w:tab w:val="center" w:pos="4680"/>
        <w:tab w:val="right" w:pos="9360"/>
      </w:tabs>
      <w:spacing w:after="0"/>
    </w:pPr>
  </w:style>
  <w:style w:type="character" w:customStyle="1" w:styleId="HeaderChar">
    <w:name w:val="Header Char"/>
    <w:basedOn w:val="DefaultParagraphFont"/>
    <w:link w:val="Header"/>
    <w:uiPriority w:val="99"/>
    <w:semiHidden/>
    <w:rsid w:val="00E240C8"/>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2017-05-06T15:46:00Z</dcterms:created>
  <dcterms:modified xsi:type="dcterms:W3CDTF">2017-05-06T15:47:00Z</dcterms:modified>
</cp:coreProperties>
</file>