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F4A" w:rsidRPr="00A81622" w:rsidRDefault="00560F4A" w:rsidP="00560F4A">
      <w:pPr>
        <w:rPr>
          <w:rFonts w:asciiTheme="majorHAnsi" w:hAnsiTheme="majorHAnsi" w:cstheme="majorHAnsi"/>
          <w:b/>
        </w:rPr>
      </w:pPr>
      <w:r w:rsidRPr="00A81622">
        <w:rPr>
          <w:rFonts w:asciiTheme="majorHAnsi" w:hAnsiTheme="majorHAnsi" w:cstheme="majorHAnsi"/>
          <w:b/>
        </w:rPr>
        <w:t xml:space="preserve">3GPP TSG-RAN WG1 </w:t>
      </w:r>
      <w:r>
        <w:rPr>
          <w:rFonts w:asciiTheme="majorHAnsi" w:hAnsiTheme="majorHAnsi" w:cstheme="majorHAnsi"/>
          <w:b/>
        </w:rPr>
        <w:t>#88</w:t>
      </w:r>
      <w:r w:rsidRPr="00A81622">
        <w:rPr>
          <w:rFonts w:asciiTheme="majorHAnsi" w:hAnsiTheme="majorHAnsi" w:cstheme="majorHAnsi"/>
          <w:b/>
        </w:rPr>
        <w:tab/>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hAnsiTheme="majorHAnsi" w:cstheme="majorHAnsi"/>
          <w:b/>
        </w:rPr>
        <w:t xml:space="preserve">      </w:t>
      </w:r>
      <w:r w:rsidRPr="00A81622">
        <w:rPr>
          <w:rFonts w:asciiTheme="majorHAnsi" w:hAnsiTheme="majorHAnsi" w:cstheme="majorHAnsi"/>
          <w:b/>
        </w:rPr>
        <w:tab/>
      </w:r>
      <w:r>
        <w:rPr>
          <w:rFonts w:asciiTheme="majorHAnsi" w:hAnsiTheme="majorHAnsi" w:cstheme="majorHAnsi"/>
          <w:b/>
        </w:rPr>
        <w:tab/>
      </w:r>
      <w:r w:rsidRPr="00A81622">
        <w:rPr>
          <w:rFonts w:asciiTheme="majorHAnsi" w:hAnsiTheme="majorHAnsi" w:cstheme="majorHAnsi"/>
          <w:b/>
        </w:rPr>
        <w:t xml:space="preserve">                  </w:t>
      </w:r>
      <w:r w:rsidRPr="008457F2">
        <w:rPr>
          <w:rFonts w:asciiTheme="majorHAnsi" w:hAnsiTheme="majorHAnsi" w:cstheme="majorHAnsi"/>
          <w:b/>
        </w:rPr>
        <w:t>R1-170</w:t>
      </w:r>
      <w:r>
        <w:rPr>
          <w:rFonts w:asciiTheme="majorHAnsi" w:hAnsiTheme="majorHAnsi" w:cstheme="majorHAnsi"/>
          <w:b/>
        </w:rPr>
        <w:t>3215</w:t>
      </w:r>
    </w:p>
    <w:p w:rsidR="00560F4A" w:rsidRPr="00A81622" w:rsidRDefault="00560F4A" w:rsidP="00560F4A">
      <w:pPr>
        <w:rPr>
          <w:rFonts w:asciiTheme="majorHAnsi" w:eastAsia="MS Mincho" w:hAnsiTheme="majorHAnsi" w:cstheme="majorHAnsi"/>
          <w:b/>
          <w:bCs/>
          <w:sz w:val="28"/>
        </w:rPr>
      </w:pPr>
      <w:r>
        <w:rPr>
          <w:rFonts w:asciiTheme="majorHAnsi" w:hAnsiTheme="majorHAnsi" w:cstheme="majorHAnsi"/>
          <w:b/>
        </w:rPr>
        <w:t>Athens, Greece, February 13</w:t>
      </w:r>
      <w:r w:rsidRPr="008D4A7C">
        <w:rPr>
          <w:rFonts w:asciiTheme="majorHAnsi" w:hAnsiTheme="majorHAnsi" w:cstheme="majorHAnsi"/>
          <w:b/>
          <w:vertAlign w:val="superscript"/>
        </w:rPr>
        <w:t>th</w:t>
      </w:r>
      <w:r>
        <w:rPr>
          <w:rFonts w:asciiTheme="majorHAnsi" w:hAnsiTheme="majorHAnsi" w:cstheme="majorHAnsi"/>
          <w:b/>
        </w:rPr>
        <w:t>-17</w:t>
      </w:r>
      <w:r w:rsidRPr="008D4A7C">
        <w:rPr>
          <w:rFonts w:asciiTheme="majorHAnsi" w:hAnsiTheme="majorHAnsi" w:cstheme="majorHAnsi"/>
          <w:b/>
          <w:vertAlign w:val="superscript"/>
        </w:rPr>
        <w:t>th</w:t>
      </w:r>
      <w:r>
        <w:rPr>
          <w:rFonts w:asciiTheme="majorHAnsi" w:hAnsiTheme="majorHAnsi" w:cstheme="majorHAnsi"/>
          <w:b/>
        </w:rPr>
        <w:t xml:space="preserve"> </w:t>
      </w:r>
      <w:r w:rsidRPr="00A81622">
        <w:rPr>
          <w:rFonts w:asciiTheme="majorHAnsi" w:hAnsiTheme="majorHAnsi" w:cstheme="majorHAnsi"/>
          <w:b/>
        </w:rPr>
        <w:t>2017</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560F4A" w:rsidRPr="00560F4A">
        <w:rPr>
          <w:rFonts w:asciiTheme="majorHAnsi" w:eastAsia="MS Gothic" w:hAnsiTheme="majorHAnsi" w:cstheme="majorHAnsi"/>
          <w:noProof w:val="0"/>
          <w:sz w:val="24"/>
        </w:rPr>
        <w:t>On phase and frequency tracking for DFTsOFDM</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560F4A">
        <w:rPr>
          <w:rFonts w:asciiTheme="majorHAnsi" w:eastAsia="MS Gothic" w:hAnsiTheme="majorHAnsi" w:cstheme="majorHAnsi"/>
          <w:noProof w:val="0"/>
          <w:sz w:val="24"/>
        </w:rPr>
        <w:t>8.1.2.4.3</w:t>
      </w:r>
    </w:p>
    <w:p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rsidR="00357F61" w:rsidRDefault="00DD4444" w:rsidP="00A81622">
      <w:pPr>
        <w:pStyle w:val="Titre1"/>
      </w:pPr>
      <w:r w:rsidRPr="00055E47">
        <w:t>Introduction</w:t>
      </w:r>
    </w:p>
    <w:p w:rsidR="00A81622" w:rsidRPr="00A81622" w:rsidRDefault="00A55BDF" w:rsidP="00A81622">
      <w:r>
        <w:t>At the last RAN1 NR AH meeting</w:t>
      </w:r>
      <w:r w:rsidR="002B4B53">
        <w:t xml:space="preserve"> </w:t>
      </w:r>
      <w:r w:rsidR="002B4B53">
        <w:fldChar w:fldCharType="begin"/>
      </w:r>
      <w:r w:rsidR="002B4B53">
        <w:instrText xml:space="preserve"> REF _Ref468983446 \r \h </w:instrText>
      </w:r>
      <w:r w:rsidR="002B4B53">
        <w:fldChar w:fldCharType="separate"/>
      </w:r>
      <w:r w:rsidR="00F256E1">
        <w:t>[1]</w:t>
      </w:r>
      <w:r w:rsidR="002B4B53">
        <w:fldChar w:fldCharType="end"/>
      </w:r>
      <w:r w:rsidR="00A81622">
        <w:t>, it was decided that:</w:t>
      </w:r>
    </w:p>
    <w:p w:rsidR="00A55BDF" w:rsidRPr="00A55BDF" w:rsidRDefault="00A55BDF" w:rsidP="00A55BDF">
      <w:pPr>
        <w:numPr>
          <w:ilvl w:val="0"/>
          <w:numId w:val="30"/>
        </w:numPr>
        <w:spacing w:after="0"/>
        <w:jc w:val="left"/>
        <w:rPr>
          <w:rFonts w:eastAsia="MS Mincho"/>
          <w:i/>
        </w:rPr>
      </w:pPr>
      <w:r w:rsidRPr="00A55BDF">
        <w:rPr>
          <w:rFonts w:eastAsia="MS Mincho"/>
          <w:bCs/>
          <w:i/>
        </w:rPr>
        <w:t>NR considers frequency offset and PN compensation for DFTsOFDM</w:t>
      </w:r>
    </w:p>
    <w:p w:rsidR="00A55BDF" w:rsidRPr="00A55BDF" w:rsidRDefault="00A55BDF" w:rsidP="00A55BDF">
      <w:pPr>
        <w:numPr>
          <w:ilvl w:val="1"/>
          <w:numId w:val="30"/>
        </w:numPr>
        <w:spacing w:after="0"/>
        <w:jc w:val="left"/>
        <w:rPr>
          <w:rFonts w:eastAsia="MS Mincho"/>
          <w:i/>
        </w:rPr>
      </w:pPr>
      <w:r w:rsidRPr="00A55BDF">
        <w:rPr>
          <w:rFonts w:eastAsia="MS Mincho"/>
          <w:bCs/>
          <w:i/>
        </w:rPr>
        <w:t>FFS the exact method (e.g. pre-DFT /post-DFT insertion of PT-RS, blind detection, DM-RS)</w:t>
      </w:r>
    </w:p>
    <w:p w:rsidR="00A55BDF" w:rsidRPr="00A55BDF" w:rsidRDefault="00A55BDF" w:rsidP="00A55BDF">
      <w:pPr>
        <w:numPr>
          <w:ilvl w:val="1"/>
          <w:numId w:val="30"/>
        </w:numPr>
        <w:spacing w:after="0"/>
        <w:jc w:val="left"/>
        <w:rPr>
          <w:rFonts w:eastAsia="MS Mincho"/>
          <w:i/>
        </w:rPr>
      </w:pPr>
      <w:r w:rsidRPr="00A55BDF">
        <w:rPr>
          <w:rFonts w:eastAsia="MS Mincho"/>
          <w:bCs/>
          <w:i/>
        </w:rPr>
        <w:t>Consider receiver complexity, PAPR,</w:t>
      </w:r>
      <w:r w:rsidRPr="00A55BDF">
        <w:rPr>
          <w:rFonts w:eastAsia="MS Mincho" w:hint="eastAsia"/>
          <w:bCs/>
          <w:i/>
        </w:rPr>
        <w:t xml:space="preserve"> modulation order to be supported,</w:t>
      </w:r>
      <w:r w:rsidRPr="00A55BDF">
        <w:rPr>
          <w:rFonts w:eastAsia="MS Mincho"/>
          <w:bCs/>
          <w:i/>
        </w:rPr>
        <w:t xml:space="preserve"> etc</w:t>
      </w:r>
      <w:r w:rsidRPr="00A55BDF">
        <w:rPr>
          <w:rFonts w:eastAsia="MS Mincho"/>
          <w:b/>
          <w:bCs/>
          <w:i/>
        </w:rPr>
        <w:t xml:space="preserve"> </w:t>
      </w:r>
    </w:p>
    <w:p w:rsidR="00A81622" w:rsidRDefault="00A81622" w:rsidP="00A81622">
      <w:pPr>
        <w:ind w:left="720"/>
      </w:pPr>
    </w:p>
    <w:p w:rsidR="002B4B53" w:rsidRDefault="002B4B53" w:rsidP="00A81622">
      <w:pPr>
        <w:pBdr>
          <w:bottom w:val="single" w:sz="12" w:space="1" w:color="auto"/>
        </w:pBdr>
        <w:rPr>
          <w:rFonts w:eastAsia="MS Mincho"/>
          <w:iCs/>
          <w:szCs w:val="20"/>
        </w:rPr>
      </w:pPr>
      <w:r>
        <w:rPr>
          <w:rFonts w:eastAsia="MS Mincho"/>
          <w:iCs/>
          <w:szCs w:val="20"/>
        </w:rPr>
        <w:t xml:space="preserve">In this contribution, </w:t>
      </w:r>
      <w:r w:rsidR="00A55BDF">
        <w:rPr>
          <w:rFonts w:eastAsia="MS Mincho"/>
          <w:iCs/>
          <w:szCs w:val="20"/>
        </w:rPr>
        <w:t>we give our view on phase and frequency tracking for</w:t>
      </w:r>
      <w:r w:rsidR="008D02CE">
        <w:rPr>
          <w:rFonts w:eastAsia="MS Mincho"/>
          <w:iCs/>
          <w:szCs w:val="20"/>
        </w:rPr>
        <w:t xml:space="preserve"> </w:t>
      </w:r>
      <w:r>
        <w:rPr>
          <w:rFonts w:eastAsia="MS Mincho"/>
          <w:iCs/>
          <w:szCs w:val="20"/>
        </w:rPr>
        <w:t>DFTsOFDM.</w:t>
      </w:r>
    </w:p>
    <w:p w:rsidR="00A81622" w:rsidRDefault="00A81622" w:rsidP="00A81622">
      <w:pPr>
        <w:pBdr>
          <w:bottom w:val="single" w:sz="12" w:space="1" w:color="auto"/>
        </w:pBdr>
      </w:pPr>
    </w:p>
    <w:p w:rsidR="00EA0674" w:rsidRDefault="008D02CE" w:rsidP="00A81622">
      <w:pPr>
        <w:pStyle w:val="Titre1"/>
      </w:pPr>
      <w:r>
        <w:t>Discussion</w:t>
      </w:r>
    </w:p>
    <w:p w:rsidR="00842246" w:rsidRDefault="00A55BDF" w:rsidP="00A81622">
      <w:r>
        <w:t xml:space="preserve">Phase variations in the time domain can be caused by different phenomena: the presence of phase noise, frequency drifts due to Doppler shift or to insufficient frequency synchronization, etc. All these effects translate into a phase variations experienced in the time domain and need compensation. </w:t>
      </w:r>
    </w:p>
    <w:p w:rsidR="00A55BDF" w:rsidRDefault="00A55BDF" w:rsidP="00A81622">
      <w:r>
        <w:t>When mild, these effects can be abs</w:t>
      </w:r>
      <w:r w:rsidR="00842246">
        <w:t xml:space="preserve">orbed by the DM-RS in the channel estimation process. But when strong phase variations are present, more frequent support than the one provided by DM-RS is necessary in order to track the remaining variations at OFDM </w:t>
      </w:r>
      <w:r w:rsidR="00322C32">
        <w:t>symbol level. This is particularly crucial in scenarios with sparse DM-RS patterns (e.g. low speed, or long slots with front-loaded DM-RS), where important phase drifts can occur between the latest DM-RS position and the current symbol, irrespective of the employed waveform.</w:t>
      </w:r>
    </w:p>
    <w:p w:rsidR="00842246" w:rsidRDefault="005B3BEE" w:rsidP="00A81622">
      <w:r>
        <w:t xml:space="preserve">It is known for a long time in the literature that OFDM systems are more sensitive to phase noise than single-carrier systems </w:t>
      </w:r>
      <w:r>
        <w:fldChar w:fldCharType="begin"/>
      </w:r>
      <w:r>
        <w:instrText xml:space="preserve"> REF _Ref473909587 \r \h </w:instrText>
      </w:r>
      <w:r>
        <w:fldChar w:fldCharType="separate"/>
      </w:r>
      <w:r w:rsidR="00F256E1">
        <w:t>[2]</w:t>
      </w:r>
      <w:r>
        <w:fldChar w:fldCharType="end"/>
      </w:r>
      <w:r>
        <w:t xml:space="preserve">, and it is partly for this reason that systems subject to particularly challenging phase noise environments (like for example satellite systems) avoided using OFDM waveforms. Time domain effects are easier to monitor and compensate in the time domain. Time domain training sequences are known to be particularly effective for phase noise and carrier offset compensation </w:t>
      </w:r>
      <w:r>
        <w:fldChar w:fldCharType="begin"/>
      </w:r>
      <w:r>
        <w:instrText xml:space="preserve"> REF _Ref473909804 \r \h </w:instrText>
      </w:r>
      <w:r>
        <w:fldChar w:fldCharType="separate"/>
      </w:r>
      <w:r w:rsidR="00F256E1">
        <w:t>[3]</w:t>
      </w:r>
      <w:r>
        <w:fldChar w:fldCharType="end"/>
      </w:r>
      <w:r>
        <w:t>.</w:t>
      </w:r>
    </w:p>
    <w:p w:rsidR="00842246" w:rsidRDefault="005B3BEE" w:rsidP="00A81622">
      <w:r>
        <w:t>For DFTsOFDM, the insertion of time-domain training sequences can be easily be supported by pre-DFT training sequence insertion, for example PT-RS insertion together with data at the DFT input. This gives a better time domain resolution and means of tracking time domain phenomena than in the case of OFDM. Indeed, in OFDM, PT-RS inserted in the frequency domain are spread by the IDFT in the time domain, and only an observation with a minimum resolution of one OFDM symbol is possible.</w:t>
      </w:r>
    </w:p>
    <w:p w:rsidR="00842246" w:rsidRDefault="005B3BEE" w:rsidP="00A81622">
      <w:r>
        <w:t>With DFTsOFDM, specific precautions need to be taken in order not to break the PAPR property. Several means of achieving CFO and PN compensation were discussed at the last meeting:</w:t>
      </w:r>
    </w:p>
    <w:p w:rsidR="005B3BEE" w:rsidRDefault="005B3BEE" w:rsidP="005B3BEE">
      <w:pPr>
        <w:pStyle w:val="Paragraphedeliste"/>
        <w:numPr>
          <w:ilvl w:val="0"/>
          <w:numId w:val="31"/>
        </w:numPr>
        <w:ind w:leftChars="0"/>
      </w:pPr>
      <w:r>
        <w:t>Pre-DFT PT-RS insertion</w:t>
      </w:r>
    </w:p>
    <w:p w:rsidR="005B3BEE" w:rsidRDefault="005B3BEE" w:rsidP="005B3BEE">
      <w:pPr>
        <w:pStyle w:val="Paragraphedeliste"/>
        <w:numPr>
          <w:ilvl w:val="0"/>
          <w:numId w:val="31"/>
        </w:numPr>
        <w:ind w:leftChars="0"/>
      </w:pPr>
      <w:r>
        <w:t>Post-DFT PT-RS insertion</w:t>
      </w:r>
    </w:p>
    <w:p w:rsidR="005B3BEE" w:rsidRDefault="00966C93" w:rsidP="005B3BEE">
      <w:pPr>
        <w:pStyle w:val="Paragraphedeliste"/>
        <w:numPr>
          <w:ilvl w:val="0"/>
          <w:numId w:val="31"/>
        </w:numPr>
        <w:ind w:leftChars="0"/>
      </w:pPr>
      <w:r>
        <w:t>Blind detection</w:t>
      </w:r>
    </w:p>
    <w:p w:rsidR="00966C93" w:rsidRDefault="002C6837" w:rsidP="00966C93">
      <w:r>
        <w:t>For simplicity we refer to this RS as PT-RS, but it can serve as support for CFO compensation also, as explained here-above</w:t>
      </w:r>
    </w:p>
    <w:p w:rsidR="005B3BEE" w:rsidRDefault="005B3BEE" w:rsidP="005B3BEE">
      <w:pPr>
        <w:pStyle w:val="Titre2"/>
      </w:pPr>
      <w:r>
        <w:lastRenderedPageBreak/>
        <w:t>Pre-DFT PT-RS insertion</w:t>
      </w:r>
    </w:p>
    <w:p w:rsidR="002C6837" w:rsidRDefault="00F256E1" w:rsidP="00A81622">
      <w:r>
        <w:t xml:space="preserve">In order to keep the low PAPR property of DFTsOFDM, PT-RS </w:t>
      </w:r>
      <w:r>
        <w:t>(when configured) can be</w:t>
      </w:r>
      <w:r>
        <w:t xml:space="preserve"> inserted with the data at the DFT input.</w:t>
      </w:r>
      <w:r>
        <w:t xml:space="preserve"> </w:t>
      </w:r>
      <w:r w:rsidR="002C6837">
        <w:t>As long as the symbols of the PT-RS sequence do not have higher modulus than the data constellation symbols, the PAPR of the resulting signal is strictly the same between DFTsOFDM symbols carrying PT-RS and DFTsOFDM symbols carrying data only.</w:t>
      </w:r>
      <w:r>
        <w:t xml:space="preserve"> </w:t>
      </w:r>
      <w:r>
        <w:t xml:space="preserve">Pre-DFT PT-RS insertion yields good performance results </w:t>
      </w:r>
      <w:r>
        <w:t xml:space="preserve">without imposing any high complexity processing, </w:t>
      </w:r>
      <w:r>
        <w:t xml:space="preserve">as already shown in </w:t>
      </w:r>
      <w:r>
        <w:fldChar w:fldCharType="begin"/>
      </w:r>
      <w:r>
        <w:instrText xml:space="preserve"> REF _Ref473914288 \r \h </w:instrText>
      </w:r>
      <w:r>
        <w:fldChar w:fldCharType="separate"/>
      </w:r>
      <w:r>
        <w:t>[4]</w:t>
      </w:r>
      <w:r>
        <w:fldChar w:fldCharType="end"/>
      </w:r>
      <w:r>
        <w:t xml:space="preserve">. </w:t>
      </w:r>
    </w:p>
    <w:p w:rsidR="00E60969" w:rsidRDefault="00E60969" w:rsidP="00A81622">
      <w:bookmarkStart w:id="0" w:name="_GoBack"/>
      <w:bookmarkEnd w:id="0"/>
    </w:p>
    <w:p w:rsidR="009957C2" w:rsidRDefault="009957C2" w:rsidP="009957C2">
      <w:pPr>
        <w:pStyle w:val="Titre2"/>
      </w:pPr>
      <w:r>
        <w:t>Post-DFT PT-RS insertion</w:t>
      </w:r>
    </w:p>
    <w:p w:rsidR="009957C2" w:rsidRDefault="00D7591E" w:rsidP="009957C2">
      <w:r>
        <w:t>Post</w:t>
      </w:r>
      <w:r w:rsidR="009957C2">
        <w:t xml:space="preserve">-DFT PT-RS insertion can be </w:t>
      </w:r>
      <w:r>
        <w:t>a</w:t>
      </w:r>
      <w:r w:rsidR="009957C2">
        <w:t>chieved based on scheme</w:t>
      </w:r>
      <w:r>
        <w:t>s</w:t>
      </w:r>
      <w:r w:rsidR="009957C2">
        <w:t xml:space="preserve"> as depicted in </w:t>
      </w:r>
      <w:r>
        <w:fldChar w:fldCharType="begin"/>
      </w:r>
      <w:r>
        <w:instrText xml:space="preserve"> REF _Ref473913620 \h </w:instrText>
      </w:r>
      <w:r>
        <w:fldChar w:fldCharType="separate"/>
      </w:r>
      <w:r w:rsidR="00F256E1">
        <w:t xml:space="preserve">Figure </w:t>
      </w:r>
      <w:r w:rsidR="00F256E1">
        <w:rPr>
          <w:noProof/>
        </w:rPr>
        <w:t>1</w:t>
      </w:r>
      <w:r>
        <w:fldChar w:fldCharType="end"/>
      </w:r>
      <w:r>
        <w:t>. PT-RS can be inserted onto carriers non-occupied by data, or can puncture occupied subcarriers. From a complexity point of view, in the first case, DFTs of different sizes need to be implemented. In the second case, data puncturing leads to demodulation performance degradation.</w:t>
      </w:r>
    </w:p>
    <w:p w:rsidR="002C6837" w:rsidRDefault="00D7591E" w:rsidP="00A81622">
      <w:r>
        <w:t xml:space="preserve">Both insertion solutions lead to degraded PAPR. </w:t>
      </w:r>
    </w:p>
    <w:p w:rsidR="00C8008D" w:rsidRDefault="00D7591E" w:rsidP="00A81622">
      <w:r>
        <w:t>At the receiver side, CFO/PN compensation is conducted in the frequency domain, as in OFDM. Only an average observation is thus available for the DFTsOFDM symbols carrying PT-RS, less precise than in the case of pre-DFT PT-RS insertion.</w:t>
      </w:r>
    </w:p>
    <w:p w:rsidR="00C8008D" w:rsidRDefault="00C8008D" w:rsidP="00A81622"/>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8008D" w:rsidTr="00C8008D">
        <w:tc>
          <w:tcPr>
            <w:tcW w:w="4981" w:type="dxa"/>
          </w:tcPr>
          <w:p w:rsidR="00C8008D" w:rsidRDefault="00C8008D" w:rsidP="00A81622">
            <w:r>
              <w:rPr>
                <w:noProof/>
                <w:lang w:val="fr-FR" w:eastAsia="fr-FR"/>
              </w:rPr>
              <w:drawing>
                <wp:inline distT="0" distB="0" distL="0" distR="0">
                  <wp:extent cx="2926800" cy="1778400"/>
                  <wp:effectExtent l="0" t="0" r="698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ostDFTinser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26800" cy="1778400"/>
                          </a:xfrm>
                          <a:prstGeom prst="rect">
                            <a:avLst/>
                          </a:prstGeom>
                        </pic:spPr>
                      </pic:pic>
                    </a:graphicData>
                  </a:graphic>
                </wp:inline>
              </w:drawing>
            </w:r>
          </w:p>
          <w:p w:rsidR="00C8008D" w:rsidRDefault="00C8008D" w:rsidP="00D7591E">
            <w:pPr>
              <w:pStyle w:val="Paragraphedeliste"/>
              <w:numPr>
                <w:ilvl w:val="0"/>
                <w:numId w:val="32"/>
              </w:numPr>
              <w:ind w:leftChars="0"/>
              <w:jc w:val="center"/>
            </w:pPr>
            <w:r>
              <w:t>Post-</w:t>
            </w:r>
            <w:r w:rsidR="00D7591E">
              <w:t>DFT</w:t>
            </w:r>
            <w:r>
              <w:t xml:space="preserve"> PT-RS insertion</w:t>
            </w:r>
          </w:p>
        </w:tc>
        <w:tc>
          <w:tcPr>
            <w:tcW w:w="4981" w:type="dxa"/>
          </w:tcPr>
          <w:p w:rsidR="00C8008D" w:rsidRDefault="00C8008D" w:rsidP="00A81622">
            <w:r>
              <w:rPr>
                <w:noProof/>
                <w:lang w:val="fr-FR" w:eastAsia="fr-FR"/>
              </w:rPr>
              <w:drawing>
                <wp:inline distT="0" distB="0" distL="0" distR="0">
                  <wp:extent cx="2926800" cy="1778400"/>
                  <wp:effectExtent l="0" t="0" r="698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ostDFTpunc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26800" cy="1778400"/>
                          </a:xfrm>
                          <a:prstGeom prst="rect">
                            <a:avLst/>
                          </a:prstGeom>
                        </pic:spPr>
                      </pic:pic>
                    </a:graphicData>
                  </a:graphic>
                </wp:inline>
              </w:drawing>
            </w:r>
          </w:p>
          <w:p w:rsidR="00C8008D" w:rsidRDefault="00D7591E" w:rsidP="00D7591E">
            <w:pPr>
              <w:pStyle w:val="Paragraphedeliste"/>
              <w:keepNext/>
              <w:numPr>
                <w:ilvl w:val="0"/>
                <w:numId w:val="32"/>
              </w:numPr>
              <w:ind w:leftChars="0"/>
              <w:jc w:val="center"/>
            </w:pPr>
            <w:r>
              <w:t xml:space="preserve">Post-DFT </w:t>
            </w:r>
            <w:r w:rsidR="00C8008D">
              <w:t>PT-RS puncturing</w:t>
            </w:r>
          </w:p>
        </w:tc>
      </w:tr>
    </w:tbl>
    <w:p w:rsidR="00C8008D" w:rsidRDefault="00D7591E" w:rsidP="00D7591E">
      <w:pPr>
        <w:pStyle w:val="Lgende"/>
        <w:jc w:val="center"/>
      </w:pPr>
      <w:bookmarkStart w:id="1" w:name="_Ref473913620"/>
      <w:r>
        <w:t xml:space="preserve">Figure </w:t>
      </w:r>
      <w:fldSimple w:instr=" SEQ Figure \* ARABIC ">
        <w:r w:rsidR="00F256E1">
          <w:rPr>
            <w:noProof/>
          </w:rPr>
          <w:t>1</w:t>
        </w:r>
      </w:fldSimple>
      <w:bookmarkEnd w:id="1"/>
      <w:r>
        <w:t xml:space="preserve"> Post-DFT PT-RS insertion</w:t>
      </w:r>
    </w:p>
    <w:p w:rsidR="00D7591E" w:rsidRDefault="00D7591E" w:rsidP="00D7591E"/>
    <w:p w:rsidR="00D7591E" w:rsidRDefault="00D7591E" w:rsidP="00D7591E">
      <w:pPr>
        <w:pStyle w:val="Titre2"/>
      </w:pPr>
      <w:r>
        <w:t>Blind methods</w:t>
      </w:r>
    </w:p>
    <w:p w:rsidR="00D7591E" w:rsidRDefault="00D7591E" w:rsidP="00A81622">
      <w:r>
        <w:t>Blind PN compensation methods were also reported in the literature</w:t>
      </w:r>
      <w:r w:rsidR="00EF2E98">
        <w:t>, e.g.</w:t>
      </w:r>
      <w:r w:rsidR="00525194">
        <w:t xml:space="preserve"> </w:t>
      </w:r>
      <w:r w:rsidR="00525194">
        <w:fldChar w:fldCharType="begin"/>
      </w:r>
      <w:r w:rsidR="00525194">
        <w:instrText xml:space="preserve"> REF _Ref473914147 \r \h </w:instrText>
      </w:r>
      <w:r w:rsidR="00525194">
        <w:fldChar w:fldCharType="separate"/>
      </w:r>
      <w:r w:rsidR="00F256E1">
        <w:t>[5]</w:t>
      </w:r>
      <w:r w:rsidR="00525194">
        <w:fldChar w:fldCharType="end"/>
      </w:r>
      <w:r w:rsidR="00EF2E98">
        <w:t xml:space="preserve"> </w:t>
      </w:r>
      <w:r>
        <w:t xml:space="preserve">. Since no PT-RS insertion is needed, there is no PAPR impact. </w:t>
      </w:r>
      <w:r w:rsidR="00525194">
        <w:t>These methods nevertheless usually require iterative methods and are more complex than RS-based methods. Comparative performance evaluation wrt RS-based methods should be further investigated.</w:t>
      </w:r>
    </w:p>
    <w:p w:rsidR="001879AF" w:rsidRDefault="001879AF" w:rsidP="00A81622"/>
    <w:p w:rsidR="001879AF" w:rsidRDefault="001879AF" w:rsidP="00A81622"/>
    <w:p w:rsidR="001879AF" w:rsidRDefault="001879AF" w:rsidP="00A81622"/>
    <w:p w:rsidR="001879AF" w:rsidRDefault="001879AF" w:rsidP="00A81622"/>
    <w:p w:rsidR="008D02CE" w:rsidRDefault="008D02CE" w:rsidP="00A81622">
      <w:pPr>
        <w:pBdr>
          <w:bottom w:val="single" w:sz="12" w:space="1" w:color="auto"/>
        </w:pBdr>
      </w:pPr>
    </w:p>
    <w:p w:rsidR="00C42741" w:rsidRDefault="00C42741" w:rsidP="00A81622">
      <w:pPr>
        <w:pStyle w:val="Titre1"/>
      </w:pPr>
      <w:r w:rsidRPr="00055E47">
        <w:t>Conclusion</w:t>
      </w:r>
    </w:p>
    <w:p w:rsidR="00A81622" w:rsidRDefault="00525194" w:rsidP="00A81622">
      <w:r>
        <w:t>The conclusions of the above analysis is summarized in the following table</w:t>
      </w:r>
    </w:p>
    <w:tbl>
      <w:tblPr>
        <w:tblStyle w:val="Grilledutableau"/>
        <w:tblW w:w="0" w:type="auto"/>
        <w:tblLook w:val="04A0" w:firstRow="1" w:lastRow="0" w:firstColumn="1" w:lastColumn="0" w:noHBand="0" w:noVBand="1"/>
      </w:tblPr>
      <w:tblGrid>
        <w:gridCol w:w="3320"/>
        <w:gridCol w:w="3321"/>
        <w:gridCol w:w="3321"/>
      </w:tblGrid>
      <w:tr w:rsidR="00525194" w:rsidTr="00525194">
        <w:tc>
          <w:tcPr>
            <w:tcW w:w="3320" w:type="dxa"/>
          </w:tcPr>
          <w:p w:rsidR="00525194" w:rsidRDefault="00525194" w:rsidP="00A81622"/>
        </w:tc>
        <w:tc>
          <w:tcPr>
            <w:tcW w:w="3321" w:type="dxa"/>
          </w:tcPr>
          <w:p w:rsidR="00525194" w:rsidRDefault="00525194" w:rsidP="00A81622">
            <w:r>
              <w:t>PAPR preserving</w:t>
            </w:r>
          </w:p>
        </w:tc>
        <w:tc>
          <w:tcPr>
            <w:tcW w:w="3321" w:type="dxa"/>
          </w:tcPr>
          <w:p w:rsidR="00525194" w:rsidRDefault="00525194" w:rsidP="00A81622">
            <w:r>
              <w:t>Low complexity</w:t>
            </w:r>
          </w:p>
        </w:tc>
      </w:tr>
      <w:tr w:rsidR="00525194" w:rsidTr="00525194">
        <w:tc>
          <w:tcPr>
            <w:tcW w:w="3320" w:type="dxa"/>
          </w:tcPr>
          <w:p w:rsidR="00525194" w:rsidRDefault="00525194" w:rsidP="00A81622">
            <w:r>
              <w:t>Pre-DFT insertion</w:t>
            </w:r>
          </w:p>
        </w:tc>
        <w:tc>
          <w:tcPr>
            <w:tcW w:w="3321" w:type="dxa"/>
          </w:tcPr>
          <w:p w:rsidR="00525194" w:rsidRDefault="00525194" w:rsidP="00A81622">
            <w:r>
              <w:t>Yes</w:t>
            </w:r>
          </w:p>
        </w:tc>
        <w:tc>
          <w:tcPr>
            <w:tcW w:w="3321" w:type="dxa"/>
          </w:tcPr>
          <w:p w:rsidR="00525194" w:rsidRDefault="00525194" w:rsidP="00A81622">
            <w:r>
              <w:t>Yes</w:t>
            </w:r>
          </w:p>
        </w:tc>
      </w:tr>
      <w:tr w:rsidR="00525194" w:rsidTr="00525194">
        <w:tc>
          <w:tcPr>
            <w:tcW w:w="3320" w:type="dxa"/>
          </w:tcPr>
          <w:p w:rsidR="00525194" w:rsidRDefault="00525194" w:rsidP="00A81622">
            <w:r>
              <w:t>Post-DFT insertion</w:t>
            </w:r>
          </w:p>
        </w:tc>
        <w:tc>
          <w:tcPr>
            <w:tcW w:w="3321" w:type="dxa"/>
          </w:tcPr>
          <w:p w:rsidR="00525194" w:rsidRDefault="00525194" w:rsidP="00A81622">
            <w:r>
              <w:t>No</w:t>
            </w:r>
          </w:p>
        </w:tc>
        <w:tc>
          <w:tcPr>
            <w:tcW w:w="3321" w:type="dxa"/>
          </w:tcPr>
          <w:p w:rsidR="00525194" w:rsidRDefault="00525194" w:rsidP="00A81622">
            <w:r>
              <w:t>Yes</w:t>
            </w:r>
          </w:p>
        </w:tc>
      </w:tr>
      <w:tr w:rsidR="00525194" w:rsidTr="00525194">
        <w:tc>
          <w:tcPr>
            <w:tcW w:w="3320" w:type="dxa"/>
          </w:tcPr>
          <w:p w:rsidR="00525194" w:rsidRDefault="00525194" w:rsidP="00A81622">
            <w:r>
              <w:t>Blind detection</w:t>
            </w:r>
          </w:p>
        </w:tc>
        <w:tc>
          <w:tcPr>
            <w:tcW w:w="3321" w:type="dxa"/>
          </w:tcPr>
          <w:p w:rsidR="00525194" w:rsidRDefault="00525194" w:rsidP="00A81622">
            <w:r>
              <w:t>Yes</w:t>
            </w:r>
          </w:p>
        </w:tc>
        <w:tc>
          <w:tcPr>
            <w:tcW w:w="3321" w:type="dxa"/>
          </w:tcPr>
          <w:p w:rsidR="00525194" w:rsidRDefault="00525194" w:rsidP="00A81622">
            <w:r>
              <w:t>No</w:t>
            </w:r>
          </w:p>
        </w:tc>
      </w:tr>
    </w:tbl>
    <w:p w:rsidR="00525194" w:rsidRDefault="00525194" w:rsidP="00A81622"/>
    <w:p w:rsidR="00A81622" w:rsidRDefault="00181778" w:rsidP="00A81622">
      <w:r w:rsidRPr="001B63F6">
        <w:rPr>
          <w:b/>
        </w:rPr>
        <w:t>Proposal</w:t>
      </w:r>
      <w:r>
        <w:t xml:space="preserve">: </w:t>
      </w:r>
      <w:r w:rsidR="00D42739" w:rsidRPr="001B63F6">
        <w:rPr>
          <w:i/>
        </w:rPr>
        <w:t xml:space="preserve">Support </w:t>
      </w:r>
      <w:r w:rsidR="00525194">
        <w:rPr>
          <w:i/>
        </w:rPr>
        <w:t>pre-DFT</w:t>
      </w:r>
      <w:r w:rsidR="00D42739" w:rsidRPr="001B63F6">
        <w:rPr>
          <w:i/>
        </w:rPr>
        <w:t xml:space="preserve"> PT-RS</w:t>
      </w:r>
      <w:r w:rsidRPr="001B63F6">
        <w:rPr>
          <w:i/>
        </w:rPr>
        <w:t xml:space="preserve"> </w:t>
      </w:r>
      <w:r w:rsidR="00525194">
        <w:rPr>
          <w:i/>
        </w:rPr>
        <w:t xml:space="preserve">insertion </w:t>
      </w:r>
      <w:r w:rsidRPr="001B63F6">
        <w:rPr>
          <w:i/>
        </w:rPr>
        <w:t>for DFTsOFDM</w:t>
      </w:r>
      <w:r w:rsidR="001B63F6">
        <w:rPr>
          <w:i/>
        </w:rPr>
        <w:t>.</w:t>
      </w:r>
    </w:p>
    <w:p w:rsidR="00A81622" w:rsidRDefault="00A81622" w:rsidP="00A81622"/>
    <w:p w:rsidR="00525194" w:rsidRDefault="00525194" w:rsidP="00A81622"/>
    <w:p w:rsidR="00525194" w:rsidRDefault="00525194" w:rsidP="00A81622"/>
    <w:p w:rsidR="00525194" w:rsidRDefault="00525194" w:rsidP="00A81622"/>
    <w:p w:rsidR="00A81622" w:rsidRDefault="00A81622" w:rsidP="00A81622">
      <w:pPr>
        <w:pBdr>
          <w:bottom w:val="single" w:sz="12" w:space="1" w:color="auto"/>
        </w:pBdr>
      </w:pPr>
    </w:p>
    <w:p w:rsidR="00786845" w:rsidRDefault="00A04FE1" w:rsidP="00A81622">
      <w:pPr>
        <w:pStyle w:val="Titre1"/>
      </w:pPr>
      <w:r>
        <w:t>R</w:t>
      </w:r>
      <w:r w:rsidR="00786845" w:rsidRPr="00055E47">
        <w:t>eferences</w:t>
      </w:r>
    </w:p>
    <w:p w:rsidR="00667A2A" w:rsidRDefault="000D52C0" w:rsidP="00D42739">
      <w:pPr>
        <w:pStyle w:val="Titre3"/>
        <w:numPr>
          <w:ilvl w:val="0"/>
          <w:numId w:val="10"/>
        </w:numPr>
      </w:pPr>
      <w:bookmarkStart w:id="2" w:name="_Ref468983446"/>
      <w:bookmarkStart w:id="3" w:name="_Ref468982085"/>
      <w:bookmarkStart w:id="4" w:name="_Ref461457447"/>
      <w:bookmarkStart w:id="5" w:name="_Ref457744160"/>
      <w:r w:rsidRPr="000F778A">
        <w:t>Chairman’s note</w:t>
      </w:r>
      <w:r>
        <w:t>s</w:t>
      </w:r>
      <w:r w:rsidRPr="000F778A">
        <w:t xml:space="preserve">, RAN1 </w:t>
      </w:r>
      <w:bookmarkEnd w:id="2"/>
      <w:bookmarkEnd w:id="3"/>
      <w:bookmarkEnd w:id="4"/>
      <w:bookmarkEnd w:id="5"/>
      <w:r w:rsidR="00A55BDF">
        <w:t>NR AH, Spokane, Washington, January 2017.</w:t>
      </w:r>
    </w:p>
    <w:p w:rsidR="00EC0DD1" w:rsidRDefault="00EC0DD1" w:rsidP="00F33A3B">
      <w:pPr>
        <w:pStyle w:val="Titre3"/>
        <w:numPr>
          <w:ilvl w:val="0"/>
          <w:numId w:val="10"/>
        </w:numPr>
      </w:pPr>
      <w:bookmarkStart w:id="6" w:name="_Ref473909587"/>
      <w:bookmarkStart w:id="7" w:name="_Ref471479047"/>
      <w:bookmarkStart w:id="8" w:name="_Ref471312396"/>
      <w:r>
        <w:t>T. Pollet, M. V. Bladel, and M. Moeneclaey, “BER sensitivity of OFDM systems to carrier frequency offset and wiener phase noise,” IEEE Trans. Commun., vol. 43, pp. 191–193, Feb.–Apr. 1995.</w:t>
      </w:r>
      <w:bookmarkEnd w:id="6"/>
    </w:p>
    <w:p w:rsidR="00EC0DD1" w:rsidRDefault="005B3BEE" w:rsidP="005B3BEE">
      <w:pPr>
        <w:pStyle w:val="Titre3"/>
        <w:numPr>
          <w:ilvl w:val="0"/>
          <w:numId w:val="10"/>
        </w:numPr>
      </w:pPr>
      <w:bookmarkStart w:id="9" w:name="_Ref473909804"/>
      <w:r w:rsidRPr="005B3BEE">
        <w:t>Luc Deneire, Bert Gyselinckx, and Marc Engels</w:t>
      </w:r>
      <w:r>
        <w:t xml:space="preserve">, ”Training Sequence versus Cyclic Prefix—A New Look on Single Carrier Communication,” </w:t>
      </w:r>
      <w:r w:rsidRPr="005B3BEE">
        <w:t xml:space="preserve">IEEE </w:t>
      </w:r>
      <w:r>
        <w:t>Commun. Letters</w:t>
      </w:r>
      <w:r w:rsidRPr="005B3BEE">
        <w:t>, V</w:t>
      </w:r>
      <w:r>
        <w:t>ol</w:t>
      </w:r>
      <w:r w:rsidRPr="005B3BEE">
        <w:t xml:space="preserve">. 5, </w:t>
      </w:r>
      <w:r>
        <w:t>no</w:t>
      </w:r>
      <w:r w:rsidRPr="005B3BEE">
        <w:t xml:space="preserve">. 7, </w:t>
      </w:r>
      <w:r>
        <w:t>July</w:t>
      </w:r>
      <w:r w:rsidRPr="005B3BEE">
        <w:t xml:space="preserve"> 2001</w:t>
      </w:r>
      <w:r w:rsidR="00EC0DD1">
        <w:t>.</w:t>
      </w:r>
      <w:bookmarkEnd w:id="9"/>
    </w:p>
    <w:p w:rsidR="00E60969" w:rsidRPr="00E60969" w:rsidRDefault="00966C93" w:rsidP="001879AF">
      <w:pPr>
        <w:pStyle w:val="Titre3"/>
        <w:numPr>
          <w:ilvl w:val="0"/>
          <w:numId w:val="10"/>
        </w:numPr>
      </w:pPr>
      <w:bookmarkStart w:id="10" w:name="_Ref473914288"/>
      <w:r w:rsidRPr="00966C93">
        <w:t>R1-1700646 On the need of PT-RS for DFTsOFDM</w:t>
      </w:r>
      <w:bookmarkEnd w:id="7"/>
      <w:r>
        <w:t>, Mitsubishi Electric, Spokane, Washington, January 2017.</w:t>
      </w:r>
      <w:bookmarkEnd w:id="10"/>
    </w:p>
    <w:p w:rsidR="00D42739" w:rsidRDefault="00EF2E98" w:rsidP="00EF2E98">
      <w:pPr>
        <w:pStyle w:val="Titre3"/>
        <w:numPr>
          <w:ilvl w:val="0"/>
          <w:numId w:val="10"/>
        </w:numPr>
      </w:pPr>
      <w:bookmarkStart w:id="11" w:name="_Ref473914147"/>
      <w:bookmarkEnd w:id="8"/>
      <w:r w:rsidRPr="00EF2E98">
        <w:rPr>
          <w:lang w:val="fr-FR"/>
        </w:rPr>
        <w:t xml:space="preserve">Gomaa, A., &amp; Al-Dhahir, N. (2012). </w:t>
      </w:r>
      <w:r w:rsidRPr="00EF2E98">
        <w:t>Blind phase noise compensation for SC-FDMA with application to LTE-uplink. In IEEE International Conference on Communications. (pp. 4305-4309).</w:t>
      </w:r>
      <w:bookmarkEnd w:id="11"/>
    </w:p>
    <w:p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0B7" w:rsidRDefault="00A060B7" w:rsidP="00A81622">
      <w:r>
        <w:separator/>
      </w:r>
    </w:p>
  </w:endnote>
  <w:endnote w:type="continuationSeparator" w:id="0">
    <w:p w:rsidR="00A060B7" w:rsidRDefault="00A060B7" w:rsidP="00A81622">
      <w:r>
        <w:continuationSeparator/>
      </w:r>
    </w:p>
  </w:endnote>
  <w:endnote w:type="continuationNotice" w:id="1">
    <w:p w:rsidR="00A060B7" w:rsidRDefault="00A060B7"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0B7" w:rsidRDefault="00A060B7" w:rsidP="00A81622">
      <w:r>
        <w:separator/>
      </w:r>
    </w:p>
  </w:footnote>
  <w:footnote w:type="continuationSeparator" w:id="0">
    <w:p w:rsidR="00A060B7" w:rsidRDefault="00A060B7" w:rsidP="00A81622">
      <w:r>
        <w:continuationSeparator/>
      </w:r>
    </w:p>
  </w:footnote>
  <w:footnote w:type="continuationNotice" w:id="1">
    <w:p w:rsidR="00A060B7" w:rsidRDefault="00A060B7"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6128D"/>
    <w:multiLevelType w:val="hybridMultilevel"/>
    <w:tmpl w:val="6BAE82F0"/>
    <w:lvl w:ilvl="0" w:tplc="B8540476">
      <w:start w:val="6"/>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5715CDA"/>
    <w:multiLevelType w:val="hybridMultilevel"/>
    <w:tmpl w:val="D12E8E5C"/>
    <w:lvl w:ilvl="0" w:tplc="ADE00A50">
      <w:start w:val="406"/>
      <w:numFmt w:val="bullet"/>
      <w:lvlText w:val="-"/>
      <w:lvlJc w:val="left"/>
      <w:pPr>
        <w:tabs>
          <w:tab w:val="num" w:pos="720"/>
        </w:tabs>
        <w:ind w:left="720" w:hanging="360"/>
      </w:pPr>
      <w:rPr>
        <w:rFonts w:ascii="Arial" w:eastAsia="MS Gothic" w:hAnsi="Arial" w:cs="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085E18"/>
    <w:multiLevelType w:val="hybridMultilevel"/>
    <w:tmpl w:val="8EAC034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8"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53A36428"/>
    <w:multiLevelType w:val="hybridMultilevel"/>
    <w:tmpl w:val="29BEBD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A0D3738"/>
    <w:multiLevelType w:val="hybridMultilevel"/>
    <w:tmpl w:val="1FE61568"/>
    <w:lvl w:ilvl="0" w:tplc="8C18E0E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28"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24"/>
  </w:num>
  <w:num w:numId="3">
    <w:abstractNumId w:val="26"/>
  </w:num>
  <w:num w:numId="4">
    <w:abstractNumId w:val="12"/>
  </w:num>
  <w:num w:numId="5">
    <w:abstractNumId w:val="29"/>
  </w:num>
  <w:num w:numId="6">
    <w:abstractNumId w:val="5"/>
  </w:num>
  <w:num w:numId="7">
    <w:abstractNumId w:val="18"/>
  </w:num>
  <w:num w:numId="8">
    <w:abstractNumId w:val="21"/>
  </w:num>
  <w:num w:numId="9">
    <w:abstractNumId w:val="7"/>
  </w:num>
  <w:num w:numId="10">
    <w:abstractNumId w:val="9"/>
  </w:num>
  <w:num w:numId="11">
    <w:abstractNumId w:val="1"/>
  </w:num>
  <w:num w:numId="12">
    <w:abstractNumId w:val="30"/>
  </w:num>
  <w:num w:numId="13">
    <w:abstractNumId w:val="17"/>
  </w:num>
  <w:num w:numId="14">
    <w:abstractNumId w:val="23"/>
  </w:num>
  <w:num w:numId="15">
    <w:abstractNumId w:val="27"/>
  </w:num>
  <w:num w:numId="16">
    <w:abstractNumId w:val="8"/>
  </w:num>
  <w:num w:numId="17">
    <w:abstractNumId w:val="4"/>
  </w:num>
  <w:num w:numId="18">
    <w:abstractNumId w:val="2"/>
  </w:num>
  <w:num w:numId="19">
    <w:abstractNumId w:val="28"/>
  </w:num>
  <w:num w:numId="20">
    <w:abstractNumId w:val="10"/>
  </w:num>
  <w:num w:numId="21">
    <w:abstractNumId w:val="20"/>
  </w:num>
  <w:num w:numId="22">
    <w:abstractNumId w:val="6"/>
  </w:num>
  <w:num w:numId="23">
    <w:abstractNumId w:val="26"/>
  </w:num>
  <w:num w:numId="24">
    <w:abstractNumId w:val="22"/>
  </w:num>
  <w:num w:numId="25">
    <w:abstractNumId w:val="11"/>
  </w:num>
  <w:num w:numId="26">
    <w:abstractNumId w:val="14"/>
  </w:num>
  <w:num w:numId="27">
    <w:abstractNumId w:val="13"/>
  </w:num>
  <w:num w:numId="28">
    <w:abstractNumId w:val="25"/>
  </w:num>
  <w:num w:numId="29">
    <w:abstractNumId w:val="19"/>
  </w:num>
  <w:num w:numId="30">
    <w:abstractNumId w:val="15"/>
  </w:num>
  <w:num w:numId="31">
    <w:abstractNumId w:val="3"/>
  </w:num>
  <w:num w:numId="3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59EE"/>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C60"/>
    <w:rsid w:val="00157039"/>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9AF"/>
    <w:rsid w:val="00187FD9"/>
    <w:rsid w:val="00191509"/>
    <w:rsid w:val="0019300D"/>
    <w:rsid w:val="001940F1"/>
    <w:rsid w:val="00194435"/>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497"/>
    <w:rsid w:val="001A71F8"/>
    <w:rsid w:val="001A773C"/>
    <w:rsid w:val="001A77B0"/>
    <w:rsid w:val="001A7D7E"/>
    <w:rsid w:val="001B0527"/>
    <w:rsid w:val="001B0946"/>
    <w:rsid w:val="001B2654"/>
    <w:rsid w:val="001B2755"/>
    <w:rsid w:val="001B325F"/>
    <w:rsid w:val="001B44E0"/>
    <w:rsid w:val="001B523D"/>
    <w:rsid w:val="001B63F6"/>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37E"/>
    <w:rsid w:val="001E6DC4"/>
    <w:rsid w:val="001E70C0"/>
    <w:rsid w:val="001E7AF4"/>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4628"/>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00E"/>
    <w:rsid w:val="00220C4B"/>
    <w:rsid w:val="002215A6"/>
    <w:rsid w:val="0022245A"/>
    <w:rsid w:val="002225EB"/>
    <w:rsid w:val="00222DAA"/>
    <w:rsid w:val="00223A13"/>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225A"/>
    <w:rsid w:val="002B2CA9"/>
    <w:rsid w:val="002B344C"/>
    <w:rsid w:val="002B3DCA"/>
    <w:rsid w:val="002B46D3"/>
    <w:rsid w:val="002B473A"/>
    <w:rsid w:val="002B4B53"/>
    <w:rsid w:val="002B5287"/>
    <w:rsid w:val="002C09D8"/>
    <w:rsid w:val="002C0DD6"/>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6837"/>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1904"/>
    <w:rsid w:val="00322C32"/>
    <w:rsid w:val="00322D25"/>
    <w:rsid w:val="00323515"/>
    <w:rsid w:val="00324558"/>
    <w:rsid w:val="003248FE"/>
    <w:rsid w:val="00324E52"/>
    <w:rsid w:val="00325008"/>
    <w:rsid w:val="003263C1"/>
    <w:rsid w:val="003268BA"/>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1460"/>
    <w:rsid w:val="0035210D"/>
    <w:rsid w:val="00352329"/>
    <w:rsid w:val="003533DE"/>
    <w:rsid w:val="00354069"/>
    <w:rsid w:val="00355B1B"/>
    <w:rsid w:val="00355BC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7589"/>
    <w:rsid w:val="003A7D1C"/>
    <w:rsid w:val="003B41A8"/>
    <w:rsid w:val="003B47C6"/>
    <w:rsid w:val="003B48D7"/>
    <w:rsid w:val="003B5098"/>
    <w:rsid w:val="003B59A4"/>
    <w:rsid w:val="003B5AB9"/>
    <w:rsid w:val="003B620B"/>
    <w:rsid w:val="003B641C"/>
    <w:rsid w:val="003B7034"/>
    <w:rsid w:val="003B7855"/>
    <w:rsid w:val="003C12FA"/>
    <w:rsid w:val="003C1E88"/>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7EC"/>
    <w:rsid w:val="00492819"/>
    <w:rsid w:val="00494207"/>
    <w:rsid w:val="00495BBB"/>
    <w:rsid w:val="0049699D"/>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350"/>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5CDE"/>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AC7"/>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3BEE"/>
    <w:rsid w:val="005B41CC"/>
    <w:rsid w:val="005B510B"/>
    <w:rsid w:val="005B7101"/>
    <w:rsid w:val="005B7637"/>
    <w:rsid w:val="005C0458"/>
    <w:rsid w:val="005C04DD"/>
    <w:rsid w:val="005C0712"/>
    <w:rsid w:val="005C07C0"/>
    <w:rsid w:val="005C1A1B"/>
    <w:rsid w:val="005C275B"/>
    <w:rsid w:val="005C2BCE"/>
    <w:rsid w:val="005C30BA"/>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67A2A"/>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0111"/>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E019A"/>
    <w:rsid w:val="006E09F3"/>
    <w:rsid w:val="006E2112"/>
    <w:rsid w:val="006E2FE3"/>
    <w:rsid w:val="006E36B1"/>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6E9A"/>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2CE"/>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869"/>
    <w:rsid w:val="00992E3E"/>
    <w:rsid w:val="009957C2"/>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D65"/>
    <w:rsid w:val="009C5466"/>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B7"/>
    <w:rsid w:val="00A060F9"/>
    <w:rsid w:val="00A07675"/>
    <w:rsid w:val="00A079FF"/>
    <w:rsid w:val="00A10293"/>
    <w:rsid w:val="00A10A44"/>
    <w:rsid w:val="00A112E2"/>
    <w:rsid w:val="00A1130F"/>
    <w:rsid w:val="00A11D18"/>
    <w:rsid w:val="00A12CC9"/>
    <w:rsid w:val="00A14088"/>
    <w:rsid w:val="00A179D0"/>
    <w:rsid w:val="00A17DD7"/>
    <w:rsid w:val="00A17F5E"/>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5012"/>
    <w:rsid w:val="00A55BDF"/>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2D9F"/>
    <w:rsid w:val="00AB377E"/>
    <w:rsid w:val="00AB3AB1"/>
    <w:rsid w:val="00AB4E3E"/>
    <w:rsid w:val="00AB4E74"/>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07339"/>
    <w:rsid w:val="00B112AA"/>
    <w:rsid w:val="00B1174B"/>
    <w:rsid w:val="00B11ADD"/>
    <w:rsid w:val="00B12278"/>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C7F74"/>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666BD"/>
    <w:rsid w:val="00C70F15"/>
    <w:rsid w:val="00C71141"/>
    <w:rsid w:val="00C71444"/>
    <w:rsid w:val="00C716A3"/>
    <w:rsid w:val="00C72CC9"/>
    <w:rsid w:val="00C73B1B"/>
    <w:rsid w:val="00C74304"/>
    <w:rsid w:val="00C76064"/>
    <w:rsid w:val="00C764B0"/>
    <w:rsid w:val="00C77052"/>
    <w:rsid w:val="00C77366"/>
    <w:rsid w:val="00C77870"/>
    <w:rsid w:val="00C77C4E"/>
    <w:rsid w:val="00C8008D"/>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C7EA7"/>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969"/>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665A"/>
    <w:rsid w:val="00EB70BD"/>
    <w:rsid w:val="00EC0150"/>
    <w:rsid w:val="00EC048C"/>
    <w:rsid w:val="00EC0801"/>
    <w:rsid w:val="00EC0CBC"/>
    <w:rsid w:val="00EC0DD1"/>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2E9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1"/>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71A7"/>
    <w:rsid w:val="00F572EB"/>
    <w:rsid w:val="00F57CA0"/>
    <w:rsid w:val="00F60C91"/>
    <w:rsid w:val="00F60FB8"/>
    <w:rsid w:val="00F613EF"/>
    <w:rsid w:val="00F63C14"/>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0653"/>
    <w:rsid w:val="00FF19AC"/>
    <w:rsid w:val="00FF1D59"/>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EF8AFA8-A476-44C5-9874-D66CECFE4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872</Words>
  <Characters>4801</Characters>
  <Application>Microsoft Office Word</Application>
  <DocSecurity>0</DocSecurity>
  <Lines>40</Lines>
  <Paragraphs>11</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5662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3</cp:revision>
  <cp:lastPrinted>2016-08-10T06:06:00Z</cp:lastPrinted>
  <dcterms:created xsi:type="dcterms:W3CDTF">2017-02-06T11:37:00Z</dcterms:created>
  <dcterms:modified xsi:type="dcterms:W3CDTF">2017-02-06T14:02:00Z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AdHocReviewCycleID">
    <vt:i4>-1169350017</vt:i4>
  </property>
  <property fmtid="{D5CDD505-2E9C-101B-9397-08002B2CF9AE}" pid="5" name="_NewReviewCycle">
    <vt:lpwstr/>
  </property>
  <property fmtid="{D5CDD505-2E9C-101B-9397-08002B2CF9AE}" pid="6" name="_EmailSubject">
    <vt:lpwstr>Contribution on PTRS for DFTsOFDM</vt:lpwstr>
  </property>
  <property fmtid="{D5CDD505-2E9C-101B-9397-08002B2CF9AE}" pid="7" name="_AuthorEmail">
    <vt:lpwstr>C.Ciochina@fr.merce.mee.com</vt:lpwstr>
  </property>
  <property fmtid="{D5CDD505-2E9C-101B-9397-08002B2CF9AE}" pid="8" name="_AuthorEmailDisplayName">
    <vt:lpwstr>Cristina Ciochina</vt:lpwstr>
  </property>
  <property fmtid="{D5CDD505-2E9C-101B-9397-08002B2CF9AE}" pid="9" name="_ReviewingToolsShownOnce">
    <vt:lpwstr/>
  </property>
</Properties>
</file>