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CC0F8" w14:textId="77777777"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Pr="00327997">
        <w:tab/>
      </w:r>
      <w:r w:rsidR="00790B99" w:rsidRPr="00327997">
        <w:t>R1</w:t>
      </w:r>
      <w:r w:rsidR="00091557" w:rsidRPr="00327997">
        <w:t>-</w:t>
      </w:r>
      <w:bookmarkStart w:id="0" w:name="_GoBack"/>
      <w:r w:rsidR="005F3025" w:rsidRPr="0075751B">
        <w:t>1</w:t>
      </w:r>
      <w:r w:rsidR="00A85C6C" w:rsidRPr="0075751B">
        <w:t>7</w:t>
      </w:r>
      <w:r w:rsidR="0075751B">
        <w:t>02675</w:t>
      </w:r>
      <w:bookmarkEnd w:id="0"/>
    </w:p>
    <w:p w14:paraId="25D398DA" w14:textId="77777777"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14:paraId="419BA3DC" w14:textId="77777777" w:rsidR="00E90E49" w:rsidRPr="00CE0424" w:rsidRDefault="00E90E49" w:rsidP="00357380">
      <w:pPr>
        <w:pStyle w:val="3GPPHeader"/>
      </w:pPr>
    </w:p>
    <w:p w14:paraId="0AE9FF66" w14:textId="77777777" w:rsidR="00E90E49" w:rsidRPr="00327997" w:rsidRDefault="003D3C45" w:rsidP="00327997">
      <w:pPr>
        <w:pStyle w:val="3GPPHeader"/>
      </w:pPr>
      <w:r w:rsidRPr="00327997">
        <w:t>Source:</w:t>
      </w:r>
      <w:r w:rsidR="00E90E49" w:rsidRPr="00327997">
        <w:tab/>
      </w:r>
      <w:r w:rsidR="00F64C2B" w:rsidRPr="00327997">
        <w:t>Ericsson</w:t>
      </w:r>
    </w:p>
    <w:p w14:paraId="4DF7A2AD" w14:textId="77777777" w:rsidR="00E90E49" w:rsidRPr="00327997" w:rsidRDefault="003D3C45" w:rsidP="00327997">
      <w:pPr>
        <w:pStyle w:val="3GPPHeader"/>
      </w:pPr>
      <w:r w:rsidRPr="00327997">
        <w:t>Title:</w:t>
      </w:r>
      <w:r w:rsidR="00E90E49" w:rsidRPr="00327997">
        <w:tab/>
      </w:r>
      <w:r w:rsidR="001F6E0E">
        <w:t>On group-based reporting of Tx beams</w:t>
      </w:r>
    </w:p>
    <w:p w14:paraId="3028B0A6" w14:textId="77777777" w:rsidR="00952A24" w:rsidRPr="00327997" w:rsidRDefault="00952A24" w:rsidP="00327997">
      <w:pPr>
        <w:pStyle w:val="3GPPHeader"/>
      </w:pPr>
      <w:r w:rsidRPr="00327997">
        <w:t>Agenda Item:</w:t>
      </w:r>
      <w:r w:rsidRPr="00327997">
        <w:tab/>
      </w:r>
      <w:r w:rsidR="00AC7789" w:rsidRPr="0075751B">
        <w:t>8</w:t>
      </w:r>
      <w:r w:rsidR="0075751B">
        <w:t>.1.2.2.1</w:t>
      </w:r>
    </w:p>
    <w:p w14:paraId="240D9611"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842C1C6" w14:textId="77777777" w:rsidR="00E90E49" w:rsidRPr="00CE0424" w:rsidRDefault="007F75D5" w:rsidP="00CE0424">
      <w:pPr>
        <w:pStyle w:val="Heading1"/>
      </w:pPr>
      <w:r>
        <w:t>Introduction</w:t>
      </w:r>
    </w:p>
    <w:p w14:paraId="74109A39" w14:textId="77777777" w:rsidR="00BF7642" w:rsidRPr="00E9149C" w:rsidRDefault="00A85C6C" w:rsidP="00BF7642">
      <w:pPr>
        <w:pStyle w:val="BodyText"/>
      </w:pPr>
      <w:r>
        <w:t>In RAN1#87</w:t>
      </w:r>
      <w:r w:rsidR="00AC7789">
        <w:t>ah-NR</w:t>
      </w:r>
      <w:r w:rsidR="00BF7642">
        <w:t>, the following agreement</w:t>
      </w:r>
      <w:r w:rsidR="00DD6A95">
        <w:t>s</w:t>
      </w:r>
      <w:r w:rsidR="00BF7642">
        <w:t xml:space="preserve"> </w:t>
      </w:r>
      <w:r w:rsidR="00DD6A95">
        <w:t>were</w:t>
      </w:r>
      <w:r w:rsidR="00BF7642">
        <w:t xml:space="preserve"> made:</w:t>
      </w:r>
    </w:p>
    <w:p w14:paraId="3BF97FFB" w14:textId="77777777" w:rsidR="00BF7642" w:rsidRDefault="00BF7642" w:rsidP="00BF7642">
      <w:pPr>
        <w:pStyle w:val="BodyText"/>
      </w:pPr>
      <w:r>
        <w:rPr>
          <w:noProof/>
          <w:lang w:val="en-US" w:eastAsia="en-US"/>
        </w:rPr>
        <mc:AlternateContent>
          <mc:Choice Requires="wps">
            <w:drawing>
              <wp:inline distT="0" distB="0" distL="0" distR="0" wp14:anchorId="62A1D394" wp14:editId="753EB6EB">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21C477" w14:textId="77777777" w:rsidR="00E16476" w:rsidRPr="000B1A15" w:rsidRDefault="00E16476" w:rsidP="0075751B">
                            <w:pPr>
                              <w:spacing w:after="0"/>
                              <w:rPr>
                                <w:rFonts w:eastAsia="MS Mincho"/>
                                <w:b/>
                                <w:highlight w:val="darkYellow"/>
                                <w:u w:val="single"/>
                                <w:lang w:val="en-US" w:eastAsia="ja-JP"/>
                              </w:rPr>
                            </w:pPr>
                            <w:r w:rsidRPr="000B1A15">
                              <w:rPr>
                                <w:rFonts w:eastAsia="MS Mincho" w:hint="eastAsia"/>
                                <w:b/>
                                <w:highlight w:val="darkYellow"/>
                                <w:u w:val="single"/>
                                <w:lang w:val="en-US" w:eastAsia="ja-JP"/>
                              </w:rPr>
                              <w:t>Working assupmtions:</w:t>
                            </w:r>
                          </w:p>
                          <w:p w14:paraId="4C7ABFB4" w14:textId="77777777" w:rsidR="00E16476" w:rsidRPr="00C00141" w:rsidRDefault="00E16476" w:rsidP="00C00141">
                            <w:pPr>
                              <w:snapToGrid w:val="0"/>
                              <w:spacing w:after="0"/>
                              <w:rPr>
                                <w:rFonts w:eastAsia="MS Mincho"/>
                                <w:lang w:val="en-US"/>
                              </w:rPr>
                            </w:pPr>
                            <w:r w:rsidRPr="00C00141">
                              <w:rPr>
                                <w:rFonts w:eastAsia="MS Mincho"/>
                                <w:lang w:val="en-US"/>
                              </w:rPr>
                              <w:t>Support at least one of these two alternatives of beam reporting:</w:t>
                            </w:r>
                          </w:p>
                          <w:p w14:paraId="1C193841" w14:textId="1CBC1519" w:rsidR="00E16476" w:rsidRDefault="000218F8" w:rsidP="00C00141">
                            <w:pPr>
                              <w:numPr>
                                <w:ilvl w:val="0"/>
                                <w:numId w:val="18"/>
                              </w:numPr>
                              <w:spacing w:after="0"/>
                              <w:rPr>
                                <w:rFonts w:eastAsia="MS Mincho"/>
                                <w:lang w:val="en-US" w:eastAsia="ja-JP"/>
                              </w:rPr>
                            </w:pPr>
                            <w:r>
                              <w:rPr>
                                <w:rFonts w:eastAsia="MS Mincho"/>
                                <w:lang w:val="en-US"/>
                              </w:rPr>
                              <w:t>Alt.1</w:t>
                            </w:r>
                            <w:r w:rsidR="00E16476" w:rsidRPr="00E10A81">
                              <w:rPr>
                                <w:rFonts w:eastAsia="MS Mincho"/>
                                <w:lang w:val="en-US" w:eastAsia="ja-JP"/>
                              </w:rPr>
                              <w:t>:</w:t>
                            </w:r>
                          </w:p>
                          <w:p w14:paraId="0E8FE39E" w14:textId="77777777" w:rsidR="00E16476" w:rsidRPr="00E10A81" w:rsidRDefault="00E16476" w:rsidP="00C00141">
                            <w:pPr>
                              <w:numPr>
                                <w:ilvl w:val="1"/>
                                <w:numId w:val="18"/>
                              </w:numPr>
                              <w:spacing w:after="0"/>
                              <w:rPr>
                                <w:rFonts w:eastAsia="MS Mincho"/>
                                <w:lang w:val="en-US" w:eastAsia="ja-JP"/>
                              </w:rPr>
                            </w:pPr>
                            <w:r w:rsidRPr="00E10A81">
                              <w:rPr>
                                <w:rFonts w:eastAsia="MS Mincho"/>
                                <w:lang w:val="en-US" w:eastAsia="ja-JP"/>
                              </w:rPr>
                              <w:t xml:space="preserve">UE reports information about TRP Tx Beam(s) that can be received using selected UE Rx beam set(s).  </w:t>
                            </w:r>
                          </w:p>
                          <w:p w14:paraId="411BDB3F" w14:textId="77777777" w:rsidR="00E16476" w:rsidRDefault="00E16476" w:rsidP="00C00141">
                            <w:pPr>
                              <w:numPr>
                                <w:ilvl w:val="1"/>
                                <w:numId w:val="18"/>
                              </w:numPr>
                              <w:spacing w:after="0"/>
                              <w:rPr>
                                <w:rFonts w:eastAsia="MS Mincho"/>
                                <w:lang w:val="en-US" w:eastAsia="ja-JP"/>
                              </w:rPr>
                            </w:pPr>
                            <w:r w:rsidRPr="00E10A81">
                              <w:rPr>
                                <w:rFonts w:eastAsia="MS Mincho"/>
                                <w:lang w:val="en-US" w:eastAsia="ja-JP"/>
                              </w:rPr>
                              <w:t>where a Rx beam set refers to a set of UE Rx beams that are used for receiving a DL signal</w:t>
                            </w:r>
                          </w:p>
                          <w:p w14:paraId="64B6D83A"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 xml:space="preserve">Note: It is UE implementation issues on how to construct the Rx beam set.  </w:t>
                            </w:r>
                          </w:p>
                          <w:p w14:paraId="559208D4"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One example: each of Rx beam in a UE Rx beam set corresponds to a selected Rx beam in each panel.</w:t>
                            </w:r>
                          </w:p>
                          <w:p w14:paraId="5E698C19" w14:textId="77777777" w:rsidR="00E16476" w:rsidRPr="00E10A81" w:rsidRDefault="00E16476" w:rsidP="00C00141">
                            <w:pPr>
                              <w:numPr>
                                <w:ilvl w:val="1"/>
                                <w:numId w:val="18"/>
                              </w:numPr>
                              <w:spacing w:after="0"/>
                              <w:rPr>
                                <w:rFonts w:eastAsia="MS Mincho"/>
                                <w:lang w:val="en-US" w:eastAsia="ja-JP"/>
                              </w:rPr>
                            </w:pPr>
                            <w:r w:rsidRPr="00E10A81">
                              <w:rPr>
                                <w:rFonts w:eastAsia="MS Mincho"/>
                                <w:lang w:val="en-US" w:eastAsia="ja-JP"/>
                              </w:rPr>
                              <w:t>For UEs with more than one UE Rx beam sets, the UE can report TRP Tx Beam(s) and an identifier of the associated UE Rx beam set per reported TX beam</w:t>
                            </w:r>
                          </w:p>
                          <w:p w14:paraId="1230882E" w14:textId="77777777" w:rsidR="00E16476" w:rsidRPr="00E10A81" w:rsidRDefault="00E16476" w:rsidP="00C00141">
                            <w:pPr>
                              <w:numPr>
                                <w:ilvl w:val="1"/>
                                <w:numId w:val="18"/>
                              </w:numPr>
                              <w:spacing w:after="0"/>
                              <w:rPr>
                                <w:rFonts w:eastAsia="MS Mincho"/>
                                <w:lang w:val="en-US" w:eastAsia="ja-JP"/>
                              </w:rPr>
                            </w:pPr>
                            <w:r w:rsidRPr="00E10A81">
                              <w:rPr>
                                <w:rFonts w:eastAsia="MS Mincho"/>
                                <w:lang w:val="en-US" w:eastAsia="ja-JP"/>
                              </w:rPr>
                              <w:t>NOTE: Different TRP Tx beams reported for the same Rx beam set can be received simultaneously at the UE.</w:t>
                            </w:r>
                          </w:p>
                          <w:p w14:paraId="6AE5122B" w14:textId="77777777" w:rsidR="00E16476" w:rsidRPr="00E10A81" w:rsidRDefault="00E16476" w:rsidP="00C00141">
                            <w:pPr>
                              <w:numPr>
                                <w:ilvl w:val="1"/>
                                <w:numId w:val="18"/>
                              </w:numPr>
                              <w:spacing w:after="0"/>
                              <w:rPr>
                                <w:rFonts w:eastAsia="MS Mincho"/>
                                <w:lang w:val="en-US" w:eastAsia="ja-JP"/>
                              </w:rPr>
                            </w:pPr>
                            <w:r w:rsidRPr="00E10A81">
                              <w:rPr>
                                <w:rFonts w:eastAsia="MS Mincho"/>
                                <w:lang w:val="en-US" w:eastAsia="ja-JP"/>
                              </w:rPr>
                              <w:t>NOTE: Different TRP TX beams reported for different UE Rx beam set may not be possible to be received simultaneously at the UE</w:t>
                            </w:r>
                          </w:p>
                          <w:p w14:paraId="70F6E412" w14:textId="4060072C" w:rsidR="00E16476" w:rsidRPr="00E10A81" w:rsidRDefault="000218F8" w:rsidP="00C00141">
                            <w:pPr>
                              <w:numPr>
                                <w:ilvl w:val="0"/>
                                <w:numId w:val="18"/>
                              </w:numPr>
                              <w:spacing w:after="0"/>
                              <w:rPr>
                                <w:rFonts w:eastAsia="MS Mincho"/>
                                <w:lang w:val="en-US" w:eastAsia="ja-JP"/>
                              </w:rPr>
                            </w:pPr>
                            <w:r>
                              <w:rPr>
                                <w:rFonts w:eastAsia="MS Mincho"/>
                                <w:lang w:val="en-US" w:eastAsia="ja-JP"/>
                              </w:rPr>
                              <w:t>Alt.2</w:t>
                            </w:r>
                            <w:r w:rsidR="00E16476" w:rsidRPr="00E10A81">
                              <w:rPr>
                                <w:rFonts w:eastAsia="MS Mincho"/>
                                <w:lang w:val="en-US" w:eastAsia="ja-JP"/>
                              </w:rPr>
                              <w:t>:</w:t>
                            </w:r>
                          </w:p>
                          <w:p w14:paraId="4A986878" w14:textId="77777777" w:rsidR="00E16476" w:rsidRDefault="00E16476" w:rsidP="00C00141">
                            <w:pPr>
                              <w:numPr>
                                <w:ilvl w:val="1"/>
                                <w:numId w:val="18"/>
                              </w:numPr>
                              <w:spacing w:after="0"/>
                              <w:rPr>
                                <w:rFonts w:eastAsia="MS Mincho"/>
                                <w:lang w:val="en-US" w:eastAsia="ja-JP"/>
                              </w:rPr>
                            </w:pPr>
                            <w:r w:rsidRPr="00E10A81">
                              <w:rPr>
                                <w:rFonts w:eastAsia="MS Mincho"/>
                                <w:lang w:val="en-US" w:eastAsia="ja-JP"/>
                              </w:rPr>
                              <w:t>UE reports information about TRP Tx Beam(s) per UE antenna group basis</w:t>
                            </w:r>
                          </w:p>
                          <w:p w14:paraId="53ECAD04"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 xml:space="preserve">where UE antenna group refers to receive UE antenna panel or subarray </w:t>
                            </w:r>
                          </w:p>
                          <w:p w14:paraId="39B66219"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For UEs with more than one UE antenna group, the UE can report TRP Tx Beam(s) and an identifier of the associated UE antenna group per reported TX beam</w:t>
                            </w:r>
                          </w:p>
                          <w:p w14:paraId="24DE2549"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NOTE: Different TX beams reported for different antenna groups can be received simultaneously at the UE.</w:t>
                            </w:r>
                          </w:p>
                          <w:p w14:paraId="794930F1"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NOTE: Different TX beams reported for the same UE antenna group may not be possible to be received simultaneously at the UE</w:t>
                            </w:r>
                          </w:p>
                          <w:p w14:paraId="07E77C13" w14:textId="77777777" w:rsidR="00E16476" w:rsidRDefault="00E16476" w:rsidP="00C00141">
                            <w:pPr>
                              <w:pStyle w:val="ListParagraph"/>
                              <w:numPr>
                                <w:ilvl w:val="0"/>
                                <w:numId w:val="18"/>
                              </w:numPr>
                              <w:snapToGrid w:val="0"/>
                              <w:spacing w:after="0"/>
                              <w:contextualSpacing w:val="0"/>
                              <w:rPr>
                                <w:rFonts w:eastAsia="MS Mincho"/>
                                <w:lang w:val="en-US"/>
                              </w:rPr>
                            </w:pPr>
                            <w:r w:rsidRPr="00E10A81">
                              <w:rPr>
                                <w:rFonts w:eastAsia="MS Mincho"/>
                                <w:lang w:val="en-US"/>
                              </w:rPr>
                              <w:t>FFS: How UE antenna group or Rx beam set is captured in the specification</w:t>
                            </w:r>
                          </w:p>
                          <w:p w14:paraId="568F9561" w14:textId="77777777" w:rsidR="00E16476" w:rsidRPr="00A13AE2" w:rsidRDefault="00E16476" w:rsidP="00A13AE2">
                            <w:pPr>
                              <w:snapToGrid w:val="0"/>
                              <w:spacing w:after="0"/>
                              <w:ind w:left="360"/>
                              <w:rPr>
                                <w:rFonts w:eastAsia="MS Mincho"/>
                                <w:lang w:val="en-US"/>
                              </w:rPr>
                            </w:pPr>
                          </w:p>
                          <w:p w14:paraId="5D629815" w14:textId="77777777" w:rsidR="00E16476" w:rsidRPr="00030B2C" w:rsidRDefault="00E16476" w:rsidP="00A13AE2">
                            <w:pPr>
                              <w:spacing w:after="0"/>
                              <w:rPr>
                                <w:rFonts w:eastAsia="MS Mincho"/>
                                <w:b/>
                                <w:u w:val="single"/>
                                <w:lang w:val="en-US" w:eastAsia="ja-JP"/>
                              </w:rPr>
                            </w:pPr>
                            <w:r w:rsidRPr="003C4F55">
                              <w:rPr>
                                <w:rFonts w:eastAsia="MS Mincho" w:hint="eastAsia"/>
                                <w:b/>
                                <w:highlight w:val="green"/>
                                <w:u w:val="single"/>
                                <w:lang w:val="en-US" w:eastAsia="ja-JP"/>
                              </w:rPr>
                              <w:t>Agreements:</w:t>
                            </w:r>
                          </w:p>
                          <w:p w14:paraId="2A714269" w14:textId="77777777" w:rsidR="00E16476" w:rsidRPr="006B13A0" w:rsidRDefault="00E16476" w:rsidP="00A13AE2">
                            <w:pPr>
                              <w:numPr>
                                <w:ilvl w:val="0"/>
                                <w:numId w:val="22"/>
                              </w:numPr>
                              <w:spacing w:after="0"/>
                              <w:rPr>
                                <w:rFonts w:eastAsia="MS Mincho"/>
                                <w:lang w:val="en-US" w:eastAsia="ja-JP"/>
                              </w:rPr>
                            </w:pPr>
                            <w:r w:rsidRPr="006B13A0">
                              <w:rPr>
                                <w:rFonts w:eastAsia="MS Mincho"/>
                                <w:lang w:val="en-US" w:eastAsia="ja-JP"/>
                              </w:rPr>
                              <w:t>NR-PDCCH transmission supports robustness against beam pair link blocking</w:t>
                            </w:r>
                          </w:p>
                          <w:p w14:paraId="560D7562" w14:textId="77777777" w:rsidR="00E16476" w:rsidRPr="006B13A0" w:rsidRDefault="00E16476" w:rsidP="00A13AE2">
                            <w:pPr>
                              <w:numPr>
                                <w:ilvl w:val="1"/>
                                <w:numId w:val="22"/>
                              </w:numPr>
                              <w:spacing w:after="0"/>
                              <w:rPr>
                                <w:rFonts w:eastAsia="MS Mincho"/>
                                <w:lang w:val="en-US" w:eastAsia="ja-JP"/>
                              </w:rPr>
                            </w:pPr>
                            <w:r w:rsidRPr="006B13A0">
                              <w:rPr>
                                <w:rFonts w:eastAsia="MS Mincho"/>
                                <w:lang w:val="en-US" w:eastAsia="ja-JP"/>
                              </w:rPr>
                              <w:t>UE can be configured to monitor NR-PDCCH on M beam pair links simultaneously, where</w:t>
                            </w:r>
                          </w:p>
                          <w:p w14:paraId="5D5D1621" w14:textId="77777777" w:rsidR="00E16476" w:rsidRPr="006B13A0" w:rsidRDefault="00E16476" w:rsidP="00A13AE2">
                            <w:pPr>
                              <w:numPr>
                                <w:ilvl w:val="2"/>
                                <w:numId w:val="22"/>
                              </w:numPr>
                              <w:spacing w:after="0"/>
                              <w:rPr>
                                <w:rFonts w:eastAsia="MS Mincho"/>
                                <w:lang w:val="en-US" w:eastAsia="ja-JP"/>
                              </w:rPr>
                            </w:pPr>
                            <w:r w:rsidRPr="006B13A0">
                              <w:rPr>
                                <w:rFonts w:eastAsia="MS Mincho"/>
                                <w:lang w:val="en-US" w:eastAsia="ja-JP"/>
                              </w:rPr>
                              <w:t>M≥1. Maximum value of M may depend at least on UE capability.</w:t>
                            </w:r>
                          </w:p>
                          <w:p w14:paraId="5726CE8C" w14:textId="77777777" w:rsidR="00E16476" w:rsidRPr="0082116D" w:rsidRDefault="00E16476" w:rsidP="00A13AE2">
                            <w:pPr>
                              <w:numPr>
                                <w:ilvl w:val="2"/>
                                <w:numId w:val="22"/>
                              </w:numPr>
                              <w:spacing w:after="0"/>
                              <w:rPr>
                                <w:rFonts w:eastAsia="MS Mincho"/>
                                <w:lang w:val="en-US" w:eastAsia="ja-JP"/>
                              </w:rPr>
                            </w:pPr>
                            <w:r w:rsidRPr="006B13A0">
                              <w:rPr>
                                <w:rFonts w:eastAsia="MS Mincho"/>
                                <w:lang w:val="en-US" w:eastAsia="ja-JP"/>
                              </w:rPr>
                              <w:t xml:space="preserve">FFS: UE may choose at least one beam </w:t>
                            </w:r>
                            <w:r>
                              <w:rPr>
                                <w:rFonts w:eastAsia="MS Mincho"/>
                                <w:lang w:val="en-US" w:eastAsia="ja-JP"/>
                              </w:rPr>
                              <w:t>out of M for NR-PDCCH reception</w:t>
                            </w:r>
                          </w:p>
                          <w:p w14:paraId="06CEB38B" w14:textId="77777777" w:rsidR="00E16476" w:rsidRPr="00A13AE2" w:rsidRDefault="00E16476" w:rsidP="00A13AE2">
                            <w:pPr>
                              <w:numPr>
                                <w:ilvl w:val="1"/>
                                <w:numId w:val="22"/>
                              </w:numPr>
                              <w:spacing w:after="0"/>
                              <w:rPr>
                                <w:rFonts w:eastAsia="MS Mincho"/>
                                <w:lang w:val="en-US" w:eastAsia="ja-JP"/>
                              </w:rPr>
                            </w:pPr>
                            <w:r w:rsidRPr="00A13AE2">
                              <w:rPr>
                                <w:rFonts w:eastAsia="MS Mincho"/>
                                <w:lang w:val="en-US" w:eastAsia="ja-JP"/>
                              </w:rPr>
                              <w:t>UE can be configured to monitor NR-PDCCH on different beam pair link(s) in different NR-PDCCH OFDM symbols</w:t>
                            </w:r>
                          </w:p>
                          <w:p w14:paraId="42CA9770" w14:textId="77777777" w:rsidR="00E16476" w:rsidRPr="006B13A0" w:rsidRDefault="00E16476" w:rsidP="00A13AE2">
                            <w:pPr>
                              <w:numPr>
                                <w:ilvl w:val="2"/>
                                <w:numId w:val="22"/>
                              </w:numPr>
                              <w:spacing w:after="0"/>
                              <w:rPr>
                                <w:rFonts w:eastAsia="MS Mincho"/>
                                <w:lang w:val="en-US" w:eastAsia="ja-JP"/>
                              </w:rPr>
                            </w:pPr>
                            <w:r>
                              <w:rPr>
                                <w:rFonts w:eastAsia="MS Mincho" w:hint="eastAsia"/>
                                <w:lang w:val="en-US" w:eastAsia="ja-JP"/>
                              </w:rPr>
                              <w:t xml:space="preserve">FFS: </w:t>
                            </w:r>
                            <w:r w:rsidRPr="006B13A0">
                              <w:rPr>
                                <w:rFonts w:eastAsia="MS Mincho"/>
                                <w:lang w:val="en-US" w:eastAsia="ja-JP"/>
                              </w:rPr>
                              <w:t xml:space="preserve">NR-PDCCH on one beam pair link is monitored with shorter duty cycle than other beam pair link(s). </w:t>
                            </w:r>
                          </w:p>
                          <w:p w14:paraId="71208983" w14:textId="77777777" w:rsidR="00E16476" w:rsidRDefault="00E16476" w:rsidP="00A13AE2">
                            <w:pPr>
                              <w:numPr>
                                <w:ilvl w:val="2"/>
                                <w:numId w:val="22"/>
                              </w:numPr>
                              <w:spacing w:after="0"/>
                              <w:rPr>
                                <w:rFonts w:eastAsia="MS Mincho"/>
                                <w:lang w:val="en-US" w:eastAsia="ja-JP"/>
                              </w:rPr>
                            </w:pPr>
                            <w:r w:rsidRPr="006B13A0">
                              <w:rPr>
                                <w:rFonts w:eastAsia="MS Mincho"/>
                                <w:lang w:val="en-US" w:eastAsia="ja-JP"/>
                              </w:rPr>
                              <w:t>FFS: time granularity of configuration, e.g. slot level configuration, symbol level configuration</w:t>
                            </w:r>
                          </w:p>
                          <w:p w14:paraId="08486107" w14:textId="77777777" w:rsidR="00E16476" w:rsidRPr="00A13AE2" w:rsidRDefault="00E16476" w:rsidP="0075751B">
                            <w:pPr>
                              <w:numPr>
                                <w:ilvl w:val="2"/>
                                <w:numId w:val="22"/>
                              </w:numPr>
                              <w:spacing w:after="0"/>
                              <w:rPr>
                                <w:rFonts w:eastAsia="MS Mincho"/>
                                <w:lang w:val="en-US" w:eastAsia="ja-JP"/>
                              </w:rPr>
                            </w:pPr>
                            <w:r>
                              <w:rPr>
                                <w:rFonts w:eastAsia="MS Mincho" w:hint="eastAsia"/>
                                <w:lang w:val="en-US" w:eastAsia="ja-JP"/>
                              </w:rPr>
                              <w:t>FFS: Note that this configuration applies to scenario where UE may not have multiple RF chains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2A1D394"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A21C477" w14:textId="77777777" w:rsidR="00E16476" w:rsidRPr="000B1A15" w:rsidRDefault="00E16476" w:rsidP="0075751B">
                      <w:pPr>
                        <w:spacing w:after="0"/>
                        <w:rPr>
                          <w:rFonts w:eastAsia="MS Mincho"/>
                          <w:b/>
                          <w:highlight w:val="darkYellow"/>
                          <w:u w:val="single"/>
                          <w:lang w:val="en-US" w:eastAsia="ja-JP"/>
                        </w:rPr>
                      </w:pPr>
                      <w:r w:rsidRPr="000B1A15">
                        <w:rPr>
                          <w:rFonts w:eastAsia="MS Mincho" w:hint="eastAsia"/>
                          <w:b/>
                          <w:highlight w:val="darkYellow"/>
                          <w:u w:val="single"/>
                          <w:lang w:val="en-US" w:eastAsia="ja-JP"/>
                        </w:rPr>
                        <w:t>Working assupmtions:</w:t>
                      </w:r>
                    </w:p>
                    <w:p w14:paraId="4C7ABFB4" w14:textId="77777777" w:rsidR="00E16476" w:rsidRPr="00C00141" w:rsidRDefault="00E16476" w:rsidP="00C00141">
                      <w:pPr>
                        <w:snapToGrid w:val="0"/>
                        <w:spacing w:after="0"/>
                        <w:rPr>
                          <w:rFonts w:eastAsia="MS Mincho"/>
                          <w:lang w:val="en-US"/>
                        </w:rPr>
                      </w:pPr>
                      <w:r w:rsidRPr="00C00141">
                        <w:rPr>
                          <w:rFonts w:eastAsia="MS Mincho"/>
                          <w:lang w:val="en-US"/>
                        </w:rPr>
                        <w:t>Support at least one of these two alternatives of beam reporting:</w:t>
                      </w:r>
                    </w:p>
                    <w:p w14:paraId="1C193841" w14:textId="1CBC1519" w:rsidR="00E16476" w:rsidRDefault="000218F8" w:rsidP="00C00141">
                      <w:pPr>
                        <w:numPr>
                          <w:ilvl w:val="0"/>
                          <w:numId w:val="18"/>
                        </w:numPr>
                        <w:spacing w:after="0"/>
                        <w:rPr>
                          <w:rFonts w:eastAsia="MS Mincho"/>
                          <w:lang w:val="en-US" w:eastAsia="ja-JP"/>
                        </w:rPr>
                      </w:pPr>
                      <w:r>
                        <w:rPr>
                          <w:rFonts w:eastAsia="MS Mincho"/>
                          <w:lang w:val="en-US"/>
                        </w:rPr>
                        <w:t>Alt.1</w:t>
                      </w:r>
                      <w:r w:rsidR="00E16476" w:rsidRPr="00E10A81">
                        <w:rPr>
                          <w:rFonts w:eastAsia="MS Mincho"/>
                          <w:lang w:val="en-US" w:eastAsia="ja-JP"/>
                        </w:rPr>
                        <w:t>:</w:t>
                      </w:r>
                    </w:p>
                    <w:p w14:paraId="0E8FE39E" w14:textId="77777777" w:rsidR="00E16476" w:rsidRPr="00E10A81" w:rsidRDefault="00E16476" w:rsidP="00C00141">
                      <w:pPr>
                        <w:numPr>
                          <w:ilvl w:val="1"/>
                          <w:numId w:val="18"/>
                        </w:numPr>
                        <w:spacing w:after="0"/>
                        <w:rPr>
                          <w:rFonts w:eastAsia="MS Mincho"/>
                          <w:lang w:val="en-US" w:eastAsia="ja-JP"/>
                        </w:rPr>
                      </w:pPr>
                      <w:r w:rsidRPr="00E10A81">
                        <w:rPr>
                          <w:rFonts w:eastAsia="MS Mincho"/>
                          <w:lang w:val="en-US" w:eastAsia="ja-JP"/>
                        </w:rPr>
                        <w:t xml:space="preserve">UE reports information about TRP Tx Beam(s) that can be received using selected UE Rx beam set(s).  </w:t>
                      </w:r>
                    </w:p>
                    <w:p w14:paraId="411BDB3F" w14:textId="77777777" w:rsidR="00E16476" w:rsidRDefault="00E16476" w:rsidP="00C00141">
                      <w:pPr>
                        <w:numPr>
                          <w:ilvl w:val="1"/>
                          <w:numId w:val="18"/>
                        </w:numPr>
                        <w:spacing w:after="0"/>
                        <w:rPr>
                          <w:rFonts w:eastAsia="MS Mincho"/>
                          <w:lang w:val="en-US" w:eastAsia="ja-JP"/>
                        </w:rPr>
                      </w:pPr>
                      <w:r w:rsidRPr="00E10A81">
                        <w:rPr>
                          <w:rFonts w:eastAsia="MS Mincho"/>
                          <w:lang w:val="en-US" w:eastAsia="ja-JP"/>
                        </w:rPr>
                        <w:t>where a Rx beam set refers to a set of UE Rx beams that are used for receiving a DL signal</w:t>
                      </w:r>
                    </w:p>
                    <w:p w14:paraId="64B6D83A"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 xml:space="preserve">Note: It is UE implementation issues on how to construct the Rx beam set.  </w:t>
                      </w:r>
                    </w:p>
                    <w:p w14:paraId="559208D4"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One example: each of Rx beam in a UE Rx beam set corresponds to a selected Rx beam in each panel.</w:t>
                      </w:r>
                    </w:p>
                    <w:p w14:paraId="5E698C19" w14:textId="77777777" w:rsidR="00E16476" w:rsidRPr="00E10A81" w:rsidRDefault="00E16476" w:rsidP="00C00141">
                      <w:pPr>
                        <w:numPr>
                          <w:ilvl w:val="1"/>
                          <w:numId w:val="18"/>
                        </w:numPr>
                        <w:spacing w:after="0"/>
                        <w:rPr>
                          <w:rFonts w:eastAsia="MS Mincho"/>
                          <w:lang w:val="en-US" w:eastAsia="ja-JP"/>
                        </w:rPr>
                      </w:pPr>
                      <w:r w:rsidRPr="00E10A81">
                        <w:rPr>
                          <w:rFonts w:eastAsia="MS Mincho"/>
                          <w:lang w:val="en-US" w:eastAsia="ja-JP"/>
                        </w:rPr>
                        <w:t>For UEs with more than one UE Rx beam sets, the UE can report TRP Tx Beam(s) and an identifier of the associated UE Rx beam set per reported TX beam</w:t>
                      </w:r>
                    </w:p>
                    <w:p w14:paraId="1230882E" w14:textId="77777777" w:rsidR="00E16476" w:rsidRPr="00E10A81" w:rsidRDefault="00E16476" w:rsidP="00C00141">
                      <w:pPr>
                        <w:numPr>
                          <w:ilvl w:val="1"/>
                          <w:numId w:val="18"/>
                        </w:numPr>
                        <w:spacing w:after="0"/>
                        <w:rPr>
                          <w:rFonts w:eastAsia="MS Mincho"/>
                          <w:lang w:val="en-US" w:eastAsia="ja-JP"/>
                        </w:rPr>
                      </w:pPr>
                      <w:r w:rsidRPr="00E10A81">
                        <w:rPr>
                          <w:rFonts w:eastAsia="MS Mincho"/>
                          <w:lang w:val="en-US" w:eastAsia="ja-JP"/>
                        </w:rPr>
                        <w:t>NOTE: Different TRP Tx beams reported for the same Rx beam set can be received simultaneously at the UE.</w:t>
                      </w:r>
                    </w:p>
                    <w:p w14:paraId="6AE5122B" w14:textId="77777777" w:rsidR="00E16476" w:rsidRPr="00E10A81" w:rsidRDefault="00E16476" w:rsidP="00C00141">
                      <w:pPr>
                        <w:numPr>
                          <w:ilvl w:val="1"/>
                          <w:numId w:val="18"/>
                        </w:numPr>
                        <w:spacing w:after="0"/>
                        <w:rPr>
                          <w:rFonts w:eastAsia="MS Mincho"/>
                          <w:lang w:val="en-US" w:eastAsia="ja-JP"/>
                        </w:rPr>
                      </w:pPr>
                      <w:r w:rsidRPr="00E10A81">
                        <w:rPr>
                          <w:rFonts w:eastAsia="MS Mincho"/>
                          <w:lang w:val="en-US" w:eastAsia="ja-JP"/>
                        </w:rPr>
                        <w:t>NOTE: Different TRP TX beams reported for different UE Rx beam set may not be possible to be received simultaneously at the UE</w:t>
                      </w:r>
                    </w:p>
                    <w:p w14:paraId="70F6E412" w14:textId="4060072C" w:rsidR="00E16476" w:rsidRPr="00E10A81" w:rsidRDefault="000218F8" w:rsidP="00C00141">
                      <w:pPr>
                        <w:numPr>
                          <w:ilvl w:val="0"/>
                          <w:numId w:val="18"/>
                        </w:numPr>
                        <w:spacing w:after="0"/>
                        <w:rPr>
                          <w:rFonts w:eastAsia="MS Mincho"/>
                          <w:lang w:val="en-US" w:eastAsia="ja-JP"/>
                        </w:rPr>
                      </w:pPr>
                      <w:r>
                        <w:rPr>
                          <w:rFonts w:eastAsia="MS Mincho"/>
                          <w:lang w:val="en-US" w:eastAsia="ja-JP"/>
                        </w:rPr>
                        <w:t>Alt.2</w:t>
                      </w:r>
                      <w:r w:rsidR="00E16476" w:rsidRPr="00E10A81">
                        <w:rPr>
                          <w:rFonts w:eastAsia="MS Mincho"/>
                          <w:lang w:val="en-US" w:eastAsia="ja-JP"/>
                        </w:rPr>
                        <w:t>:</w:t>
                      </w:r>
                    </w:p>
                    <w:p w14:paraId="4A986878" w14:textId="77777777" w:rsidR="00E16476" w:rsidRDefault="00E16476" w:rsidP="00C00141">
                      <w:pPr>
                        <w:numPr>
                          <w:ilvl w:val="1"/>
                          <w:numId w:val="18"/>
                        </w:numPr>
                        <w:spacing w:after="0"/>
                        <w:rPr>
                          <w:rFonts w:eastAsia="MS Mincho"/>
                          <w:lang w:val="en-US" w:eastAsia="ja-JP"/>
                        </w:rPr>
                      </w:pPr>
                      <w:r w:rsidRPr="00E10A81">
                        <w:rPr>
                          <w:rFonts w:eastAsia="MS Mincho"/>
                          <w:lang w:val="en-US" w:eastAsia="ja-JP"/>
                        </w:rPr>
                        <w:t>UE reports information about TRP Tx Beam(s) per UE antenna group basis</w:t>
                      </w:r>
                    </w:p>
                    <w:p w14:paraId="53ECAD04"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 xml:space="preserve">where UE antenna group refers to receive UE antenna panel or subarray </w:t>
                      </w:r>
                    </w:p>
                    <w:p w14:paraId="39B66219"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For UEs with more than one UE antenna group, the UE can report TRP Tx Beam(s) and an identifier of the associated UE antenna group per reported TX beam</w:t>
                      </w:r>
                    </w:p>
                    <w:p w14:paraId="24DE2549"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NOTE: Different TX beams reported for different antenna groups can be received simultaneously at the UE.</w:t>
                      </w:r>
                    </w:p>
                    <w:p w14:paraId="794930F1" w14:textId="77777777" w:rsidR="00E16476" w:rsidRPr="00E10A81" w:rsidRDefault="00E16476" w:rsidP="00C00141">
                      <w:pPr>
                        <w:numPr>
                          <w:ilvl w:val="2"/>
                          <w:numId w:val="18"/>
                        </w:numPr>
                        <w:spacing w:after="0"/>
                        <w:rPr>
                          <w:rFonts w:eastAsia="MS Mincho"/>
                          <w:lang w:val="en-US" w:eastAsia="ja-JP"/>
                        </w:rPr>
                      </w:pPr>
                      <w:r w:rsidRPr="00E10A81">
                        <w:rPr>
                          <w:rFonts w:eastAsia="MS Mincho"/>
                          <w:lang w:val="en-US" w:eastAsia="ja-JP"/>
                        </w:rPr>
                        <w:t>NOTE: Different TX beams reported for the same UE antenna group may not be possible to be received simultaneously at the UE</w:t>
                      </w:r>
                    </w:p>
                    <w:p w14:paraId="07E77C13" w14:textId="77777777" w:rsidR="00E16476" w:rsidRDefault="00E16476" w:rsidP="00C00141">
                      <w:pPr>
                        <w:pStyle w:val="ListParagraph"/>
                        <w:numPr>
                          <w:ilvl w:val="0"/>
                          <w:numId w:val="18"/>
                        </w:numPr>
                        <w:snapToGrid w:val="0"/>
                        <w:spacing w:after="0"/>
                        <w:contextualSpacing w:val="0"/>
                        <w:rPr>
                          <w:rFonts w:eastAsia="MS Mincho"/>
                          <w:lang w:val="en-US"/>
                        </w:rPr>
                      </w:pPr>
                      <w:r w:rsidRPr="00E10A81">
                        <w:rPr>
                          <w:rFonts w:eastAsia="MS Mincho"/>
                          <w:lang w:val="en-US"/>
                        </w:rPr>
                        <w:t>FFS: How UE antenna group or Rx beam set is captured in the specification</w:t>
                      </w:r>
                    </w:p>
                    <w:p w14:paraId="568F9561" w14:textId="77777777" w:rsidR="00E16476" w:rsidRPr="00A13AE2" w:rsidRDefault="00E16476" w:rsidP="00A13AE2">
                      <w:pPr>
                        <w:snapToGrid w:val="0"/>
                        <w:spacing w:after="0"/>
                        <w:ind w:left="360"/>
                        <w:rPr>
                          <w:rFonts w:eastAsia="MS Mincho"/>
                          <w:lang w:val="en-US"/>
                        </w:rPr>
                      </w:pPr>
                    </w:p>
                    <w:p w14:paraId="5D629815" w14:textId="77777777" w:rsidR="00E16476" w:rsidRPr="00030B2C" w:rsidRDefault="00E16476" w:rsidP="00A13AE2">
                      <w:pPr>
                        <w:spacing w:after="0"/>
                        <w:rPr>
                          <w:rFonts w:eastAsia="MS Mincho"/>
                          <w:b/>
                          <w:u w:val="single"/>
                          <w:lang w:val="en-US" w:eastAsia="ja-JP"/>
                        </w:rPr>
                      </w:pPr>
                      <w:r w:rsidRPr="003C4F55">
                        <w:rPr>
                          <w:rFonts w:eastAsia="MS Mincho" w:hint="eastAsia"/>
                          <w:b/>
                          <w:highlight w:val="green"/>
                          <w:u w:val="single"/>
                          <w:lang w:val="en-US" w:eastAsia="ja-JP"/>
                        </w:rPr>
                        <w:t>Agreements:</w:t>
                      </w:r>
                    </w:p>
                    <w:p w14:paraId="2A714269" w14:textId="77777777" w:rsidR="00E16476" w:rsidRPr="006B13A0" w:rsidRDefault="00E16476" w:rsidP="00A13AE2">
                      <w:pPr>
                        <w:numPr>
                          <w:ilvl w:val="0"/>
                          <w:numId w:val="22"/>
                        </w:numPr>
                        <w:spacing w:after="0"/>
                        <w:rPr>
                          <w:rFonts w:eastAsia="MS Mincho"/>
                          <w:lang w:val="en-US" w:eastAsia="ja-JP"/>
                        </w:rPr>
                      </w:pPr>
                      <w:r w:rsidRPr="006B13A0">
                        <w:rPr>
                          <w:rFonts w:eastAsia="MS Mincho"/>
                          <w:lang w:val="en-US" w:eastAsia="ja-JP"/>
                        </w:rPr>
                        <w:t>NR-PDCCH transmission supports robustness against beam pair link blocking</w:t>
                      </w:r>
                    </w:p>
                    <w:p w14:paraId="560D7562" w14:textId="77777777" w:rsidR="00E16476" w:rsidRPr="006B13A0" w:rsidRDefault="00E16476" w:rsidP="00A13AE2">
                      <w:pPr>
                        <w:numPr>
                          <w:ilvl w:val="1"/>
                          <w:numId w:val="22"/>
                        </w:numPr>
                        <w:spacing w:after="0"/>
                        <w:rPr>
                          <w:rFonts w:eastAsia="MS Mincho"/>
                          <w:lang w:val="en-US" w:eastAsia="ja-JP"/>
                        </w:rPr>
                      </w:pPr>
                      <w:r w:rsidRPr="006B13A0">
                        <w:rPr>
                          <w:rFonts w:eastAsia="MS Mincho"/>
                          <w:lang w:val="en-US" w:eastAsia="ja-JP"/>
                        </w:rPr>
                        <w:t>UE can be configured to monitor NR-PDCCH on M beam pair links simultaneously, where</w:t>
                      </w:r>
                    </w:p>
                    <w:p w14:paraId="5D5D1621" w14:textId="77777777" w:rsidR="00E16476" w:rsidRPr="006B13A0" w:rsidRDefault="00E16476" w:rsidP="00A13AE2">
                      <w:pPr>
                        <w:numPr>
                          <w:ilvl w:val="2"/>
                          <w:numId w:val="22"/>
                        </w:numPr>
                        <w:spacing w:after="0"/>
                        <w:rPr>
                          <w:rFonts w:eastAsia="MS Mincho"/>
                          <w:lang w:val="en-US" w:eastAsia="ja-JP"/>
                        </w:rPr>
                      </w:pPr>
                      <w:r w:rsidRPr="006B13A0">
                        <w:rPr>
                          <w:rFonts w:eastAsia="MS Mincho"/>
                          <w:lang w:val="en-US" w:eastAsia="ja-JP"/>
                        </w:rPr>
                        <w:t>M≥1. Maximum value of M may depend at least on UE capability.</w:t>
                      </w:r>
                    </w:p>
                    <w:p w14:paraId="5726CE8C" w14:textId="77777777" w:rsidR="00E16476" w:rsidRPr="0082116D" w:rsidRDefault="00E16476" w:rsidP="00A13AE2">
                      <w:pPr>
                        <w:numPr>
                          <w:ilvl w:val="2"/>
                          <w:numId w:val="22"/>
                        </w:numPr>
                        <w:spacing w:after="0"/>
                        <w:rPr>
                          <w:rFonts w:eastAsia="MS Mincho"/>
                          <w:lang w:val="en-US" w:eastAsia="ja-JP"/>
                        </w:rPr>
                      </w:pPr>
                      <w:r w:rsidRPr="006B13A0">
                        <w:rPr>
                          <w:rFonts w:eastAsia="MS Mincho"/>
                          <w:lang w:val="en-US" w:eastAsia="ja-JP"/>
                        </w:rPr>
                        <w:t xml:space="preserve">FFS: UE may choose at least one beam </w:t>
                      </w:r>
                      <w:r>
                        <w:rPr>
                          <w:rFonts w:eastAsia="MS Mincho"/>
                          <w:lang w:val="en-US" w:eastAsia="ja-JP"/>
                        </w:rPr>
                        <w:t>out of M for NR-PDCCH reception</w:t>
                      </w:r>
                    </w:p>
                    <w:p w14:paraId="06CEB38B" w14:textId="77777777" w:rsidR="00E16476" w:rsidRPr="00A13AE2" w:rsidRDefault="00E16476" w:rsidP="00A13AE2">
                      <w:pPr>
                        <w:numPr>
                          <w:ilvl w:val="1"/>
                          <w:numId w:val="22"/>
                        </w:numPr>
                        <w:spacing w:after="0"/>
                        <w:rPr>
                          <w:rFonts w:eastAsia="MS Mincho"/>
                          <w:lang w:val="en-US" w:eastAsia="ja-JP"/>
                        </w:rPr>
                      </w:pPr>
                      <w:r w:rsidRPr="00A13AE2">
                        <w:rPr>
                          <w:rFonts w:eastAsia="MS Mincho"/>
                          <w:lang w:val="en-US" w:eastAsia="ja-JP"/>
                        </w:rPr>
                        <w:t>UE can be configured to monitor NR-PDCCH on different beam pair link(s) in different NR-PDCCH OFDM symbols</w:t>
                      </w:r>
                    </w:p>
                    <w:p w14:paraId="42CA9770" w14:textId="77777777" w:rsidR="00E16476" w:rsidRPr="006B13A0" w:rsidRDefault="00E16476" w:rsidP="00A13AE2">
                      <w:pPr>
                        <w:numPr>
                          <w:ilvl w:val="2"/>
                          <w:numId w:val="22"/>
                        </w:numPr>
                        <w:spacing w:after="0"/>
                        <w:rPr>
                          <w:rFonts w:eastAsia="MS Mincho"/>
                          <w:lang w:val="en-US" w:eastAsia="ja-JP"/>
                        </w:rPr>
                      </w:pPr>
                      <w:r>
                        <w:rPr>
                          <w:rFonts w:eastAsia="MS Mincho" w:hint="eastAsia"/>
                          <w:lang w:val="en-US" w:eastAsia="ja-JP"/>
                        </w:rPr>
                        <w:t xml:space="preserve">FFS: </w:t>
                      </w:r>
                      <w:r w:rsidRPr="006B13A0">
                        <w:rPr>
                          <w:rFonts w:eastAsia="MS Mincho"/>
                          <w:lang w:val="en-US" w:eastAsia="ja-JP"/>
                        </w:rPr>
                        <w:t xml:space="preserve">NR-PDCCH on one beam pair link is monitored with shorter duty cycle than other beam pair link(s). </w:t>
                      </w:r>
                    </w:p>
                    <w:p w14:paraId="71208983" w14:textId="77777777" w:rsidR="00E16476" w:rsidRDefault="00E16476" w:rsidP="00A13AE2">
                      <w:pPr>
                        <w:numPr>
                          <w:ilvl w:val="2"/>
                          <w:numId w:val="22"/>
                        </w:numPr>
                        <w:spacing w:after="0"/>
                        <w:rPr>
                          <w:rFonts w:eastAsia="MS Mincho"/>
                          <w:lang w:val="en-US" w:eastAsia="ja-JP"/>
                        </w:rPr>
                      </w:pPr>
                      <w:r w:rsidRPr="006B13A0">
                        <w:rPr>
                          <w:rFonts w:eastAsia="MS Mincho"/>
                          <w:lang w:val="en-US" w:eastAsia="ja-JP"/>
                        </w:rPr>
                        <w:t>FFS: time granularity of configuration, e.g. slot level configuration, symbol level configuration</w:t>
                      </w:r>
                    </w:p>
                    <w:p w14:paraId="08486107" w14:textId="77777777" w:rsidR="00E16476" w:rsidRPr="00A13AE2" w:rsidRDefault="00E16476" w:rsidP="0075751B">
                      <w:pPr>
                        <w:numPr>
                          <w:ilvl w:val="2"/>
                          <w:numId w:val="22"/>
                        </w:numPr>
                        <w:spacing w:after="0"/>
                        <w:rPr>
                          <w:rFonts w:eastAsia="MS Mincho"/>
                          <w:lang w:val="en-US" w:eastAsia="ja-JP"/>
                        </w:rPr>
                      </w:pPr>
                      <w:r>
                        <w:rPr>
                          <w:rFonts w:eastAsia="MS Mincho" w:hint="eastAsia"/>
                          <w:lang w:val="en-US" w:eastAsia="ja-JP"/>
                        </w:rPr>
                        <w:t>FFS: Note that this configuration applies to scenario where UE may not have multiple RF chains</w:t>
                      </w:r>
                    </w:p>
                  </w:txbxContent>
                </v:textbox>
                <w10:anchorlock/>
              </v:shape>
            </w:pict>
          </mc:Fallback>
        </mc:AlternateContent>
      </w:r>
    </w:p>
    <w:p w14:paraId="6DAFA303" w14:textId="7568A67F" w:rsidR="00477768" w:rsidRPr="00CE0424" w:rsidRDefault="00BF7642" w:rsidP="00BF7642">
      <w:pPr>
        <w:pStyle w:val="BodyText"/>
      </w:pPr>
      <w:r>
        <w:t xml:space="preserve">In this contribution, </w:t>
      </w:r>
      <w:r w:rsidR="00536872">
        <w:t>we</w:t>
      </w:r>
      <w:r w:rsidR="008D2B45">
        <w:t xml:space="preserve"> discuss an example use case for beam set/group reporting in the context of establishing multiple beam pair links (BPLs) for NR-PDCCH robustness, as in the 2</w:t>
      </w:r>
      <w:r w:rsidR="008D2B45" w:rsidRPr="008D2B45">
        <w:rPr>
          <w:vertAlign w:val="superscript"/>
        </w:rPr>
        <w:t>nd</w:t>
      </w:r>
      <w:r w:rsidR="008D2B45">
        <w:t xml:space="preserve"> agreement. We compare </w:t>
      </w:r>
      <w:r w:rsidR="000218F8">
        <w:t>Alt.1</w:t>
      </w:r>
      <w:r w:rsidR="008D2B45">
        <w:t xml:space="preserve"> and </w:t>
      </w:r>
      <w:r w:rsidR="000218F8">
        <w:t>Alt.2</w:t>
      </w:r>
      <w:r w:rsidR="008D2B45">
        <w:t xml:space="preserve"> in </w:t>
      </w:r>
      <w:r w:rsidR="008D2B45">
        <w:lastRenderedPageBreak/>
        <w:t xml:space="preserve">the 1st agreement </w:t>
      </w:r>
      <w:r w:rsidR="00377731">
        <w:t xml:space="preserve">by way of an example, and </w:t>
      </w:r>
      <w:r w:rsidR="00251567">
        <w:t>observe</w:t>
      </w:r>
      <w:r w:rsidR="00377731">
        <w:t xml:space="preserve"> that </w:t>
      </w:r>
      <w:r w:rsidR="000218F8">
        <w:t>Alt.2</w:t>
      </w:r>
      <w:r w:rsidR="00377731">
        <w:t xml:space="preserve"> provides more flexibility on the gN</w:t>
      </w:r>
      <w:r w:rsidR="00251567">
        <w:t>B side for multi-BPL operation, and may result in lower overhead.</w:t>
      </w:r>
    </w:p>
    <w:p w14:paraId="060D9A56" w14:textId="77777777" w:rsidR="004000E8" w:rsidRDefault="004000E8" w:rsidP="00CE0424">
      <w:pPr>
        <w:pStyle w:val="Heading1"/>
      </w:pPr>
      <w:bookmarkStart w:id="1" w:name="_Ref178064866"/>
      <w:r w:rsidRPr="00CE0424">
        <w:t>Discussion</w:t>
      </w:r>
      <w:bookmarkEnd w:id="1"/>
    </w:p>
    <w:p w14:paraId="52E68C9D" w14:textId="1F58C02E" w:rsidR="007F0998" w:rsidRDefault="00814C01" w:rsidP="003A0E41">
      <w:r>
        <w:t xml:space="preserve">As we discuss in our overview of beam management in </w:t>
      </w:r>
      <w:r>
        <w:fldChar w:fldCharType="begin"/>
      </w:r>
      <w:r>
        <w:instrText xml:space="preserve"> REF _Ref474080629 \r \h </w:instrText>
      </w:r>
      <w:r>
        <w:fldChar w:fldCharType="separate"/>
      </w:r>
      <w:r>
        <w:t>[1]</w:t>
      </w:r>
      <w:r>
        <w:fldChar w:fldCharType="end"/>
      </w:r>
      <w:r>
        <w:t xml:space="preserve">, for longer data sessions it can be beneficial to establish </w:t>
      </w:r>
      <w:r w:rsidR="00216761">
        <w:t>and maintain two</w:t>
      </w:r>
      <w:r>
        <w:t xml:space="preserve"> or more beam pair links (BPL</w:t>
      </w:r>
      <w:r w:rsidR="00216761">
        <w:t>s</w:t>
      </w:r>
      <w:r>
        <w:t>) for NR-PDCCH robustness against blocking (as in 2</w:t>
      </w:r>
      <w:r w:rsidRPr="00814C01">
        <w:rPr>
          <w:vertAlign w:val="superscript"/>
        </w:rPr>
        <w:t>nd</w:t>
      </w:r>
      <w:r>
        <w:t xml:space="preserve"> agreement above) as well as optimization of NR-PDSCH performance</w:t>
      </w:r>
      <w:r w:rsidR="00216761">
        <w:t>, e.g., D-MIMO</w:t>
      </w:r>
      <w:r>
        <w:t>. A BPL is a radio link described by a pair of beams, one at the gNB Tx side and the other at the UE Rx side</w:t>
      </w:r>
      <w:r w:rsidR="000050D8">
        <w:t>. I</w:t>
      </w:r>
      <w:r w:rsidR="003A16A3">
        <w:t>n some cases, a UE can receive data/control on only one BPL</w:t>
      </w:r>
      <w:r w:rsidR="000050D8">
        <w:t xml:space="preserve"> at a given time instant, for example if it has only a single antenna panel with analog beamforming capability. </w:t>
      </w:r>
      <w:r w:rsidR="00216761">
        <w:t>However, if the UE is equipped with two or more antenna panels, each with its own TXRUs, it may be possible to utilize two or more BPLs simultaneously for NR-PDCCH and/or NR-PDSCH</w:t>
      </w:r>
      <w:r w:rsidR="005B36D3">
        <w:t xml:space="preserve"> reception</w:t>
      </w:r>
      <w:r w:rsidR="00216761">
        <w:t>. Since the gNB is in control of the setup and maintenance of beam pair links through appropriate configuration of measurement signals (multiple CSI-RS resources), it is beneficial for the UE to indicate in its measurement reports which gNB Tx beams can potentially be received simultaneously at the UE, e.g., on different antenna panels.</w:t>
      </w:r>
      <w:r w:rsidR="000F3307">
        <w:t xml:space="preserve"> </w:t>
      </w:r>
      <w:r w:rsidR="00216761">
        <w:t>In the 1</w:t>
      </w:r>
      <w:r w:rsidR="00216761" w:rsidRPr="00216761">
        <w:rPr>
          <w:vertAlign w:val="superscript"/>
        </w:rPr>
        <w:t>st</w:t>
      </w:r>
      <w:r w:rsidR="00216761">
        <w:t xml:space="preserve"> agreement above, two alternatives are listed (</w:t>
      </w:r>
      <w:r w:rsidR="000218F8">
        <w:t>Alt.1</w:t>
      </w:r>
      <w:r w:rsidR="00216761">
        <w:t xml:space="preserve"> and </w:t>
      </w:r>
      <w:r w:rsidR="000218F8">
        <w:t>Alt.2</w:t>
      </w:r>
      <w:r w:rsidR="00216761">
        <w:t xml:space="preserve">) for enabling </w:t>
      </w:r>
      <w:r w:rsidR="007F0998">
        <w:t>multi-BPL</w:t>
      </w:r>
      <w:r w:rsidR="00216761">
        <w:t xml:space="preserve"> operation through grouping </w:t>
      </w:r>
      <w:r w:rsidR="000F3307">
        <w:t xml:space="preserve">of </w:t>
      </w:r>
      <w:r w:rsidR="00216761">
        <w:t xml:space="preserve">measurement reports corresponding to different Tx </w:t>
      </w:r>
      <w:r w:rsidR="007F0998">
        <w:t>beams</w:t>
      </w:r>
      <w:r w:rsidR="00216761">
        <w:t xml:space="preserve">. There are subtle differences between these two alternatives, and we discuss those here. We find that </w:t>
      </w:r>
      <w:r w:rsidR="000218F8">
        <w:t>Alt.2</w:t>
      </w:r>
      <w:r w:rsidR="00377731">
        <w:t xml:space="preserve"> offers more flexibility to the gNB for enabling multi-BPL operation.</w:t>
      </w:r>
    </w:p>
    <w:p w14:paraId="71AD45CA" w14:textId="3E7B60BA" w:rsidR="00D716DE" w:rsidRDefault="00A70F0A" w:rsidP="000050D8">
      <w:pPr>
        <w:pStyle w:val="Observation"/>
      </w:pPr>
      <w:bookmarkStart w:id="2" w:name="_Toc474146617"/>
      <w:r>
        <w:t xml:space="preserve">There are cases when beam reporting per beam set or </w:t>
      </w:r>
      <w:r w:rsidR="000050D8">
        <w:t xml:space="preserve">per </w:t>
      </w:r>
      <w:r>
        <w:t>beam group (</w:t>
      </w:r>
      <w:r w:rsidR="000218F8">
        <w:t>Alt.1</w:t>
      </w:r>
      <w:r>
        <w:t xml:space="preserve"> and </w:t>
      </w:r>
      <w:r w:rsidR="000218F8">
        <w:t>Alt.2</w:t>
      </w:r>
      <w:r>
        <w:t>) need not be configured as i</w:t>
      </w:r>
      <w:r w:rsidR="000050D8">
        <w:t>t depends on UE capability. A</w:t>
      </w:r>
      <w:r>
        <w:t>dditionally, w</w:t>
      </w:r>
      <w:r w:rsidR="00D716DE">
        <w:t xml:space="preserve">e don’t see any motivation for using </w:t>
      </w:r>
      <w:r>
        <w:t>this</w:t>
      </w:r>
      <w:r w:rsidR="000050D8">
        <w:t xml:space="preserve"> for single BPL (M=1) operation</w:t>
      </w:r>
      <w:r w:rsidR="00D716DE">
        <w:t>.</w:t>
      </w:r>
      <w:bookmarkEnd w:id="2"/>
    </w:p>
    <w:p w14:paraId="1F5B3FA9" w14:textId="402C76E1" w:rsidR="00072C2B" w:rsidRDefault="005E2837" w:rsidP="003A0E41">
      <w:r>
        <w:t>We discuss the two alternatives by way of an example.</w:t>
      </w:r>
      <w:r w:rsidR="007F0998">
        <w:t xml:space="preserve"> </w:t>
      </w:r>
      <w:r w:rsidR="00072C2B">
        <w:t>We</w:t>
      </w:r>
      <w:r>
        <w:t xml:space="preserve"> consider two </w:t>
      </w:r>
      <w:r w:rsidR="00072C2B">
        <w:t>tightly synchronized TRPs</w:t>
      </w:r>
      <w:r>
        <w:t xml:space="preserve">, e.g., </w:t>
      </w:r>
      <w:r w:rsidR="00072C2B">
        <w:t>connected</w:t>
      </w:r>
      <w:r>
        <w:t xml:space="preserve"> to </w:t>
      </w:r>
      <w:r w:rsidR="00072C2B">
        <w:t xml:space="preserve">a </w:t>
      </w:r>
      <w:r>
        <w:t xml:space="preserve">common baseband. We assume that the gNB configures </w:t>
      </w:r>
      <w:r w:rsidR="00072C2B">
        <w:t xml:space="preserve">the UE </w:t>
      </w:r>
      <w:r w:rsidR="00A70F0A">
        <w:t xml:space="preserve">to measure on </w:t>
      </w:r>
      <w:r>
        <w:t xml:space="preserve">12 CSI-RS resources, </w:t>
      </w:r>
      <w:r w:rsidR="00A70F0A">
        <w:t xml:space="preserve">and the network choose to transmit </w:t>
      </w:r>
      <w:r>
        <w:t>6 from each TRP.</w:t>
      </w:r>
      <w:r w:rsidR="007F0998">
        <w:t xml:space="preserve"> Each CSI-RS resource is beamformed differently, corresponding to the 6 TRP Tx beams </w:t>
      </w:r>
      <w:r w:rsidR="00072C2B">
        <w:t xml:space="preserve">per TRP </w:t>
      </w:r>
      <w:r w:rsidR="007F0998">
        <w:t xml:space="preserve">shown in </w:t>
      </w:r>
      <w:r w:rsidR="007F0998">
        <w:fldChar w:fldCharType="begin"/>
      </w:r>
      <w:r w:rsidR="007F0998">
        <w:instrText xml:space="preserve"> REF _Ref474082468 \h </w:instrText>
      </w:r>
      <w:r w:rsidR="007F0998">
        <w:fldChar w:fldCharType="separate"/>
      </w:r>
      <w:r w:rsidR="007F0998">
        <w:t xml:space="preserve">Figure </w:t>
      </w:r>
      <w:r w:rsidR="007F0998">
        <w:rPr>
          <w:noProof/>
        </w:rPr>
        <w:t>1</w:t>
      </w:r>
      <w:r w:rsidR="007F0998">
        <w:fldChar w:fldCharType="end"/>
      </w:r>
      <w:r w:rsidR="007F0998">
        <w:t xml:space="preserve"> and </w:t>
      </w:r>
      <w:r w:rsidR="007F0998">
        <w:fldChar w:fldCharType="begin"/>
      </w:r>
      <w:r w:rsidR="007F0998">
        <w:instrText xml:space="preserve"> REF _Ref474082472 \h </w:instrText>
      </w:r>
      <w:r w:rsidR="007F0998">
        <w:fldChar w:fldCharType="separate"/>
      </w:r>
      <w:r w:rsidR="007F0998">
        <w:t xml:space="preserve">Figure </w:t>
      </w:r>
      <w:r w:rsidR="007F0998">
        <w:rPr>
          <w:noProof/>
        </w:rPr>
        <w:t>2</w:t>
      </w:r>
      <w:r w:rsidR="007F0998">
        <w:fldChar w:fldCharType="end"/>
      </w:r>
      <w:r w:rsidR="007F0998">
        <w:t xml:space="preserve">. </w:t>
      </w:r>
      <w:r w:rsidR="00072C2B">
        <w:t xml:space="preserve">Given the tight synchronization, the </w:t>
      </w:r>
      <w:r>
        <w:t xml:space="preserve">UE </w:t>
      </w:r>
      <w:r w:rsidR="00072C2B">
        <w:t xml:space="preserve">need not know </w:t>
      </w:r>
      <w:r>
        <w:t>from which TRP a given CSI-RS resource is transmitted. The UE is aware only of a resource indicator associated with each CSI-RS resource</w:t>
      </w:r>
      <w:r w:rsidR="00072C2B">
        <w:t>, and it performs measurements on a per-resource basis</w:t>
      </w:r>
      <w:r w:rsidR="007F0998">
        <w:t>.</w:t>
      </w:r>
    </w:p>
    <w:p w14:paraId="0AA5F1D1" w14:textId="57D60EEA" w:rsidR="00344BA6" w:rsidRDefault="007F0998" w:rsidP="000218F8">
      <w:r>
        <w:t xml:space="preserve">We assume that each TRP consists of a single antenna panel employing analog beamforming; hence, only one Tx beam may be active at a time from each TRP. </w:t>
      </w:r>
      <w:r w:rsidR="00A70F0A">
        <w:t>T</w:t>
      </w:r>
      <w:r>
        <w:t>he UE is equipped with two antenna panels, each with one or more TXRUs per panel</w:t>
      </w:r>
      <w:r w:rsidR="000050D8">
        <w:t xml:space="preserve">. Hence the UE is capable of simultaneous reception </w:t>
      </w:r>
      <w:r w:rsidR="000218F8">
        <w:t xml:space="preserve">and measurement </w:t>
      </w:r>
      <w:r w:rsidR="000050D8">
        <w:t xml:space="preserve">on two different BPLs corresponding to the two </w:t>
      </w:r>
      <w:r w:rsidR="000218F8">
        <w:t xml:space="preserve">different </w:t>
      </w:r>
      <w:r w:rsidR="000050D8">
        <w:t>panels</w:t>
      </w:r>
      <w:r w:rsidR="000218F8">
        <w:t xml:space="preserve">. The </w:t>
      </w:r>
      <w:r w:rsidR="00344BA6">
        <w:t>UE</w:t>
      </w:r>
      <w:r w:rsidR="000F3307">
        <w:t xml:space="preserve"> </w:t>
      </w:r>
      <w:r w:rsidR="00344BA6">
        <w:t>measures RSRP corresponding to each of the 12 CSI-RS resource</w:t>
      </w:r>
      <w:r w:rsidR="00A70F0A">
        <w:t>s and for</w:t>
      </w:r>
      <w:r w:rsidR="00344BA6">
        <w:t xml:space="preserve"> each resource, it tries 3 different Rx beams per panel. Hence, the UE performs a total of 72 RSRP measurements</w:t>
      </w:r>
      <w:r w:rsidR="00A70F0A">
        <w:t xml:space="preserve"> and</w:t>
      </w:r>
      <w:r w:rsidR="00344BA6">
        <w:t xml:space="preserve"> report</w:t>
      </w:r>
      <w:r w:rsidR="000218F8">
        <w:t>s</w:t>
      </w:r>
      <w:r w:rsidR="00344BA6">
        <w:t xml:space="preserve"> measured CSI-RSRP on the top-N beam pairs, where N = 4 in this example. The UE remembers the bes</w:t>
      </w:r>
      <w:r w:rsidR="000F3307">
        <w:t xml:space="preserve">t Rx beam </w:t>
      </w:r>
      <w:r w:rsidR="00D716DE">
        <w:t xml:space="preserve">and panel </w:t>
      </w:r>
      <w:r w:rsidR="000F3307">
        <w:t>used for each of the top-N RSRPs</w:t>
      </w:r>
      <w:r w:rsidR="00344BA6">
        <w:t>.</w:t>
      </w:r>
    </w:p>
    <w:p w14:paraId="1B3A93FA" w14:textId="77777777" w:rsidR="000F3307" w:rsidRDefault="000F3307" w:rsidP="003A0E41">
      <w:r>
        <w:t xml:space="preserve">Let the top-4 measured RSRPs be as shown in </w:t>
      </w:r>
      <w:r w:rsidR="00C841CF">
        <w:fldChar w:fldCharType="begin"/>
      </w:r>
      <w:r w:rsidR="00C841CF">
        <w:instrText xml:space="preserve"> REF _Ref474084228 \h </w:instrText>
      </w:r>
      <w:r w:rsidR="00C841CF">
        <w:fldChar w:fldCharType="separate"/>
      </w:r>
      <w:r w:rsidR="00C841CF">
        <w:t xml:space="preserve">Table </w:t>
      </w:r>
      <w:r w:rsidR="00C841CF">
        <w:rPr>
          <w:noProof/>
        </w:rPr>
        <w:t>1</w:t>
      </w:r>
      <w:r w:rsidR="00C841CF">
        <w:fldChar w:fldCharType="end"/>
      </w:r>
      <w:r>
        <w:t xml:space="preserve">, where the CSI-RS resource indicators (CRIs) correspond to the TRP beam numbers shown in </w:t>
      </w:r>
      <w:r>
        <w:fldChar w:fldCharType="begin"/>
      </w:r>
      <w:r>
        <w:instrText xml:space="preserve"> REF _Ref474082468 \h </w:instrText>
      </w:r>
      <w:r>
        <w:fldChar w:fldCharType="separate"/>
      </w:r>
      <w:r>
        <w:t xml:space="preserve">Figure </w:t>
      </w:r>
      <w:r>
        <w:rPr>
          <w:noProof/>
        </w:rPr>
        <w:t>1</w:t>
      </w:r>
      <w:r>
        <w:fldChar w:fldCharType="end"/>
      </w:r>
      <w:r>
        <w:t xml:space="preserve"> and </w:t>
      </w:r>
      <w:r>
        <w:fldChar w:fldCharType="begin"/>
      </w:r>
      <w:r>
        <w:instrText xml:space="preserve"> REF _Ref474082472 \h </w:instrText>
      </w:r>
      <w:r>
        <w:fldChar w:fldCharType="separate"/>
      </w:r>
      <w:r>
        <w:t xml:space="preserve">Figure </w:t>
      </w:r>
      <w:r>
        <w:rPr>
          <w:noProof/>
        </w:rPr>
        <w:t>2</w:t>
      </w:r>
      <w:r>
        <w:fldChar w:fldCharType="end"/>
      </w:r>
      <w:r>
        <w:t>.</w:t>
      </w:r>
      <w:r w:rsidR="00D716DE">
        <w:t xml:space="preserve"> Note that only the gNB is aware of the beam-to-CRI mapping.</w:t>
      </w:r>
    </w:p>
    <w:p w14:paraId="314BA860" w14:textId="77777777" w:rsidR="000F3307" w:rsidRDefault="000F3307" w:rsidP="000F3307">
      <w:pPr>
        <w:pStyle w:val="Caption"/>
        <w:keepNext/>
      </w:pPr>
      <w:bookmarkStart w:id="3" w:name="_Ref474084228"/>
      <w:r>
        <w:t xml:space="preserve">Table </w:t>
      </w:r>
      <w:r>
        <w:fldChar w:fldCharType="begin"/>
      </w:r>
      <w:r>
        <w:instrText xml:space="preserve"> SEQ Table \* ARABIC </w:instrText>
      </w:r>
      <w:r>
        <w:fldChar w:fldCharType="separate"/>
      </w:r>
      <w:r w:rsidR="001C18F9">
        <w:rPr>
          <w:noProof/>
        </w:rPr>
        <w:t>1</w:t>
      </w:r>
      <w:r>
        <w:fldChar w:fldCharType="end"/>
      </w:r>
      <w:bookmarkEnd w:id="3"/>
      <w:r>
        <w:t>: Top-4 measured RSRPs and corresponding Tx beams (CRIs)</w:t>
      </w:r>
    </w:p>
    <w:tbl>
      <w:tblPr>
        <w:tblStyle w:val="TableGrid"/>
        <w:tblW w:w="0" w:type="auto"/>
        <w:jc w:val="center"/>
        <w:tblLook w:val="04A0" w:firstRow="1" w:lastRow="0" w:firstColumn="1" w:lastColumn="0" w:noHBand="0" w:noVBand="1"/>
      </w:tblPr>
      <w:tblGrid>
        <w:gridCol w:w="625"/>
        <w:gridCol w:w="900"/>
      </w:tblGrid>
      <w:tr w:rsidR="000F3307" w14:paraId="1F9EF08A" w14:textId="77777777" w:rsidTr="00C841CF">
        <w:trPr>
          <w:jc w:val="center"/>
        </w:trPr>
        <w:tc>
          <w:tcPr>
            <w:tcW w:w="625" w:type="dxa"/>
            <w:tcBorders>
              <w:bottom w:val="double" w:sz="4" w:space="0" w:color="auto"/>
            </w:tcBorders>
          </w:tcPr>
          <w:p w14:paraId="3E873A73" w14:textId="77777777" w:rsidR="000F3307" w:rsidRDefault="000F3307" w:rsidP="000F3307">
            <w:pPr>
              <w:jc w:val="center"/>
            </w:pPr>
            <w:r>
              <w:t>CRI</w:t>
            </w:r>
          </w:p>
        </w:tc>
        <w:tc>
          <w:tcPr>
            <w:tcW w:w="900" w:type="dxa"/>
            <w:tcBorders>
              <w:bottom w:val="double" w:sz="4" w:space="0" w:color="auto"/>
            </w:tcBorders>
          </w:tcPr>
          <w:p w14:paraId="64DA23DE" w14:textId="77777777" w:rsidR="000F3307" w:rsidRDefault="000F3307" w:rsidP="000F3307">
            <w:pPr>
              <w:jc w:val="center"/>
            </w:pPr>
            <w:r>
              <w:t>RSRP</w:t>
            </w:r>
          </w:p>
        </w:tc>
      </w:tr>
      <w:tr w:rsidR="000F3307" w:rsidRPr="000F2B10" w14:paraId="03B5283F" w14:textId="77777777" w:rsidTr="00C841CF">
        <w:trPr>
          <w:jc w:val="center"/>
        </w:trPr>
        <w:tc>
          <w:tcPr>
            <w:tcW w:w="625" w:type="dxa"/>
            <w:tcBorders>
              <w:top w:val="double" w:sz="4" w:space="0" w:color="auto"/>
            </w:tcBorders>
            <w:shd w:val="clear" w:color="auto" w:fill="auto"/>
          </w:tcPr>
          <w:p w14:paraId="2F7E9F66" w14:textId="77777777" w:rsidR="000F3307" w:rsidRPr="000F2B10" w:rsidRDefault="000F3307" w:rsidP="000F3307">
            <w:pPr>
              <w:jc w:val="center"/>
            </w:pPr>
            <w:r>
              <w:t>4</w:t>
            </w:r>
          </w:p>
        </w:tc>
        <w:tc>
          <w:tcPr>
            <w:tcW w:w="900" w:type="dxa"/>
            <w:tcBorders>
              <w:top w:val="double" w:sz="4" w:space="0" w:color="auto"/>
            </w:tcBorders>
            <w:shd w:val="clear" w:color="auto" w:fill="auto"/>
          </w:tcPr>
          <w:p w14:paraId="27B5C78D" w14:textId="77777777" w:rsidR="000F3307" w:rsidRPr="000F2B10" w:rsidRDefault="000F3307" w:rsidP="000F3307">
            <w:pPr>
              <w:jc w:val="center"/>
            </w:pPr>
            <w:r>
              <w:t>12 dB</w:t>
            </w:r>
          </w:p>
        </w:tc>
      </w:tr>
      <w:tr w:rsidR="000F3307" w14:paraId="65FF6936" w14:textId="77777777" w:rsidTr="000F3307">
        <w:trPr>
          <w:jc w:val="center"/>
        </w:trPr>
        <w:tc>
          <w:tcPr>
            <w:tcW w:w="625" w:type="dxa"/>
            <w:shd w:val="clear" w:color="auto" w:fill="auto"/>
          </w:tcPr>
          <w:p w14:paraId="57D598F4" w14:textId="77777777" w:rsidR="000F3307" w:rsidRDefault="000F3307" w:rsidP="000F3307">
            <w:pPr>
              <w:jc w:val="center"/>
            </w:pPr>
            <w:r>
              <w:t>10</w:t>
            </w:r>
          </w:p>
        </w:tc>
        <w:tc>
          <w:tcPr>
            <w:tcW w:w="900" w:type="dxa"/>
            <w:shd w:val="clear" w:color="auto" w:fill="auto"/>
          </w:tcPr>
          <w:p w14:paraId="3859BEF4" w14:textId="77777777" w:rsidR="000F3307" w:rsidRDefault="000F3307" w:rsidP="000F3307">
            <w:pPr>
              <w:jc w:val="center"/>
            </w:pPr>
            <w:r>
              <w:t>10 dB</w:t>
            </w:r>
          </w:p>
        </w:tc>
      </w:tr>
      <w:tr w:rsidR="000F3307" w:rsidRPr="000F2B10" w14:paraId="1D812256" w14:textId="77777777" w:rsidTr="000F3307">
        <w:trPr>
          <w:jc w:val="center"/>
        </w:trPr>
        <w:tc>
          <w:tcPr>
            <w:tcW w:w="625" w:type="dxa"/>
            <w:shd w:val="clear" w:color="auto" w:fill="auto"/>
          </w:tcPr>
          <w:p w14:paraId="12741CE7" w14:textId="77777777" w:rsidR="000F3307" w:rsidRPr="000F2B10" w:rsidRDefault="000F3307" w:rsidP="000F3307">
            <w:pPr>
              <w:jc w:val="center"/>
            </w:pPr>
            <w:r>
              <w:t>3</w:t>
            </w:r>
          </w:p>
        </w:tc>
        <w:tc>
          <w:tcPr>
            <w:tcW w:w="900" w:type="dxa"/>
            <w:shd w:val="clear" w:color="auto" w:fill="auto"/>
          </w:tcPr>
          <w:p w14:paraId="0B858D0F" w14:textId="77777777" w:rsidR="000F3307" w:rsidRPr="000F2B10" w:rsidRDefault="000F3307" w:rsidP="000F3307">
            <w:pPr>
              <w:jc w:val="center"/>
            </w:pPr>
            <w:r>
              <w:t>8 dB</w:t>
            </w:r>
          </w:p>
        </w:tc>
      </w:tr>
      <w:tr w:rsidR="000F3307" w14:paraId="7E332559" w14:textId="77777777" w:rsidTr="000F3307">
        <w:trPr>
          <w:jc w:val="center"/>
        </w:trPr>
        <w:tc>
          <w:tcPr>
            <w:tcW w:w="625" w:type="dxa"/>
            <w:shd w:val="clear" w:color="auto" w:fill="auto"/>
          </w:tcPr>
          <w:p w14:paraId="7E0F0552" w14:textId="77777777" w:rsidR="000F3307" w:rsidRDefault="000F3307" w:rsidP="000F3307">
            <w:pPr>
              <w:jc w:val="center"/>
            </w:pPr>
            <w:r>
              <w:t>5</w:t>
            </w:r>
          </w:p>
        </w:tc>
        <w:tc>
          <w:tcPr>
            <w:tcW w:w="900" w:type="dxa"/>
            <w:shd w:val="clear" w:color="auto" w:fill="auto"/>
          </w:tcPr>
          <w:p w14:paraId="214C10F4" w14:textId="77777777" w:rsidR="000F3307" w:rsidRDefault="000F3307" w:rsidP="000F3307">
            <w:pPr>
              <w:jc w:val="center"/>
            </w:pPr>
            <w:r>
              <w:t>7 dB</w:t>
            </w:r>
          </w:p>
        </w:tc>
      </w:tr>
    </w:tbl>
    <w:p w14:paraId="0B2CB6D4" w14:textId="77777777" w:rsidR="000F3307" w:rsidRDefault="000F3307" w:rsidP="003A0E41"/>
    <w:p w14:paraId="4D6EA148" w14:textId="4B3A3867" w:rsidR="00EA01D9" w:rsidRDefault="00C841CF" w:rsidP="003A0E41">
      <w:r>
        <w:t>From the gNB perspective, it is beneficial to know which of the Tx beams (corresponding to the reported CRIs) can be used simultaneously. It is not necessary for the UE to report the Rx beam explicitly, since it is highly implementation dependent whether or not two different Rx beams can be used simultaneously. Instead</w:t>
      </w:r>
      <w:r w:rsidR="000218F8">
        <w:t>, t</w:t>
      </w:r>
      <w:r>
        <w:t xml:space="preserve">he measurement reports can be grouped in such a way to provide the gNB with </w:t>
      </w:r>
      <w:r w:rsidR="00D13CA9">
        <w:t>sufficient information for enabling multi-BPL operation</w:t>
      </w:r>
      <w:r>
        <w:t>.</w:t>
      </w:r>
      <w:r w:rsidR="00B20D17">
        <w:t xml:space="preserve"> The agreement above lists two alternative for the grouping.</w:t>
      </w:r>
    </w:p>
    <w:p w14:paraId="282E1ED3" w14:textId="62028910" w:rsidR="00B20D17" w:rsidRPr="00B20D17" w:rsidRDefault="00B20D17" w:rsidP="003A0E41">
      <w:pPr>
        <w:rPr>
          <w:b/>
          <w:u w:val="single"/>
        </w:rPr>
      </w:pPr>
      <w:r w:rsidRPr="00B20D17">
        <w:rPr>
          <w:b/>
          <w:u w:val="single"/>
        </w:rPr>
        <w:lastRenderedPageBreak/>
        <w:t>Set Definition</w:t>
      </w:r>
      <w:r>
        <w:rPr>
          <w:b/>
          <w:u w:val="single"/>
        </w:rPr>
        <w:t xml:space="preserve"> (</w:t>
      </w:r>
      <w:r w:rsidR="000218F8">
        <w:rPr>
          <w:b/>
          <w:u w:val="single"/>
        </w:rPr>
        <w:t>Alt.1</w:t>
      </w:r>
      <w:r>
        <w:rPr>
          <w:b/>
          <w:u w:val="single"/>
        </w:rPr>
        <w:t>)</w:t>
      </w:r>
    </w:p>
    <w:p w14:paraId="0C614C10" w14:textId="422E52A9" w:rsidR="000F3307" w:rsidRDefault="000218F8" w:rsidP="003A0E41">
      <w:r>
        <w:t xml:space="preserve">According to Alt.1 in the agreement, </w:t>
      </w:r>
      <w:r w:rsidR="00C841CF">
        <w:t>the</w:t>
      </w:r>
      <w:r w:rsidR="00EA01D9">
        <w:t xml:space="preserve"> RSRP</w:t>
      </w:r>
      <w:r w:rsidR="00C841CF">
        <w:t xml:space="preserve"> measurement reports </w:t>
      </w:r>
      <w:r w:rsidR="00EA01D9">
        <w:t xml:space="preserve">for beam pairs are put into </w:t>
      </w:r>
      <w:r w:rsidR="00EA01D9" w:rsidRPr="00EA01D9">
        <w:rPr>
          <w:i/>
        </w:rPr>
        <w:t>sets</w:t>
      </w:r>
      <w:r w:rsidR="00EA01D9">
        <w:t xml:space="preserve"> and set indicator(s) are included in the measurement report(s). </w:t>
      </w:r>
      <w:r w:rsidR="00C841CF">
        <w:t xml:space="preserve">The definition of a set is that </w:t>
      </w:r>
      <w:r w:rsidR="00EA01D9">
        <w:t>reported Tx beams</w:t>
      </w:r>
      <w:r w:rsidR="00C841CF">
        <w:t xml:space="preserve"> contained in the </w:t>
      </w:r>
      <w:r w:rsidR="00C841CF" w:rsidRPr="00EA01D9">
        <w:t>same</w:t>
      </w:r>
      <w:r w:rsidR="00C841CF">
        <w:t xml:space="preserve"> set </w:t>
      </w:r>
      <w:r w:rsidR="00C841CF" w:rsidRPr="00EA01D9">
        <w:rPr>
          <w:i/>
        </w:rPr>
        <w:t>can be</w:t>
      </w:r>
      <w:r w:rsidR="00C841CF">
        <w:t xml:space="preserve"> received simultaneously at </w:t>
      </w:r>
      <w:r w:rsidR="00EA01D9">
        <w:t xml:space="preserve">the UE, e.g., the corresponding Rx beams are from </w:t>
      </w:r>
      <w:r w:rsidR="00EA01D9" w:rsidRPr="00EA01D9">
        <w:rPr>
          <w:i/>
        </w:rPr>
        <w:t>different panels</w:t>
      </w:r>
      <w:r w:rsidR="00EA01D9">
        <w:t>.</w:t>
      </w:r>
    </w:p>
    <w:p w14:paraId="0BAFB943" w14:textId="49895DE7" w:rsidR="00B20D17" w:rsidRPr="00B20D17" w:rsidRDefault="00B20D17" w:rsidP="003A0E41">
      <w:pPr>
        <w:rPr>
          <w:b/>
          <w:u w:val="single"/>
        </w:rPr>
      </w:pPr>
      <w:r w:rsidRPr="00B20D17">
        <w:rPr>
          <w:b/>
          <w:u w:val="single"/>
        </w:rPr>
        <w:t>Group Definition</w:t>
      </w:r>
      <w:r>
        <w:rPr>
          <w:b/>
          <w:u w:val="single"/>
        </w:rPr>
        <w:t xml:space="preserve"> (</w:t>
      </w:r>
      <w:r w:rsidR="000218F8">
        <w:rPr>
          <w:b/>
          <w:u w:val="single"/>
        </w:rPr>
        <w:t>Alt.2</w:t>
      </w:r>
      <w:r>
        <w:rPr>
          <w:b/>
          <w:u w:val="single"/>
        </w:rPr>
        <w:t>)</w:t>
      </w:r>
    </w:p>
    <w:p w14:paraId="6F6302B3" w14:textId="728DF209" w:rsidR="00EA01D9" w:rsidRDefault="000218F8" w:rsidP="003A0E41">
      <w:r>
        <w:t>According to Alt.2</w:t>
      </w:r>
      <w:r w:rsidR="00EA01D9">
        <w:t xml:space="preserve">, the RSRP measurement reports for beam pairs are put into </w:t>
      </w:r>
      <w:r w:rsidR="00EA01D9" w:rsidRPr="00EA01D9">
        <w:rPr>
          <w:i/>
        </w:rPr>
        <w:t>groups</w:t>
      </w:r>
      <w:r w:rsidR="00EA01D9">
        <w:t xml:space="preserve"> and a group indicator is included in the measurement report(s). The definition of a group is that reported Tx beams contained in the same group </w:t>
      </w:r>
      <w:r w:rsidR="00EA01D9" w:rsidRPr="00EA01D9">
        <w:rPr>
          <w:i/>
        </w:rPr>
        <w:t>may not</w:t>
      </w:r>
      <w:r w:rsidR="00EA01D9">
        <w:t xml:space="preserve"> be possible to be received simultaneously at the UE, e.g., the corresponding Rx beams are from the </w:t>
      </w:r>
      <w:r w:rsidR="00EA01D9" w:rsidRPr="00EA01D9">
        <w:rPr>
          <w:i/>
        </w:rPr>
        <w:t>same</w:t>
      </w:r>
      <w:r w:rsidR="00EA01D9">
        <w:t xml:space="preserve"> </w:t>
      </w:r>
      <w:r w:rsidR="00EA01D9" w:rsidRPr="00EA01D9">
        <w:rPr>
          <w:i/>
        </w:rPr>
        <w:t>panel</w:t>
      </w:r>
      <w:r w:rsidR="00EA01D9">
        <w:t>.</w:t>
      </w:r>
    </w:p>
    <w:p w14:paraId="446B722E" w14:textId="79FD854B" w:rsidR="00B20D17" w:rsidRDefault="00B20D17" w:rsidP="00B20D17">
      <w:pPr>
        <w:pStyle w:val="Heading2"/>
      </w:pPr>
      <w:r>
        <w:t>Set-based Reporting (</w:t>
      </w:r>
      <w:r w:rsidR="000218F8">
        <w:t>Alt.1</w:t>
      </w:r>
      <w:r>
        <w:t>)</w:t>
      </w:r>
    </w:p>
    <w:p w14:paraId="690830F1" w14:textId="06DDB2B3" w:rsidR="00D171E2" w:rsidRDefault="00D772A9" w:rsidP="00B20D17">
      <w:r>
        <w:fldChar w:fldCharType="begin"/>
      </w:r>
      <w:r>
        <w:instrText xml:space="preserve"> REF _Ref474082468 \h </w:instrText>
      </w:r>
      <w:r>
        <w:fldChar w:fldCharType="separate"/>
      </w:r>
      <w:r>
        <w:t xml:space="preserve">Figure </w:t>
      </w:r>
      <w:r>
        <w:rPr>
          <w:noProof/>
        </w:rPr>
        <w:t>1</w:t>
      </w:r>
      <w:r>
        <w:fldChar w:fldCharType="end"/>
      </w:r>
      <w:r>
        <w:t xml:space="preserve"> is used to describe set-based reporting. </w:t>
      </w:r>
      <w:r w:rsidR="00377731">
        <w:t xml:space="preserve">The beam pairs corresponding to the top-4 RSRPs in </w:t>
      </w:r>
      <w:r w:rsidR="00377731">
        <w:fldChar w:fldCharType="begin"/>
      </w:r>
      <w:r w:rsidR="00377731">
        <w:instrText xml:space="preserve"> REF _Ref474084228 \h </w:instrText>
      </w:r>
      <w:r w:rsidR="00377731">
        <w:fldChar w:fldCharType="separate"/>
      </w:r>
      <w:r w:rsidR="00377731">
        <w:t xml:space="preserve">Table </w:t>
      </w:r>
      <w:r w:rsidR="00377731">
        <w:rPr>
          <w:noProof/>
        </w:rPr>
        <w:t>1</w:t>
      </w:r>
      <w:r w:rsidR="00377731">
        <w:fldChar w:fldCharType="end"/>
      </w:r>
      <w:r w:rsidR="00377731">
        <w:t xml:space="preserve"> are shown by dashed lines. Fundamentally, </w:t>
      </w:r>
      <w:r w:rsidR="008B19E8">
        <w:t>for each CRI (Tx beam) there are two possibilities for forming a set</w:t>
      </w:r>
      <w:r w:rsidR="00D171E2">
        <w:t>, resulting in a total of 4 unique sets</w:t>
      </w:r>
      <w:r w:rsidR="008B19E8">
        <w:t>. For example, Tx be</w:t>
      </w:r>
      <w:r w:rsidR="00D171E2">
        <w:t>am 4 could be put into a set with</w:t>
      </w:r>
      <w:r w:rsidR="008B19E8">
        <w:t xml:space="preserve"> Tx beam 10 or Tx bea</w:t>
      </w:r>
      <w:r w:rsidR="00AF433B">
        <w:t>m 3.</w:t>
      </w:r>
      <w:r w:rsidR="00D171E2">
        <w:t xml:space="preserve"> </w:t>
      </w:r>
      <w:r w:rsidR="00AF433B">
        <w:t xml:space="preserve">In either of these two possibilities, the Tx beams could be received simultaneously at the UE. In principle, the UE could include two set indicators for every CRI in its measurement report. In order to avoid such additional </w:t>
      </w:r>
      <w:r w:rsidR="00D171E2">
        <w:t>overhead</w:t>
      </w:r>
      <w:r w:rsidR="00AF433B">
        <w:t xml:space="preserve">, the UE </w:t>
      </w:r>
      <w:r w:rsidR="00D80F2D">
        <w:t>should</w:t>
      </w:r>
      <w:r w:rsidR="006C441C">
        <w:t xml:space="preserve"> make</w:t>
      </w:r>
      <w:r w:rsidR="00AF433B">
        <w:t xml:space="preserve"> a selection </w:t>
      </w:r>
      <w:r w:rsidR="00D171E2">
        <w:t>between t</w:t>
      </w:r>
      <w:r w:rsidR="006C441C">
        <w:t>he two possibilities and signal</w:t>
      </w:r>
      <w:r w:rsidR="00D171E2">
        <w:t xml:space="preserve"> only a single set indicator for each CRI in its measurement report.</w:t>
      </w:r>
    </w:p>
    <w:p w14:paraId="7A4A6C68" w14:textId="74136C62" w:rsidR="001C18F9" w:rsidRDefault="00AF433B" w:rsidP="00B20D17">
      <w:r>
        <w:fldChar w:fldCharType="begin"/>
      </w:r>
      <w:r>
        <w:instrText xml:space="preserve"> REF _Ref474082468 \h </w:instrText>
      </w:r>
      <w:r>
        <w:fldChar w:fldCharType="separate"/>
      </w:r>
      <w:r>
        <w:t xml:space="preserve">Figure </w:t>
      </w:r>
      <w:r>
        <w:rPr>
          <w:noProof/>
        </w:rPr>
        <w:t>1</w:t>
      </w:r>
      <w:r>
        <w:fldChar w:fldCharType="end"/>
      </w:r>
      <w:r w:rsidR="00D171E2">
        <w:t xml:space="preserve"> indicates </w:t>
      </w:r>
      <w:r w:rsidR="006C441C">
        <w:t xml:space="preserve">an example of how the UE could choose to form 2 different sets. </w:t>
      </w:r>
      <w:r w:rsidR="00D171E2">
        <w:t xml:space="preserve">The red dashed lines indicate the first set containing Tx beams 4 and 10 which can be received simultaneously. The green dashed lines indicate a second set containing Tx beams </w:t>
      </w:r>
      <w:r w:rsidR="006C441C">
        <w:t>3</w:t>
      </w:r>
      <w:r w:rsidR="00D171E2">
        <w:t xml:space="preserve"> and </w:t>
      </w:r>
      <w:r w:rsidR="006C441C">
        <w:t>5</w:t>
      </w:r>
      <w:r w:rsidR="00D171E2">
        <w:t xml:space="preserve"> which can be received simultaneously.</w:t>
      </w:r>
      <w:r w:rsidR="006C441C">
        <w:t xml:space="preserve"> The measurement report provided to the gNB would then look like what is shown in </w:t>
      </w:r>
      <w:r w:rsidR="006C441C">
        <w:fldChar w:fldCharType="begin"/>
      </w:r>
      <w:r w:rsidR="006C441C">
        <w:instrText xml:space="preserve"> REF _Ref474095741 \h </w:instrText>
      </w:r>
      <w:r w:rsidR="006C441C">
        <w:fldChar w:fldCharType="separate"/>
      </w:r>
      <w:r w:rsidR="006C441C">
        <w:t xml:space="preserve">Table </w:t>
      </w:r>
      <w:r w:rsidR="006C441C">
        <w:rPr>
          <w:noProof/>
        </w:rPr>
        <w:t>2</w:t>
      </w:r>
      <w:r w:rsidR="006C441C">
        <w:fldChar w:fldCharType="end"/>
      </w:r>
      <w:r w:rsidR="006C441C">
        <w:t>.</w:t>
      </w:r>
    </w:p>
    <w:p w14:paraId="142DD057" w14:textId="77777777" w:rsidR="006C441C" w:rsidRDefault="006C441C" w:rsidP="006C441C">
      <w:pPr>
        <w:keepNext/>
        <w:jc w:val="center"/>
      </w:pPr>
      <w:r>
        <w:rPr>
          <w:noProof/>
          <w:lang w:val="en-US" w:eastAsia="en-US"/>
        </w:rPr>
        <w:drawing>
          <wp:inline distT="0" distB="0" distL="0" distR="0" wp14:anchorId="01FC53A1" wp14:editId="4820FD83">
            <wp:extent cx="5486400" cy="18745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1874520"/>
                    </a:xfrm>
                    <a:prstGeom prst="rect">
                      <a:avLst/>
                    </a:prstGeom>
                    <a:noFill/>
                  </pic:spPr>
                </pic:pic>
              </a:graphicData>
            </a:graphic>
          </wp:inline>
        </w:drawing>
      </w:r>
    </w:p>
    <w:p w14:paraId="3C9E4524" w14:textId="77777777" w:rsidR="006C441C" w:rsidRDefault="006C441C" w:rsidP="006C441C">
      <w:pPr>
        <w:pStyle w:val="Caption"/>
      </w:pPr>
      <w:bookmarkStart w:id="4" w:name="_Ref474082468"/>
      <w:bookmarkStart w:id="5" w:name="_Ref474093513"/>
      <w:r>
        <w:t xml:space="preserve">Figure </w:t>
      </w:r>
      <w:r>
        <w:fldChar w:fldCharType="begin"/>
      </w:r>
      <w:r>
        <w:instrText xml:space="preserve"> SEQ Figure \* ARABIC </w:instrText>
      </w:r>
      <w:r>
        <w:fldChar w:fldCharType="separate"/>
      </w:r>
      <w:r>
        <w:rPr>
          <w:noProof/>
        </w:rPr>
        <w:t>1</w:t>
      </w:r>
      <w:r>
        <w:fldChar w:fldCharType="end"/>
      </w:r>
      <w:bookmarkEnd w:id="4"/>
      <w:r>
        <w:t>: Beam set reporting</w:t>
      </w:r>
      <w:bookmarkEnd w:id="5"/>
    </w:p>
    <w:p w14:paraId="1ECF3E03" w14:textId="77777777" w:rsidR="006C441C" w:rsidRPr="00B20D17" w:rsidRDefault="006C441C" w:rsidP="00B20D17"/>
    <w:p w14:paraId="0F8ABAF5" w14:textId="77777777" w:rsidR="001C18F9" w:rsidRDefault="001C18F9" w:rsidP="001C18F9">
      <w:pPr>
        <w:pStyle w:val="Caption"/>
        <w:keepNext/>
      </w:pPr>
      <w:bookmarkStart w:id="6" w:name="_Ref474095741"/>
      <w:r>
        <w:t xml:space="preserve">Table </w:t>
      </w:r>
      <w:r>
        <w:fldChar w:fldCharType="begin"/>
      </w:r>
      <w:r>
        <w:instrText xml:space="preserve"> SEQ Table \* ARABIC </w:instrText>
      </w:r>
      <w:r>
        <w:fldChar w:fldCharType="separate"/>
      </w:r>
      <w:r w:rsidR="006C441C">
        <w:rPr>
          <w:noProof/>
        </w:rPr>
        <w:t>2</w:t>
      </w:r>
      <w:r>
        <w:fldChar w:fldCharType="end"/>
      </w:r>
      <w:bookmarkEnd w:id="6"/>
      <w:r>
        <w:t>: UE measurement report for set-based reporting</w:t>
      </w:r>
    </w:p>
    <w:tbl>
      <w:tblPr>
        <w:tblStyle w:val="TableGrid"/>
        <w:tblW w:w="0" w:type="auto"/>
        <w:jc w:val="center"/>
        <w:tblLook w:val="04A0" w:firstRow="1" w:lastRow="0" w:firstColumn="1" w:lastColumn="0" w:noHBand="0" w:noVBand="1"/>
      </w:tblPr>
      <w:tblGrid>
        <w:gridCol w:w="938"/>
        <w:gridCol w:w="900"/>
        <w:gridCol w:w="1016"/>
      </w:tblGrid>
      <w:tr w:rsidR="001C18F9" w14:paraId="073B0EED" w14:textId="77777777" w:rsidTr="001C18F9">
        <w:trPr>
          <w:jc w:val="center"/>
        </w:trPr>
        <w:tc>
          <w:tcPr>
            <w:tcW w:w="938" w:type="dxa"/>
            <w:tcBorders>
              <w:bottom w:val="double" w:sz="4" w:space="0" w:color="auto"/>
            </w:tcBorders>
          </w:tcPr>
          <w:p w14:paraId="5832EF84" w14:textId="77777777" w:rsidR="001C18F9" w:rsidRDefault="001C18F9" w:rsidP="00D772A9">
            <w:pPr>
              <w:jc w:val="center"/>
            </w:pPr>
            <w:r>
              <w:t>CRI</w:t>
            </w:r>
          </w:p>
        </w:tc>
        <w:tc>
          <w:tcPr>
            <w:tcW w:w="900" w:type="dxa"/>
            <w:tcBorders>
              <w:bottom w:val="double" w:sz="4" w:space="0" w:color="auto"/>
            </w:tcBorders>
          </w:tcPr>
          <w:p w14:paraId="351B82BB" w14:textId="77777777" w:rsidR="001C18F9" w:rsidRDefault="001C18F9" w:rsidP="00D772A9">
            <w:pPr>
              <w:jc w:val="center"/>
            </w:pPr>
            <w:r>
              <w:t>RSRP</w:t>
            </w:r>
          </w:p>
        </w:tc>
        <w:tc>
          <w:tcPr>
            <w:tcW w:w="1016" w:type="dxa"/>
            <w:tcBorders>
              <w:bottom w:val="double" w:sz="4" w:space="0" w:color="auto"/>
            </w:tcBorders>
          </w:tcPr>
          <w:p w14:paraId="7B73095C" w14:textId="77777777" w:rsidR="001C18F9" w:rsidRDefault="001C18F9" w:rsidP="00D772A9">
            <w:pPr>
              <w:jc w:val="center"/>
            </w:pPr>
            <w:r>
              <w:t>Set Indicators</w:t>
            </w:r>
          </w:p>
        </w:tc>
      </w:tr>
      <w:tr w:rsidR="001C18F9" w:rsidRPr="000F2B10" w14:paraId="0C430CBF" w14:textId="77777777" w:rsidTr="006C441C">
        <w:trPr>
          <w:jc w:val="center"/>
        </w:trPr>
        <w:tc>
          <w:tcPr>
            <w:tcW w:w="938" w:type="dxa"/>
            <w:tcBorders>
              <w:top w:val="double" w:sz="4" w:space="0" w:color="auto"/>
            </w:tcBorders>
            <w:shd w:val="clear" w:color="auto" w:fill="FF0000"/>
          </w:tcPr>
          <w:p w14:paraId="7FB8615A" w14:textId="77777777" w:rsidR="001C18F9" w:rsidRPr="000F2B10" w:rsidRDefault="001C18F9" w:rsidP="001C18F9">
            <w:pPr>
              <w:jc w:val="center"/>
            </w:pPr>
            <w:r w:rsidRPr="000F2B10">
              <w:t>4</w:t>
            </w:r>
          </w:p>
        </w:tc>
        <w:tc>
          <w:tcPr>
            <w:tcW w:w="900" w:type="dxa"/>
            <w:tcBorders>
              <w:top w:val="double" w:sz="4" w:space="0" w:color="auto"/>
            </w:tcBorders>
            <w:shd w:val="clear" w:color="auto" w:fill="FF0000"/>
          </w:tcPr>
          <w:p w14:paraId="5F7BAFEE" w14:textId="77777777" w:rsidR="001C18F9" w:rsidRPr="000F2B10" w:rsidRDefault="001C18F9" w:rsidP="001C18F9">
            <w:pPr>
              <w:jc w:val="center"/>
            </w:pPr>
            <w:r w:rsidRPr="000F2B10">
              <w:t>12</w:t>
            </w:r>
            <w:r>
              <w:t xml:space="preserve"> dB</w:t>
            </w:r>
          </w:p>
        </w:tc>
        <w:tc>
          <w:tcPr>
            <w:tcW w:w="1016" w:type="dxa"/>
            <w:tcBorders>
              <w:top w:val="double" w:sz="4" w:space="0" w:color="auto"/>
            </w:tcBorders>
            <w:shd w:val="clear" w:color="auto" w:fill="FF0000"/>
          </w:tcPr>
          <w:p w14:paraId="27192F94" w14:textId="77777777" w:rsidR="001C18F9" w:rsidRPr="000F2B10" w:rsidRDefault="006C441C" w:rsidP="001C18F9">
            <w:pPr>
              <w:jc w:val="center"/>
            </w:pPr>
            <w:r>
              <w:t>1</w:t>
            </w:r>
          </w:p>
        </w:tc>
      </w:tr>
      <w:tr w:rsidR="001C18F9" w14:paraId="0175D7FC" w14:textId="77777777" w:rsidTr="006C441C">
        <w:trPr>
          <w:jc w:val="center"/>
        </w:trPr>
        <w:tc>
          <w:tcPr>
            <w:tcW w:w="938" w:type="dxa"/>
            <w:shd w:val="clear" w:color="auto" w:fill="FF0000"/>
          </w:tcPr>
          <w:p w14:paraId="034CB5E9" w14:textId="77777777" w:rsidR="001C18F9" w:rsidRDefault="001C18F9" w:rsidP="001C18F9">
            <w:pPr>
              <w:jc w:val="center"/>
            </w:pPr>
            <w:r>
              <w:t>10</w:t>
            </w:r>
          </w:p>
        </w:tc>
        <w:tc>
          <w:tcPr>
            <w:tcW w:w="900" w:type="dxa"/>
            <w:shd w:val="clear" w:color="auto" w:fill="FF0000"/>
          </w:tcPr>
          <w:p w14:paraId="30EB59CD" w14:textId="77777777" w:rsidR="001C18F9" w:rsidRDefault="001C18F9" w:rsidP="001C18F9">
            <w:pPr>
              <w:jc w:val="center"/>
            </w:pPr>
            <w:r>
              <w:t>10 dB</w:t>
            </w:r>
          </w:p>
        </w:tc>
        <w:tc>
          <w:tcPr>
            <w:tcW w:w="1016" w:type="dxa"/>
            <w:shd w:val="clear" w:color="auto" w:fill="FF0000"/>
          </w:tcPr>
          <w:p w14:paraId="4FE0E31E" w14:textId="77777777" w:rsidR="001C18F9" w:rsidRDefault="006C441C" w:rsidP="001C18F9">
            <w:pPr>
              <w:jc w:val="center"/>
            </w:pPr>
            <w:r>
              <w:t>1</w:t>
            </w:r>
          </w:p>
        </w:tc>
      </w:tr>
      <w:tr w:rsidR="001C18F9" w:rsidRPr="000F2B10" w14:paraId="210DB9BD" w14:textId="77777777" w:rsidTr="006C441C">
        <w:trPr>
          <w:jc w:val="center"/>
        </w:trPr>
        <w:tc>
          <w:tcPr>
            <w:tcW w:w="938" w:type="dxa"/>
            <w:shd w:val="clear" w:color="auto" w:fill="00B050"/>
          </w:tcPr>
          <w:p w14:paraId="20EB891C" w14:textId="77777777" w:rsidR="001C18F9" w:rsidRPr="000F2B10" w:rsidRDefault="001C18F9" w:rsidP="001C18F9">
            <w:pPr>
              <w:jc w:val="center"/>
            </w:pPr>
            <w:r w:rsidRPr="000F2B10">
              <w:t>3</w:t>
            </w:r>
          </w:p>
        </w:tc>
        <w:tc>
          <w:tcPr>
            <w:tcW w:w="900" w:type="dxa"/>
            <w:shd w:val="clear" w:color="auto" w:fill="00B050"/>
          </w:tcPr>
          <w:p w14:paraId="06F7B13F" w14:textId="77777777" w:rsidR="001C18F9" w:rsidRPr="000F2B10" w:rsidRDefault="001C18F9" w:rsidP="001C18F9">
            <w:pPr>
              <w:jc w:val="center"/>
            </w:pPr>
            <w:r w:rsidRPr="000F2B10">
              <w:t>8</w:t>
            </w:r>
            <w:r>
              <w:t xml:space="preserve"> dB</w:t>
            </w:r>
          </w:p>
        </w:tc>
        <w:tc>
          <w:tcPr>
            <w:tcW w:w="1016" w:type="dxa"/>
            <w:shd w:val="clear" w:color="auto" w:fill="00B050"/>
          </w:tcPr>
          <w:p w14:paraId="67577418" w14:textId="77777777" w:rsidR="001C18F9" w:rsidRPr="000F2B10" w:rsidRDefault="006C441C" w:rsidP="001C18F9">
            <w:pPr>
              <w:jc w:val="center"/>
            </w:pPr>
            <w:r>
              <w:t>2</w:t>
            </w:r>
          </w:p>
        </w:tc>
      </w:tr>
      <w:tr w:rsidR="001C18F9" w14:paraId="7F00E649" w14:textId="77777777" w:rsidTr="006C441C">
        <w:trPr>
          <w:jc w:val="center"/>
        </w:trPr>
        <w:tc>
          <w:tcPr>
            <w:tcW w:w="938" w:type="dxa"/>
            <w:shd w:val="clear" w:color="auto" w:fill="00B050"/>
          </w:tcPr>
          <w:p w14:paraId="269B50F1" w14:textId="77777777" w:rsidR="001C18F9" w:rsidRDefault="001C18F9" w:rsidP="001C18F9">
            <w:pPr>
              <w:jc w:val="center"/>
            </w:pPr>
            <w:r>
              <w:t>5</w:t>
            </w:r>
          </w:p>
        </w:tc>
        <w:tc>
          <w:tcPr>
            <w:tcW w:w="900" w:type="dxa"/>
            <w:shd w:val="clear" w:color="auto" w:fill="00B050"/>
          </w:tcPr>
          <w:p w14:paraId="2F7CF9C1" w14:textId="77777777" w:rsidR="001C18F9" w:rsidRDefault="001C18F9" w:rsidP="001C18F9">
            <w:pPr>
              <w:jc w:val="center"/>
            </w:pPr>
            <w:r>
              <w:t>7 dB</w:t>
            </w:r>
          </w:p>
        </w:tc>
        <w:tc>
          <w:tcPr>
            <w:tcW w:w="1016" w:type="dxa"/>
            <w:shd w:val="clear" w:color="auto" w:fill="00B050"/>
          </w:tcPr>
          <w:p w14:paraId="68863089" w14:textId="77777777" w:rsidR="001C18F9" w:rsidRDefault="006C441C" w:rsidP="001C18F9">
            <w:pPr>
              <w:jc w:val="center"/>
            </w:pPr>
            <w:r>
              <w:t>2</w:t>
            </w:r>
          </w:p>
        </w:tc>
      </w:tr>
    </w:tbl>
    <w:p w14:paraId="608F7BA6" w14:textId="77777777" w:rsidR="006C441C" w:rsidRDefault="006C441C" w:rsidP="00B20D17"/>
    <w:p w14:paraId="7B877654" w14:textId="1B9192A8" w:rsidR="00867853" w:rsidRPr="00B20D17" w:rsidRDefault="006C441C" w:rsidP="00B20D17">
      <w:r>
        <w:t xml:space="preserve">Based on this measurement report, the gNB </w:t>
      </w:r>
      <w:r w:rsidR="00F33F60">
        <w:t>is</w:t>
      </w:r>
      <w:r>
        <w:t xml:space="preserve"> ab</w:t>
      </w:r>
      <w:r w:rsidR="00F33F60">
        <w:t xml:space="preserve">le to establish and maintain two or more BPLs for data and/or control, and it has enough information to know which two BPLs can be used simultaneously. It could use the Tx beams in Set </w:t>
      </w:r>
      <w:r w:rsidR="00F33F60">
        <w:lastRenderedPageBreak/>
        <w:t>1 simultaneously or the Tx beams in Set 2 simultaneously. Unfortunately, however, the gNB is not provided with enough information to know whether or not it can use Tx beams from two different sets simultaneously, e.g., Tx beams 4 and 3. This is a consequence of the UE not reporting all set possibilities</w:t>
      </w:r>
      <w:r w:rsidR="00D80F2D">
        <w:t xml:space="preserve"> in order to save overhead.</w:t>
      </w:r>
      <w:r w:rsidR="00F33F60">
        <w:t xml:space="preserve"> </w:t>
      </w:r>
    </w:p>
    <w:p w14:paraId="16D36B5B" w14:textId="0FD105A9" w:rsidR="00B20D17" w:rsidRDefault="00B20D17" w:rsidP="00B20D17">
      <w:pPr>
        <w:pStyle w:val="Heading2"/>
      </w:pPr>
      <w:r>
        <w:t>Group-based Reporting (</w:t>
      </w:r>
      <w:r w:rsidR="000218F8">
        <w:t>Alt.2</w:t>
      </w:r>
      <w:r>
        <w:t>)</w:t>
      </w:r>
    </w:p>
    <w:p w14:paraId="47CA38D5" w14:textId="3A8796F4" w:rsidR="00D772A9" w:rsidRDefault="00D772A9" w:rsidP="00D772A9">
      <w:r>
        <w:fldChar w:fldCharType="begin"/>
      </w:r>
      <w:r>
        <w:instrText xml:space="preserve"> REF _Ref474082472 \h </w:instrText>
      </w:r>
      <w:r>
        <w:fldChar w:fldCharType="separate"/>
      </w:r>
      <w:r>
        <w:t xml:space="preserve">Figure </w:t>
      </w:r>
      <w:r>
        <w:rPr>
          <w:noProof/>
        </w:rPr>
        <w:t>2</w:t>
      </w:r>
      <w:r>
        <w:fldChar w:fldCharType="end"/>
      </w:r>
      <w:r w:rsidR="00A553EC">
        <w:t xml:space="preserve"> is used to describe group-based reporting. With group-based reporting, the UE forms a groups</w:t>
      </w:r>
      <w:r w:rsidR="00A553EC" w:rsidRPr="00A553EC">
        <w:t xml:space="preserve"> </w:t>
      </w:r>
      <w:r w:rsidR="00A553EC">
        <w:t xml:space="preserve">of Tx beams contained that </w:t>
      </w:r>
      <w:r w:rsidR="00A553EC" w:rsidRPr="00A553EC">
        <w:t>may not be</w:t>
      </w:r>
      <w:r w:rsidR="00A553EC">
        <w:t xml:space="preserve"> possible to be received simultaneously at the UE, e.g., the corresponding Rx beams are from the </w:t>
      </w:r>
      <w:r w:rsidR="00A553EC" w:rsidRPr="00A553EC">
        <w:t>same panel</w:t>
      </w:r>
      <w:r w:rsidR="00A553EC">
        <w:t xml:space="preserve"> at the UE. In contrast to </w:t>
      </w:r>
      <w:r w:rsidR="000218F8">
        <w:t>Alt.1</w:t>
      </w:r>
      <w:r w:rsidR="00F0110D">
        <w:t>, the UE does not need to make a selection amongst possibilities to reduce overhead, since the number of groups is equal to the number of UE panels</w:t>
      </w:r>
      <w:r w:rsidR="004325B2">
        <w:t>, which is foreseen to be small</w:t>
      </w:r>
      <w:r w:rsidR="00F0110D">
        <w:t xml:space="preserve">. The red dashed lines indicate the first group containing Tx beams 4 and 5 corresponding to the first UE antenna panel, and thus cannot be received simultaneously. The green dashed lines indicate a second group containing Tx beams 3 and 10 corresponding to the second UE antenna panel and thus cannot be received simultaneously. The measurement report provided to the gNB would then look like what is shown in </w:t>
      </w:r>
      <w:r w:rsidR="00F0110D">
        <w:fldChar w:fldCharType="begin"/>
      </w:r>
      <w:r w:rsidR="00F0110D">
        <w:instrText xml:space="preserve"> REF _Ref474095741 \h </w:instrText>
      </w:r>
      <w:r w:rsidR="00F0110D">
        <w:fldChar w:fldCharType="separate"/>
      </w:r>
      <w:r w:rsidR="00F0110D">
        <w:t xml:space="preserve">Table </w:t>
      </w:r>
      <w:r w:rsidR="00F0110D">
        <w:rPr>
          <w:noProof/>
        </w:rPr>
        <w:t>2</w:t>
      </w:r>
      <w:r w:rsidR="00F0110D">
        <w:fldChar w:fldCharType="end"/>
      </w:r>
      <w:r w:rsidR="00F0110D">
        <w:t>.</w:t>
      </w:r>
    </w:p>
    <w:p w14:paraId="33F314C1" w14:textId="77777777" w:rsidR="00A553EC" w:rsidRPr="00D772A9" w:rsidRDefault="00A553EC" w:rsidP="00D772A9"/>
    <w:p w14:paraId="0F6FEDA2" w14:textId="77777777" w:rsidR="00A553EC" w:rsidRDefault="00A553EC" w:rsidP="00A553EC">
      <w:pPr>
        <w:keepNext/>
        <w:jc w:val="center"/>
      </w:pPr>
      <w:r>
        <w:rPr>
          <w:noProof/>
          <w:lang w:val="en-US" w:eastAsia="en-US"/>
        </w:rPr>
        <w:drawing>
          <wp:inline distT="0" distB="0" distL="0" distR="0" wp14:anchorId="34AA6302" wp14:editId="07A51B19">
            <wp:extent cx="5486400" cy="2103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103120"/>
                    </a:xfrm>
                    <a:prstGeom prst="rect">
                      <a:avLst/>
                    </a:prstGeom>
                    <a:noFill/>
                  </pic:spPr>
                </pic:pic>
              </a:graphicData>
            </a:graphic>
          </wp:inline>
        </w:drawing>
      </w:r>
    </w:p>
    <w:p w14:paraId="53FC1832" w14:textId="77777777" w:rsidR="00A553EC" w:rsidRDefault="00A553EC" w:rsidP="00A553EC">
      <w:pPr>
        <w:pStyle w:val="Caption"/>
      </w:pPr>
      <w:bookmarkStart w:id="7" w:name="_Ref474082472"/>
      <w:r>
        <w:t xml:space="preserve">Figure </w:t>
      </w:r>
      <w:r>
        <w:fldChar w:fldCharType="begin"/>
      </w:r>
      <w:r>
        <w:instrText xml:space="preserve"> SEQ Figure \* ARABIC </w:instrText>
      </w:r>
      <w:r>
        <w:fldChar w:fldCharType="separate"/>
      </w:r>
      <w:r>
        <w:rPr>
          <w:noProof/>
        </w:rPr>
        <w:t>2</w:t>
      </w:r>
      <w:r>
        <w:fldChar w:fldCharType="end"/>
      </w:r>
      <w:bookmarkEnd w:id="7"/>
      <w:r>
        <w:t>: Beam group reporting including beam group IDs</w:t>
      </w:r>
    </w:p>
    <w:p w14:paraId="093926C9" w14:textId="77777777" w:rsidR="00F0110D" w:rsidRDefault="00F0110D" w:rsidP="00F0110D">
      <w:pPr>
        <w:pStyle w:val="Caption"/>
        <w:keepNext/>
      </w:pPr>
      <w:r>
        <w:t xml:space="preserve">Table </w:t>
      </w:r>
      <w:r>
        <w:fldChar w:fldCharType="begin"/>
      </w:r>
      <w:r>
        <w:instrText xml:space="preserve"> SEQ Table \* ARABIC </w:instrText>
      </w:r>
      <w:r>
        <w:fldChar w:fldCharType="separate"/>
      </w:r>
      <w:r>
        <w:rPr>
          <w:noProof/>
        </w:rPr>
        <w:t>2</w:t>
      </w:r>
      <w:r>
        <w:fldChar w:fldCharType="end"/>
      </w:r>
      <w:r>
        <w:t>: UE measurement report for group-based reporting</w:t>
      </w:r>
    </w:p>
    <w:tbl>
      <w:tblPr>
        <w:tblStyle w:val="TableGrid"/>
        <w:tblW w:w="0" w:type="auto"/>
        <w:jc w:val="center"/>
        <w:tblLook w:val="04A0" w:firstRow="1" w:lastRow="0" w:firstColumn="1" w:lastColumn="0" w:noHBand="0" w:noVBand="1"/>
      </w:tblPr>
      <w:tblGrid>
        <w:gridCol w:w="938"/>
        <w:gridCol w:w="900"/>
        <w:gridCol w:w="1016"/>
      </w:tblGrid>
      <w:tr w:rsidR="00F0110D" w14:paraId="14FD6690" w14:textId="77777777" w:rsidTr="00E16476">
        <w:trPr>
          <w:jc w:val="center"/>
        </w:trPr>
        <w:tc>
          <w:tcPr>
            <w:tcW w:w="938" w:type="dxa"/>
            <w:tcBorders>
              <w:bottom w:val="double" w:sz="4" w:space="0" w:color="auto"/>
            </w:tcBorders>
          </w:tcPr>
          <w:p w14:paraId="7091A0B8" w14:textId="77777777" w:rsidR="00F0110D" w:rsidRDefault="00F0110D" w:rsidP="00E16476">
            <w:pPr>
              <w:jc w:val="center"/>
            </w:pPr>
            <w:r>
              <w:t>CRI</w:t>
            </w:r>
          </w:p>
        </w:tc>
        <w:tc>
          <w:tcPr>
            <w:tcW w:w="900" w:type="dxa"/>
            <w:tcBorders>
              <w:bottom w:val="double" w:sz="4" w:space="0" w:color="auto"/>
            </w:tcBorders>
          </w:tcPr>
          <w:p w14:paraId="1DCF996C" w14:textId="77777777" w:rsidR="00F0110D" w:rsidRDefault="00F0110D" w:rsidP="00E16476">
            <w:pPr>
              <w:jc w:val="center"/>
            </w:pPr>
            <w:r>
              <w:t>RSRP</w:t>
            </w:r>
          </w:p>
        </w:tc>
        <w:tc>
          <w:tcPr>
            <w:tcW w:w="1016" w:type="dxa"/>
            <w:tcBorders>
              <w:bottom w:val="double" w:sz="4" w:space="0" w:color="auto"/>
            </w:tcBorders>
          </w:tcPr>
          <w:p w14:paraId="403D9156" w14:textId="77777777" w:rsidR="00F0110D" w:rsidRDefault="00F0110D" w:rsidP="00E16476">
            <w:pPr>
              <w:jc w:val="center"/>
            </w:pPr>
            <w:r>
              <w:t>Group Indicators</w:t>
            </w:r>
          </w:p>
        </w:tc>
      </w:tr>
      <w:tr w:rsidR="00F0110D" w:rsidRPr="000F2B10" w14:paraId="467ED280" w14:textId="77777777" w:rsidTr="00E16476">
        <w:trPr>
          <w:jc w:val="center"/>
        </w:trPr>
        <w:tc>
          <w:tcPr>
            <w:tcW w:w="938" w:type="dxa"/>
            <w:tcBorders>
              <w:top w:val="double" w:sz="4" w:space="0" w:color="auto"/>
            </w:tcBorders>
            <w:shd w:val="clear" w:color="auto" w:fill="FF0000"/>
          </w:tcPr>
          <w:p w14:paraId="58545F61" w14:textId="77777777" w:rsidR="00F0110D" w:rsidRPr="000F2B10" w:rsidRDefault="00F0110D" w:rsidP="00E16476">
            <w:pPr>
              <w:jc w:val="center"/>
            </w:pPr>
            <w:r w:rsidRPr="000F2B10">
              <w:t>4</w:t>
            </w:r>
          </w:p>
        </w:tc>
        <w:tc>
          <w:tcPr>
            <w:tcW w:w="900" w:type="dxa"/>
            <w:tcBorders>
              <w:top w:val="double" w:sz="4" w:space="0" w:color="auto"/>
            </w:tcBorders>
            <w:shd w:val="clear" w:color="auto" w:fill="FF0000"/>
          </w:tcPr>
          <w:p w14:paraId="37DBE780" w14:textId="77777777" w:rsidR="00F0110D" w:rsidRPr="000F2B10" w:rsidRDefault="00F0110D" w:rsidP="00E16476">
            <w:pPr>
              <w:jc w:val="center"/>
            </w:pPr>
            <w:r w:rsidRPr="000F2B10">
              <w:t>12</w:t>
            </w:r>
            <w:r>
              <w:t xml:space="preserve"> dB</w:t>
            </w:r>
          </w:p>
        </w:tc>
        <w:tc>
          <w:tcPr>
            <w:tcW w:w="1016" w:type="dxa"/>
            <w:tcBorders>
              <w:top w:val="double" w:sz="4" w:space="0" w:color="auto"/>
            </w:tcBorders>
            <w:shd w:val="clear" w:color="auto" w:fill="FF0000"/>
          </w:tcPr>
          <w:p w14:paraId="0A4CFC7C" w14:textId="77777777" w:rsidR="00F0110D" w:rsidRPr="000F2B10" w:rsidRDefault="00F0110D" w:rsidP="00E16476">
            <w:pPr>
              <w:jc w:val="center"/>
            </w:pPr>
            <w:r>
              <w:t>1</w:t>
            </w:r>
          </w:p>
        </w:tc>
      </w:tr>
      <w:tr w:rsidR="00F0110D" w14:paraId="662B0322" w14:textId="77777777" w:rsidTr="00F0110D">
        <w:trPr>
          <w:jc w:val="center"/>
        </w:trPr>
        <w:tc>
          <w:tcPr>
            <w:tcW w:w="938" w:type="dxa"/>
            <w:shd w:val="clear" w:color="auto" w:fill="00B050"/>
          </w:tcPr>
          <w:p w14:paraId="0A5E4DD9" w14:textId="77777777" w:rsidR="00F0110D" w:rsidRDefault="00F0110D" w:rsidP="00E16476">
            <w:pPr>
              <w:jc w:val="center"/>
            </w:pPr>
            <w:r>
              <w:t>10</w:t>
            </w:r>
          </w:p>
        </w:tc>
        <w:tc>
          <w:tcPr>
            <w:tcW w:w="900" w:type="dxa"/>
            <w:shd w:val="clear" w:color="auto" w:fill="00B050"/>
          </w:tcPr>
          <w:p w14:paraId="5EDD2D09" w14:textId="77777777" w:rsidR="00F0110D" w:rsidRDefault="00F0110D" w:rsidP="00E16476">
            <w:pPr>
              <w:jc w:val="center"/>
            </w:pPr>
            <w:r>
              <w:t>10 dB</w:t>
            </w:r>
          </w:p>
        </w:tc>
        <w:tc>
          <w:tcPr>
            <w:tcW w:w="1016" w:type="dxa"/>
            <w:shd w:val="clear" w:color="auto" w:fill="00B050"/>
          </w:tcPr>
          <w:p w14:paraId="66159CBE" w14:textId="77777777" w:rsidR="00F0110D" w:rsidRDefault="00F0110D" w:rsidP="00E16476">
            <w:pPr>
              <w:jc w:val="center"/>
            </w:pPr>
            <w:r>
              <w:t>2</w:t>
            </w:r>
          </w:p>
        </w:tc>
      </w:tr>
      <w:tr w:rsidR="00F0110D" w:rsidRPr="000F2B10" w14:paraId="51E94028" w14:textId="77777777" w:rsidTr="00F0110D">
        <w:trPr>
          <w:jc w:val="center"/>
        </w:trPr>
        <w:tc>
          <w:tcPr>
            <w:tcW w:w="938" w:type="dxa"/>
            <w:shd w:val="clear" w:color="auto" w:fill="00B050"/>
          </w:tcPr>
          <w:p w14:paraId="1B240E97" w14:textId="77777777" w:rsidR="00F0110D" w:rsidRPr="000F2B10" w:rsidRDefault="00F0110D" w:rsidP="00E16476">
            <w:pPr>
              <w:jc w:val="center"/>
            </w:pPr>
            <w:r w:rsidRPr="000F2B10">
              <w:t>3</w:t>
            </w:r>
          </w:p>
        </w:tc>
        <w:tc>
          <w:tcPr>
            <w:tcW w:w="900" w:type="dxa"/>
            <w:shd w:val="clear" w:color="auto" w:fill="00B050"/>
          </w:tcPr>
          <w:p w14:paraId="51506529" w14:textId="77777777" w:rsidR="00F0110D" w:rsidRPr="000F2B10" w:rsidRDefault="00F0110D" w:rsidP="00E16476">
            <w:pPr>
              <w:jc w:val="center"/>
            </w:pPr>
            <w:r w:rsidRPr="000F2B10">
              <w:t>8</w:t>
            </w:r>
            <w:r>
              <w:t xml:space="preserve"> dB</w:t>
            </w:r>
          </w:p>
        </w:tc>
        <w:tc>
          <w:tcPr>
            <w:tcW w:w="1016" w:type="dxa"/>
            <w:shd w:val="clear" w:color="auto" w:fill="00B050"/>
          </w:tcPr>
          <w:p w14:paraId="1445B97A" w14:textId="77777777" w:rsidR="00F0110D" w:rsidRPr="000F2B10" w:rsidRDefault="00F0110D" w:rsidP="00E16476">
            <w:pPr>
              <w:jc w:val="center"/>
            </w:pPr>
            <w:r>
              <w:t>2</w:t>
            </w:r>
          </w:p>
        </w:tc>
      </w:tr>
      <w:tr w:rsidR="00F0110D" w14:paraId="40A96FA2" w14:textId="77777777" w:rsidTr="00F0110D">
        <w:trPr>
          <w:jc w:val="center"/>
        </w:trPr>
        <w:tc>
          <w:tcPr>
            <w:tcW w:w="938" w:type="dxa"/>
            <w:shd w:val="clear" w:color="auto" w:fill="FF0000"/>
          </w:tcPr>
          <w:p w14:paraId="7C4F1944" w14:textId="77777777" w:rsidR="00F0110D" w:rsidRDefault="00F0110D" w:rsidP="00E16476">
            <w:pPr>
              <w:jc w:val="center"/>
            </w:pPr>
            <w:r>
              <w:t>5</w:t>
            </w:r>
          </w:p>
        </w:tc>
        <w:tc>
          <w:tcPr>
            <w:tcW w:w="900" w:type="dxa"/>
            <w:shd w:val="clear" w:color="auto" w:fill="FF0000"/>
          </w:tcPr>
          <w:p w14:paraId="018944A3" w14:textId="77777777" w:rsidR="00F0110D" w:rsidRDefault="00F0110D" w:rsidP="00E16476">
            <w:pPr>
              <w:jc w:val="center"/>
            </w:pPr>
            <w:r>
              <w:t>7 dB</w:t>
            </w:r>
          </w:p>
        </w:tc>
        <w:tc>
          <w:tcPr>
            <w:tcW w:w="1016" w:type="dxa"/>
            <w:shd w:val="clear" w:color="auto" w:fill="FF0000"/>
          </w:tcPr>
          <w:p w14:paraId="0A1AC94E" w14:textId="77777777" w:rsidR="00F0110D" w:rsidRDefault="00F0110D" w:rsidP="00E16476">
            <w:pPr>
              <w:jc w:val="center"/>
            </w:pPr>
            <w:r>
              <w:t>1</w:t>
            </w:r>
          </w:p>
        </w:tc>
      </w:tr>
    </w:tbl>
    <w:p w14:paraId="3F2C64F8" w14:textId="77777777" w:rsidR="00B20D17" w:rsidRDefault="00B20D17" w:rsidP="003A0E41"/>
    <w:p w14:paraId="252A486D" w14:textId="0847CAE1" w:rsidR="00A903D9" w:rsidRDefault="00F0110D" w:rsidP="003A0E41">
      <w:r>
        <w:t xml:space="preserve">Group-based reporting offers the gNB more flexibility in selecting which pair of Tx beams can be used simultaneously. Due to the grouping, the gNB knows that Tx beams in different groups can be received simultaneously. Hence, it can </w:t>
      </w:r>
      <w:r w:rsidR="00251567">
        <w:t>select amongst</w:t>
      </w:r>
      <w:r>
        <w:t xml:space="preserve"> all 4 possible pairs of Tx beams. Specifically, the gNB </w:t>
      </w:r>
      <w:r w:rsidR="00251567">
        <w:t>can decide to use Tx beam 4/</w:t>
      </w:r>
      <w:r>
        <w:t xml:space="preserve">10, </w:t>
      </w:r>
      <w:r w:rsidR="00251567">
        <w:t>4/</w:t>
      </w:r>
      <w:r>
        <w:t xml:space="preserve">3, </w:t>
      </w:r>
      <w:r w:rsidR="00251567">
        <w:t>5/3</w:t>
      </w:r>
      <w:r>
        <w:t xml:space="preserve">, or </w:t>
      </w:r>
      <w:r w:rsidR="00251567">
        <w:t xml:space="preserve">5/10 </w:t>
      </w:r>
      <w:r>
        <w:t>simultaneously</w:t>
      </w:r>
      <w:r w:rsidR="00251567">
        <w:t xml:space="preserve">. It is not restricted to use 4/10 or 5/3 only as in </w:t>
      </w:r>
      <w:r w:rsidR="000218F8">
        <w:t>Alt.1</w:t>
      </w:r>
      <w:r w:rsidR="00251567">
        <w:t xml:space="preserve">. In order for </w:t>
      </w:r>
      <w:r w:rsidR="000218F8">
        <w:t>Alt.1</w:t>
      </w:r>
      <w:r w:rsidR="00251567">
        <w:t xml:space="preserve"> to have the same flexibility as </w:t>
      </w:r>
      <w:r w:rsidR="000218F8">
        <w:t>Alt.2</w:t>
      </w:r>
      <w:r w:rsidR="00251567">
        <w:t xml:space="preserve">, 4 different sets would be needed in </w:t>
      </w:r>
      <w:r w:rsidR="000218F8">
        <w:t>Alt.1</w:t>
      </w:r>
      <w:r w:rsidR="00251567">
        <w:t xml:space="preserve">, and two sets indicators would be needed per CRI. Hence the overhead would be </w:t>
      </w:r>
      <w:r w:rsidR="00B75103">
        <w:t>4 times</w:t>
      </w:r>
      <w:r w:rsidR="00251567">
        <w:t xml:space="preserve"> higher</w:t>
      </w:r>
      <w:r w:rsidR="00B75103">
        <w:t xml:space="preserve"> in this example</w:t>
      </w:r>
      <w:r w:rsidR="00251567">
        <w:t>.</w:t>
      </w:r>
      <w:r w:rsidR="00B75103">
        <w:t xml:space="preserve"> Other scenarios could lead to even a larger difference in overhead.</w:t>
      </w:r>
    </w:p>
    <w:p w14:paraId="62293844" w14:textId="15B4EF04" w:rsidR="004F4F6E" w:rsidRDefault="00251567" w:rsidP="00251567">
      <w:pPr>
        <w:pStyle w:val="Observation"/>
      </w:pPr>
      <w:bookmarkStart w:id="8" w:name="_Toc474146618"/>
      <w:r>
        <w:t>For the same amount of overhead, group-based reporting (</w:t>
      </w:r>
      <w:r w:rsidR="000218F8">
        <w:t>Alt.2</w:t>
      </w:r>
      <w:r>
        <w:t>) offers the gNB more flexibility than set-based reporting (</w:t>
      </w:r>
      <w:r w:rsidR="000218F8">
        <w:t>Alt.1</w:t>
      </w:r>
      <w:r>
        <w:t>) in selecting amongst Tx beams that may be received simultaneously at the UE.</w:t>
      </w:r>
      <w:bookmarkEnd w:id="8"/>
    </w:p>
    <w:p w14:paraId="62606B28" w14:textId="5B71766C" w:rsidR="003524AA" w:rsidRDefault="00251567" w:rsidP="003A0E41">
      <w:pPr>
        <w:pStyle w:val="Observation"/>
      </w:pPr>
      <w:bookmarkStart w:id="9" w:name="_Toc474146619"/>
      <w:r>
        <w:lastRenderedPageBreak/>
        <w:t>Set- and group-based reporting can offer the gNB the same flexibility in selecting amongst Tx beams that may be received simultaneously at the UE; however, for equal flexibility, the feedback overhead for set-based reporting (</w:t>
      </w:r>
      <w:r w:rsidR="000218F8">
        <w:t>Alt.1</w:t>
      </w:r>
      <w:r>
        <w:t>) is larger than group-based reporting (</w:t>
      </w:r>
      <w:r w:rsidR="000218F8">
        <w:t>Alt.2</w:t>
      </w:r>
      <w:r>
        <w:t>).</w:t>
      </w:r>
      <w:bookmarkEnd w:id="9"/>
    </w:p>
    <w:p w14:paraId="27FBD14C" w14:textId="6B58F848" w:rsidR="00A44A17" w:rsidRDefault="00A44A17" w:rsidP="00A44A17">
      <w:pPr>
        <w:pStyle w:val="BodyText"/>
      </w:pPr>
      <w:r>
        <w:t xml:space="preserve">Based on these observations, we propose that a down-selection be made amongst </w:t>
      </w:r>
      <w:r w:rsidR="000218F8">
        <w:t>Alt.1</w:t>
      </w:r>
      <w:r>
        <w:t xml:space="preserve"> and </w:t>
      </w:r>
      <w:r w:rsidR="000218F8">
        <w:t>Alt.2</w:t>
      </w:r>
      <w:r>
        <w:t>, such that NR supports only group-based reporting.</w:t>
      </w:r>
    </w:p>
    <w:p w14:paraId="02991C71" w14:textId="7AFE318B" w:rsidR="00A44A17" w:rsidRDefault="00A44A17" w:rsidP="00A44A17">
      <w:pPr>
        <w:pStyle w:val="Proposal"/>
      </w:pPr>
      <w:bookmarkStart w:id="10" w:name="_Toc474098849"/>
      <w:bookmarkStart w:id="11" w:name="_Toc474146621"/>
      <w:r>
        <w:t>NR supports only group-based reporting (</w:t>
      </w:r>
      <w:r w:rsidR="000218F8">
        <w:t>Alt.2</w:t>
      </w:r>
      <w:r>
        <w:t>), not set-based reporting (</w:t>
      </w:r>
      <w:r w:rsidR="000218F8">
        <w:t>Alt.1</w:t>
      </w:r>
      <w:r>
        <w:t>).</w:t>
      </w:r>
      <w:bookmarkEnd w:id="10"/>
      <w:bookmarkEnd w:id="11"/>
    </w:p>
    <w:p w14:paraId="46E4C7A2" w14:textId="77777777" w:rsidR="00C01F33" w:rsidRPr="00CE0424" w:rsidRDefault="00C01F33" w:rsidP="003A0E41">
      <w:pPr>
        <w:pStyle w:val="Heading1"/>
      </w:pPr>
      <w:r w:rsidRPr="00CE0424">
        <w:t>Conclusion</w:t>
      </w:r>
      <w:r w:rsidR="00AE2FEB">
        <w:t>s</w:t>
      </w:r>
    </w:p>
    <w:p w14:paraId="51CB6E9D" w14:textId="77777777" w:rsidR="002451ED" w:rsidRDefault="003A0E41" w:rsidP="008E065E">
      <w:pPr>
        <w:pStyle w:val="BodyText"/>
      </w:pPr>
      <w:r>
        <w:t>In this contribution we made the following ob</w:t>
      </w:r>
      <w:r w:rsidR="004033B5">
        <w:t>s</w:t>
      </w:r>
      <w:r>
        <w:t>ervations</w:t>
      </w:r>
      <w:r w:rsidR="008E065E" w:rsidRPr="00CE0424">
        <w:t>:</w:t>
      </w:r>
    </w:p>
    <w:p w14:paraId="6D7B0054" w14:textId="5A8D70B3" w:rsidR="00B75103"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\n \h \z \t "Observation,1" </w:instrText>
      </w:r>
      <w:r>
        <w:rPr>
          <w:b w:val="0"/>
          <w:bCs/>
        </w:rPr>
        <w:fldChar w:fldCharType="separate"/>
      </w:r>
      <w:hyperlink w:anchor="_Toc474146617" w:history="1">
        <w:r w:rsidR="00B75103" w:rsidRPr="00AE1AE1">
          <w:rPr>
            <w:rStyle w:val="Hyperlink"/>
          </w:rPr>
          <w:t>Observation 1</w:t>
        </w:r>
        <w:r w:rsidR="00B75103">
          <w:rPr>
            <w:rFonts w:asciiTheme="minorHAnsi" w:eastAsiaTheme="minorEastAsia" w:hAnsiTheme="minorHAnsi" w:cstheme="minorBidi"/>
            <w:b w:val="0"/>
            <w:sz w:val="22"/>
            <w:lang w:eastAsia="en-US"/>
          </w:rPr>
          <w:tab/>
        </w:r>
        <w:r w:rsidR="00B75103" w:rsidRPr="00AE1AE1">
          <w:rPr>
            <w:rStyle w:val="Hyperlink"/>
          </w:rPr>
          <w:t>There are cases when beam reporting per beam set or per beam group (Alt.1 and Alt.2) need not be configured as it depends on UE capability. Additionally, we don’t see any motivation for using this for single BPL (M=1) operation.</w:t>
        </w:r>
      </w:hyperlink>
    </w:p>
    <w:p w14:paraId="22C87EF8" w14:textId="71273EF5" w:rsidR="00B75103" w:rsidRDefault="00CD3F00">
      <w:pPr>
        <w:pStyle w:val="TOC1"/>
        <w:rPr>
          <w:rFonts w:asciiTheme="minorHAnsi" w:eastAsiaTheme="minorEastAsia" w:hAnsiTheme="minorHAnsi" w:cstheme="minorBidi"/>
          <w:b w:val="0"/>
          <w:sz w:val="22"/>
          <w:lang w:eastAsia="en-US"/>
        </w:rPr>
      </w:pPr>
      <w:hyperlink w:anchor="_Toc474146618" w:history="1">
        <w:r w:rsidR="00B75103" w:rsidRPr="00AE1AE1">
          <w:rPr>
            <w:rStyle w:val="Hyperlink"/>
          </w:rPr>
          <w:t>Observation 2</w:t>
        </w:r>
        <w:r w:rsidR="00B75103">
          <w:rPr>
            <w:rFonts w:asciiTheme="minorHAnsi" w:eastAsiaTheme="minorEastAsia" w:hAnsiTheme="minorHAnsi" w:cstheme="minorBidi"/>
            <w:b w:val="0"/>
            <w:sz w:val="22"/>
            <w:lang w:eastAsia="en-US"/>
          </w:rPr>
          <w:tab/>
        </w:r>
        <w:r w:rsidR="00B75103" w:rsidRPr="00AE1AE1">
          <w:rPr>
            <w:rStyle w:val="Hyperlink"/>
          </w:rPr>
          <w:t>For the same amount of overhead, group-based reporting (Alt.2) offers the gNB more flexibility than set-based reporting (Alt.1) in selecting amongst Tx beams that may be received simultaneously at the UE.</w:t>
        </w:r>
      </w:hyperlink>
    </w:p>
    <w:p w14:paraId="00BBABAA" w14:textId="6B43A148" w:rsidR="00B75103" w:rsidRDefault="00CD3F00">
      <w:pPr>
        <w:pStyle w:val="TOC1"/>
        <w:rPr>
          <w:rFonts w:asciiTheme="minorHAnsi" w:eastAsiaTheme="minorEastAsia" w:hAnsiTheme="minorHAnsi" w:cstheme="minorBidi"/>
          <w:b w:val="0"/>
          <w:sz w:val="22"/>
          <w:lang w:eastAsia="en-US"/>
        </w:rPr>
      </w:pPr>
      <w:hyperlink w:anchor="_Toc474146619" w:history="1">
        <w:r w:rsidR="00B75103" w:rsidRPr="00AE1AE1">
          <w:rPr>
            <w:rStyle w:val="Hyperlink"/>
          </w:rPr>
          <w:t>Observation 3</w:t>
        </w:r>
        <w:r w:rsidR="00B75103">
          <w:rPr>
            <w:rFonts w:asciiTheme="minorHAnsi" w:eastAsiaTheme="minorEastAsia" w:hAnsiTheme="minorHAnsi" w:cstheme="minorBidi"/>
            <w:b w:val="0"/>
            <w:sz w:val="22"/>
            <w:lang w:eastAsia="en-US"/>
          </w:rPr>
          <w:tab/>
        </w:r>
        <w:r w:rsidR="00B75103" w:rsidRPr="00AE1AE1">
          <w:rPr>
            <w:rStyle w:val="Hyperlink"/>
          </w:rPr>
          <w:t>Set- and group-based reporting can offer the gNB the same flexibility in selecting amongst Tx beams that may be received simultaneously at the UE; however, for equal flexibility, the feedback overhead for set-based reporting (Alt.1) is larger than group-based reporting (Alt.2).</w:t>
        </w:r>
      </w:hyperlink>
    </w:p>
    <w:p w14:paraId="293CD266" w14:textId="174FDA6B" w:rsidR="008E065E" w:rsidRDefault="00E5689D" w:rsidP="008E065E">
      <w:pPr>
        <w:pStyle w:val="BodyText"/>
        <w:rPr>
          <w:b/>
          <w:bCs/>
        </w:rPr>
      </w:pPr>
      <w:r>
        <w:rPr>
          <w:bCs/>
          <w:noProof/>
          <w:szCs w:val="22"/>
          <w:lang w:val="en-US"/>
        </w:rPr>
        <w:fldChar w:fldCharType="end"/>
      </w:r>
    </w:p>
    <w:p w14:paraId="24AC1AB3" w14:textId="77777777" w:rsidR="00B75103" w:rsidRDefault="00E5689D" w:rsidP="00E5689D">
      <w:pPr>
        <w:pStyle w:val="BodyText"/>
        <w:rPr>
          <w:noProof/>
        </w:rPr>
      </w:pPr>
      <w:r>
        <w:t xml:space="preserve">Based on </w:t>
      </w:r>
      <w:r w:rsidR="00A44A17">
        <w:t>these observations</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7988FECB" w14:textId="77777777" w:rsidR="00B75103" w:rsidRDefault="00B75103">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NR supports only group-based reporting (Alt.2), not set-based reporting (Alt.1).</w:t>
      </w:r>
    </w:p>
    <w:p w14:paraId="01F0DED6" w14:textId="77777777" w:rsidR="00C01F33" w:rsidRPr="00790B99" w:rsidRDefault="00E5689D" w:rsidP="00E5689D">
      <w:pPr>
        <w:pStyle w:val="BodyText"/>
        <w:rPr>
          <w:b/>
          <w:bCs/>
        </w:rPr>
      </w:pPr>
      <w:r>
        <w:rPr>
          <w:b/>
          <w:bCs/>
        </w:rPr>
        <w:fldChar w:fldCharType="end"/>
      </w:r>
    </w:p>
    <w:p w14:paraId="10A16959" w14:textId="77777777" w:rsidR="00F507D1" w:rsidRPr="00CE0424" w:rsidRDefault="00F507D1" w:rsidP="00CE0424">
      <w:pPr>
        <w:pStyle w:val="Heading1"/>
      </w:pPr>
      <w:bookmarkStart w:id="12" w:name="_In-sequence_SDU_delivery"/>
      <w:bookmarkEnd w:id="12"/>
      <w:r w:rsidRPr="00CE0424">
        <w:t>References</w:t>
      </w:r>
    </w:p>
    <w:p w14:paraId="1B533841" w14:textId="77777777" w:rsidR="003A7EF3" w:rsidRPr="00CE0424" w:rsidRDefault="00814C01" w:rsidP="00CE0424">
      <w:pPr>
        <w:pStyle w:val="Reference"/>
      </w:pPr>
      <w:bookmarkStart w:id="13" w:name="_Ref474080629"/>
      <w:r>
        <w:t>R1-1702674, “Beam management overview,” Ericsson, February 2017.</w:t>
      </w:r>
      <w:bookmarkEnd w:id="13"/>
    </w:p>
    <w:sectPr w:rsidR="003A7EF3" w:rsidRPr="00CE0424"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6AF2D" w14:textId="77777777" w:rsidR="00CD3F00" w:rsidRDefault="00CD3F00">
      <w:r>
        <w:separator/>
      </w:r>
    </w:p>
  </w:endnote>
  <w:endnote w:type="continuationSeparator" w:id="0">
    <w:p w14:paraId="1D2DFE6B" w14:textId="77777777" w:rsidR="00CD3F00" w:rsidRDefault="00CD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9A377" w14:textId="1039114C" w:rsidR="00E16476" w:rsidRDefault="00E164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89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89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F007F" w14:textId="77777777" w:rsidR="00CD3F00" w:rsidRDefault="00CD3F00">
      <w:r>
        <w:separator/>
      </w:r>
    </w:p>
  </w:footnote>
  <w:footnote w:type="continuationSeparator" w:id="0">
    <w:p w14:paraId="349E5C75" w14:textId="77777777" w:rsidR="00CD3F00" w:rsidRDefault="00CD3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BF067" w14:textId="77777777" w:rsidR="00E16476" w:rsidRDefault="00E164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13C33"/>
    <w:multiLevelType w:val="hybridMultilevel"/>
    <w:tmpl w:val="8684F6AC"/>
    <w:lvl w:ilvl="0" w:tplc="E84660BC">
      <w:start w:val="1"/>
      <w:numFmt w:val="bullet"/>
      <w:lvlText w:val="–"/>
      <w:lvlJc w:val="left"/>
      <w:pPr>
        <w:tabs>
          <w:tab w:val="num" w:pos="720"/>
        </w:tabs>
        <w:ind w:left="720" w:hanging="360"/>
      </w:pPr>
      <w:rPr>
        <w:rFonts w:ascii="Ericsson Capital TT" w:hAnsi="Ericsson Capital TT" w:hint="default"/>
      </w:rPr>
    </w:lvl>
    <w:lvl w:ilvl="1" w:tplc="76FAF552">
      <w:start w:val="1"/>
      <w:numFmt w:val="bullet"/>
      <w:lvlText w:val="–"/>
      <w:lvlJc w:val="left"/>
      <w:pPr>
        <w:tabs>
          <w:tab w:val="num" w:pos="1440"/>
        </w:tabs>
        <w:ind w:left="1440" w:hanging="360"/>
      </w:pPr>
      <w:rPr>
        <w:rFonts w:ascii="Ericsson Capital TT" w:hAnsi="Ericsson Capital TT" w:hint="default"/>
      </w:rPr>
    </w:lvl>
    <w:lvl w:ilvl="2" w:tplc="E2603684">
      <w:numFmt w:val="bullet"/>
      <w:lvlText w:val="›"/>
      <w:lvlJc w:val="left"/>
      <w:pPr>
        <w:tabs>
          <w:tab w:val="num" w:pos="2160"/>
        </w:tabs>
        <w:ind w:left="2160" w:hanging="360"/>
      </w:pPr>
      <w:rPr>
        <w:rFonts w:ascii="Ericsson Capital TT" w:hAnsi="Ericsson Capital TT" w:hint="default"/>
      </w:rPr>
    </w:lvl>
    <w:lvl w:ilvl="3" w:tplc="BD620418" w:tentative="1">
      <w:start w:val="1"/>
      <w:numFmt w:val="bullet"/>
      <w:lvlText w:val="–"/>
      <w:lvlJc w:val="left"/>
      <w:pPr>
        <w:tabs>
          <w:tab w:val="num" w:pos="2880"/>
        </w:tabs>
        <w:ind w:left="2880" w:hanging="360"/>
      </w:pPr>
      <w:rPr>
        <w:rFonts w:ascii="Ericsson Capital TT" w:hAnsi="Ericsson Capital TT" w:hint="default"/>
      </w:rPr>
    </w:lvl>
    <w:lvl w:ilvl="4" w:tplc="72D8531A" w:tentative="1">
      <w:start w:val="1"/>
      <w:numFmt w:val="bullet"/>
      <w:lvlText w:val="–"/>
      <w:lvlJc w:val="left"/>
      <w:pPr>
        <w:tabs>
          <w:tab w:val="num" w:pos="3600"/>
        </w:tabs>
        <w:ind w:left="3600" w:hanging="360"/>
      </w:pPr>
      <w:rPr>
        <w:rFonts w:ascii="Ericsson Capital TT" w:hAnsi="Ericsson Capital TT" w:hint="default"/>
      </w:rPr>
    </w:lvl>
    <w:lvl w:ilvl="5" w:tplc="6A4A01F4" w:tentative="1">
      <w:start w:val="1"/>
      <w:numFmt w:val="bullet"/>
      <w:lvlText w:val="–"/>
      <w:lvlJc w:val="left"/>
      <w:pPr>
        <w:tabs>
          <w:tab w:val="num" w:pos="4320"/>
        </w:tabs>
        <w:ind w:left="4320" w:hanging="360"/>
      </w:pPr>
      <w:rPr>
        <w:rFonts w:ascii="Ericsson Capital TT" w:hAnsi="Ericsson Capital TT" w:hint="default"/>
      </w:rPr>
    </w:lvl>
    <w:lvl w:ilvl="6" w:tplc="3352498C" w:tentative="1">
      <w:start w:val="1"/>
      <w:numFmt w:val="bullet"/>
      <w:lvlText w:val="–"/>
      <w:lvlJc w:val="left"/>
      <w:pPr>
        <w:tabs>
          <w:tab w:val="num" w:pos="5040"/>
        </w:tabs>
        <w:ind w:left="5040" w:hanging="360"/>
      </w:pPr>
      <w:rPr>
        <w:rFonts w:ascii="Ericsson Capital TT" w:hAnsi="Ericsson Capital TT" w:hint="default"/>
      </w:rPr>
    </w:lvl>
    <w:lvl w:ilvl="7" w:tplc="0AA236D0" w:tentative="1">
      <w:start w:val="1"/>
      <w:numFmt w:val="bullet"/>
      <w:lvlText w:val="–"/>
      <w:lvlJc w:val="left"/>
      <w:pPr>
        <w:tabs>
          <w:tab w:val="num" w:pos="5760"/>
        </w:tabs>
        <w:ind w:left="5760" w:hanging="360"/>
      </w:pPr>
      <w:rPr>
        <w:rFonts w:ascii="Ericsson Capital TT" w:hAnsi="Ericsson Capital TT" w:hint="default"/>
      </w:rPr>
    </w:lvl>
    <w:lvl w:ilvl="8" w:tplc="20604C24"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AB60DE3"/>
    <w:multiLevelType w:val="hybridMultilevel"/>
    <w:tmpl w:val="BC302522"/>
    <w:lvl w:ilvl="0" w:tplc="CFA6AB56">
      <w:start w:val="1"/>
      <w:numFmt w:val="bullet"/>
      <w:lvlText w:val="–"/>
      <w:lvlJc w:val="left"/>
      <w:pPr>
        <w:tabs>
          <w:tab w:val="num" w:pos="720"/>
        </w:tabs>
        <w:ind w:left="720" w:hanging="360"/>
      </w:pPr>
      <w:rPr>
        <w:rFonts w:ascii="Ericsson Capital TT" w:hAnsi="Ericsson Capital TT" w:hint="default"/>
      </w:rPr>
    </w:lvl>
    <w:lvl w:ilvl="1" w:tplc="88A0F4B4">
      <w:start w:val="1"/>
      <w:numFmt w:val="bullet"/>
      <w:lvlText w:val="–"/>
      <w:lvlJc w:val="left"/>
      <w:pPr>
        <w:tabs>
          <w:tab w:val="num" w:pos="1440"/>
        </w:tabs>
        <w:ind w:left="1440" w:hanging="360"/>
      </w:pPr>
      <w:rPr>
        <w:rFonts w:ascii="Ericsson Capital TT" w:hAnsi="Ericsson Capital TT" w:hint="default"/>
      </w:rPr>
    </w:lvl>
    <w:lvl w:ilvl="2" w:tplc="4CACD470">
      <w:numFmt w:val="bullet"/>
      <w:lvlText w:val="›"/>
      <w:lvlJc w:val="left"/>
      <w:pPr>
        <w:tabs>
          <w:tab w:val="num" w:pos="2160"/>
        </w:tabs>
        <w:ind w:left="2160" w:hanging="360"/>
      </w:pPr>
      <w:rPr>
        <w:rFonts w:ascii="Ericsson Capital TT" w:hAnsi="Ericsson Capital TT" w:hint="default"/>
      </w:rPr>
    </w:lvl>
    <w:lvl w:ilvl="3" w:tplc="74381B5A">
      <w:numFmt w:val="bullet"/>
      <w:lvlText w:val="-"/>
      <w:lvlJc w:val="left"/>
      <w:pPr>
        <w:tabs>
          <w:tab w:val="num" w:pos="2880"/>
        </w:tabs>
        <w:ind w:left="2880" w:hanging="360"/>
      </w:pPr>
      <w:rPr>
        <w:rFonts w:ascii="Ericsson Capital TT" w:hAnsi="Ericsson Capital TT" w:hint="default"/>
      </w:rPr>
    </w:lvl>
    <w:lvl w:ilvl="4" w:tplc="A22862E8" w:tentative="1">
      <w:start w:val="1"/>
      <w:numFmt w:val="bullet"/>
      <w:lvlText w:val="–"/>
      <w:lvlJc w:val="left"/>
      <w:pPr>
        <w:tabs>
          <w:tab w:val="num" w:pos="3600"/>
        </w:tabs>
        <w:ind w:left="3600" w:hanging="360"/>
      </w:pPr>
      <w:rPr>
        <w:rFonts w:ascii="Ericsson Capital TT" w:hAnsi="Ericsson Capital TT" w:hint="default"/>
      </w:rPr>
    </w:lvl>
    <w:lvl w:ilvl="5" w:tplc="E2961A8A" w:tentative="1">
      <w:start w:val="1"/>
      <w:numFmt w:val="bullet"/>
      <w:lvlText w:val="–"/>
      <w:lvlJc w:val="left"/>
      <w:pPr>
        <w:tabs>
          <w:tab w:val="num" w:pos="4320"/>
        </w:tabs>
        <w:ind w:left="4320" w:hanging="360"/>
      </w:pPr>
      <w:rPr>
        <w:rFonts w:ascii="Ericsson Capital TT" w:hAnsi="Ericsson Capital TT" w:hint="default"/>
      </w:rPr>
    </w:lvl>
    <w:lvl w:ilvl="6" w:tplc="8DF22612" w:tentative="1">
      <w:start w:val="1"/>
      <w:numFmt w:val="bullet"/>
      <w:lvlText w:val="–"/>
      <w:lvlJc w:val="left"/>
      <w:pPr>
        <w:tabs>
          <w:tab w:val="num" w:pos="5040"/>
        </w:tabs>
        <w:ind w:left="5040" w:hanging="360"/>
      </w:pPr>
      <w:rPr>
        <w:rFonts w:ascii="Ericsson Capital TT" w:hAnsi="Ericsson Capital TT" w:hint="default"/>
      </w:rPr>
    </w:lvl>
    <w:lvl w:ilvl="7" w:tplc="EC7E23EA" w:tentative="1">
      <w:start w:val="1"/>
      <w:numFmt w:val="bullet"/>
      <w:lvlText w:val="–"/>
      <w:lvlJc w:val="left"/>
      <w:pPr>
        <w:tabs>
          <w:tab w:val="num" w:pos="5760"/>
        </w:tabs>
        <w:ind w:left="5760" w:hanging="360"/>
      </w:pPr>
      <w:rPr>
        <w:rFonts w:ascii="Ericsson Capital TT" w:hAnsi="Ericsson Capital TT" w:hint="default"/>
      </w:rPr>
    </w:lvl>
    <w:lvl w:ilvl="8" w:tplc="4CDC21DA"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CFC1DC2"/>
    <w:multiLevelType w:val="hybridMultilevel"/>
    <w:tmpl w:val="88E42742"/>
    <w:lvl w:ilvl="0" w:tplc="768668B0">
      <w:start w:val="1"/>
      <w:numFmt w:val="bullet"/>
      <w:lvlText w:val="•"/>
      <w:lvlJc w:val="left"/>
      <w:pPr>
        <w:tabs>
          <w:tab w:val="num" w:pos="927"/>
        </w:tabs>
        <w:ind w:left="927" w:hanging="360"/>
      </w:pPr>
      <w:rPr>
        <w:rFonts w:ascii="Arial" w:hAnsi="Arial" w:hint="default"/>
      </w:rPr>
    </w:lvl>
    <w:lvl w:ilvl="1" w:tplc="A8E60538">
      <w:start w:val="1"/>
      <w:numFmt w:val="bullet"/>
      <w:lvlText w:val="•"/>
      <w:lvlJc w:val="left"/>
      <w:pPr>
        <w:tabs>
          <w:tab w:val="num" w:pos="1647"/>
        </w:tabs>
        <w:ind w:left="1647" w:hanging="360"/>
      </w:pPr>
      <w:rPr>
        <w:rFonts w:ascii="Arial" w:hAnsi="Arial" w:hint="default"/>
      </w:rPr>
    </w:lvl>
    <w:lvl w:ilvl="2" w:tplc="A1FA9178">
      <w:start w:val="1"/>
      <w:numFmt w:val="bullet"/>
      <w:lvlText w:val="•"/>
      <w:lvlJc w:val="left"/>
      <w:pPr>
        <w:tabs>
          <w:tab w:val="num" w:pos="2367"/>
        </w:tabs>
        <w:ind w:left="2367" w:hanging="360"/>
      </w:pPr>
      <w:rPr>
        <w:rFonts w:ascii="Arial" w:hAnsi="Arial" w:hint="default"/>
      </w:rPr>
    </w:lvl>
    <w:lvl w:ilvl="3" w:tplc="286E831A">
      <w:start w:val="2998"/>
      <w:numFmt w:val="bullet"/>
      <w:lvlText w:val=""/>
      <w:lvlJc w:val="left"/>
      <w:pPr>
        <w:tabs>
          <w:tab w:val="num" w:pos="3087"/>
        </w:tabs>
        <w:ind w:left="3087" w:hanging="360"/>
      </w:pPr>
      <w:rPr>
        <w:rFonts w:ascii="Wingdings" w:hAnsi="Wingdings" w:hint="default"/>
      </w:rPr>
    </w:lvl>
    <w:lvl w:ilvl="4" w:tplc="DAE40602">
      <w:start w:val="2998"/>
      <w:numFmt w:val="bullet"/>
      <w:lvlText w:val="−"/>
      <w:lvlJc w:val="left"/>
      <w:pPr>
        <w:tabs>
          <w:tab w:val="num" w:pos="3807"/>
        </w:tabs>
        <w:ind w:left="3807" w:hanging="360"/>
      </w:pPr>
      <w:rPr>
        <w:rFonts w:ascii="Times New Roman" w:hAnsi="Times New Roman" w:hint="default"/>
      </w:rPr>
    </w:lvl>
    <w:lvl w:ilvl="5" w:tplc="C2CC9C2A" w:tentative="1">
      <w:start w:val="1"/>
      <w:numFmt w:val="bullet"/>
      <w:lvlText w:val="•"/>
      <w:lvlJc w:val="left"/>
      <w:pPr>
        <w:tabs>
          <w:tab w:val="num" w:pos="4527"/>
        </w:tabs>
        <w:ind w:left="4527" w:hanging="360"/>
      </w:pPr>
      <w:rPr>
        <w:rFonts w:ascii="Arial" w:hAnsi="Arial" w:hint="default"/>
      </w:rPr>
    </w:lvl>
    <w:lvl w:ilvl="6" w:tplc="6ABC249A" w:tentative="1">
      <w:start w:val="1"/>
      <w:numFmt w:val="bullet"/>
      <w:lvlText w:val="•"/>
      <w:lvlJc w:val="left"/>
      <w:pPr>
        <w:tabs>
          <w:tab w:val="num" w:pos="5247"/>
        </w:tabs>
        <w:ind w:left="5247" w:hanging="360"/>
      </w:pPr>
      <w:rPr>
        <w:rFonts w:ascii="Arial" w:hAnsi="Arial" w:hint="default"/>
      </w:rPr>
    </w:lvl>
    <w:lvl w:ilvl="7" w:tplc="B44C460E" w:tentative="1">
      <w:start w:val="1"/>
      <w:numFmt w:val="bullet"/>
      <w:lvlText w:val="•"/>
      <w:lvlJc w:val="left"/>
      <w:pPr>
        <w:tabs>
          <w:tab w:val="num" w:pos="5967"/>
        </w:tabs>
        <w:ind w:left="5967" w:hanging="360"/>
      </w:pPr>
      <w:rPr>
        <w:rFonts w:ascii="Arial" w:hAnsi="Arial" w:hint="default"/>
      </w:rPr>
    </w:lvl>
    <w:lvl w:ilvl="8" w:tplc="1346AA9C" w:tentative="1">
      <w:start w:val="1"/>
      <w:numFmt w:val="bullet"/>
      <w:lvlText w:val="•"/>
      <w:lvlJc w:val="left"/>
      <w:pPr>
        <w:tabs>
          <w:tab w:val="num" w:pos="6687"/>
        </w:tabs>
        <w:ind w:left="6687" w:hanging="360"/>
      </w:pPr>
      <w:rPr>
        <w:rFonts w:ascii="Arial" w:hAnsi="Arial" w:hint="default"/>
      </w:rPr>
    </w:lvl>
  </w:abstractNum>
  <w:abstractNum w:abstractNumId="8" w15:restartNumberingAfterBreak="0">
    <w:nsid w:val="20312D34"/>
    <w:multiLevelType w:val="hybridMultilevel"/>
    <w:tmpl w:val="A1D86710"/>
    <w:lvl w:ilvl="0" w:tplc="4E800BFA">
      <w:start w:val="1"/>
      <w:numFmt w:val="bullet"/>
      <w:lvlText w:val="›"/>
      <w:lvlJc w:val="left"/>
      <w:pPr>
        <w:tabs>
          <w:tab w:val="num" w:pos="720"/>
        </w:tabs>
        <w:ind w:left="720" w:hanging="360"/>
      </w:pPr>
      <w:rPr>
        <w:rFonts w:ascii="Arial" w:hAnsi="Arial" w:hint="default"/>
      </w:rPr>
    </w:lvl>
    <w:lvl w:ilvl="1" w:tplc="BE1CE9E4">
      <w:numFmt w:val="bullet"/>
      <w:lvlText w:val="–"/>
      <w:lvlJc w:val="left"/>
      <w:pPr>
        <w:tabs>
          <w:tab w:val="num" w:pos="1440"/>
        </w:tabs>
        <w:ind w:left="1440" w:hanging="360"/>
      </w:pPr>
      <w:rPr>
        <w:rFonts w:ascii="Ericsson Capital TT" w:hAnsi="Ericsson Capital TT" w:hint="default"/>
      </w:rPr>
    </w:lvl>
    <w:lvl w:ilvl="2" w:tplc="63205620" w:tentative="1">
      <w:start w:val="1"/>
      <w:numFmt w:val="bullet"/>
      <w:lvlText w:val="›"/>
      <w:lvlJc w:val="left"/>
      <w:pPr>
        <w:tabs>
          <w:tab w:val="num" w:pos="2160"/>
        </w:tabs>
        <w:ind w:left="2160" w:hanging="360"/>
      </w:pPr>
      <w:rPr>
        <w:rFonts w:ascii="Arial" w:hAnsi="Arial" w:hint="default"/>
      </w:rPr>
    </w:lvl>
    <w:lvl w:ilvl="3" w:tplc="5BA648C0" w:tentative="1">
      <w:start w:val="1"/>
      <w:numFmt w:val="bullet"/>
      <w:lvlText w:val="›"/>
      <w:lvlJc w:val="left"/>
      <w:pPr>
        <w:tabs>
          <w:tab w:val="num" w:pos="2880"/>
        </w:tabs>
        <w:ind w:left="2880" w:hanging="360"/>
      </w:pPr>
      <w:rPr>
        <w:rFonts w:ascii="Arial" w:hAnsi="Arial" w:hint="default"/>
      </w:rPr>
    </w:lvl>
    <w:lvl w:ilvl="4" w:tplc="491896BA" w:tentative="1">
      <w:start w:val="1"/>
      <w:numFmt w:val="bullet"/>
      <w:lvlText w:val="›"/>
      <w:lvlJc w:val="left"/>
      <w:pPr>
        <w:tabs>
          <w:tab w:val="num" w:pos="3600"/>
        </w:tabs>
        <w:ind w:left="3600" w:hanging="360"/>
      </w:pPr>
      <w:rPr>
        <w:rFonts w:ascii="Arial" w:hAnsi="Arial" w:hint="default"/>
      </w:rPr>
    </w:lvl>
    <w:lvl w:ilvl="5" w:tplc="00143564" w:tentative="1">
      <w:start w:val="1"/>
      <w:numFmt w:val="bullet"/>
      <w:lvlText w:val="›"/>
      <w:lvlJc w:val="left"/>
      <w:pPr>
        <w:tabs>
          <w:tab w:val="num" w:pos="4320"/>
        </w:tabs>
        <w:ind w:left="4320" w:hanging="360"/>
      </w:pPr>
      <w:rPr>
        <w:rFonts w:ascii="Arial" w:hAnsi="Arial" w:hint="default"/>
      </w:rPr>
    </w:lvl>
    <w:lvl w:ilvl="6" w:tplc="9FA2AE74" w:tentative="1">
      <w:start w:val="1"/>
      <w:numFmt w:val="bullet"/>
      <w:lvlText w:val="›"/>
      <w:lvlJc w:val="left"/>
      <w:pPr>
        <w:tabs>
          <w:tab w:val="num" w:pos="5040"/>
        </w:tabs>
        <w:ind w:left="5040" w:hanging="360"/>
      </w:pPr>
      <w:rPr>
        <w:rFonts w:ascii="Arial" w:hAnsi="Arial" w:hint="default"/>
      </w:rPr>
    </w:lvl>
    <w:lvl w:ilvl="7" w:tplc="247607F8" w:tentative="1">
      <w:start w:val="1"/>
      <w:numFmt w:val="bullet"/>
      <w:lvlText w:val="›"/>
      <w:lvlJc w:val="left"/>
      <w:pPr>
        <w:tabs>
          <w:tab w:val="num" w:pos="5760"/>
        </w:tabs>
        <w:ind w:left="5760" w:hanging="360"/>
      </w:pPr>
      <w:rPr>
        <w:rFonts w:ascii="Arial" w:hAnsi="Arial" w:hint="default"/>
      </w:rPr>
    </w:lvl>
    <w:lvl w:ilvl="8" w:tplc="29CCF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4"/>
  </w:num>
  <w:num w:numId="15">
    <w:abstractNumId w:val="6"/>
  </w:num>
  <w:num w:numId="16">
    <w:abstractNumId w:val="8"/>
  </w:num>
  <w:num w:numId="17">
    <w:abstractNumId w:val="5"/>
  </w:num>
  <w:num w:numId="18">
    <w:abstractNumId w:val="12"/>
  </w:num>
  <w:num w:numId="19">
    <w:abstractNumId w:val="7"/>
  </w:num>
  <w:num w:numId="20">
    <w:abstractNumId w:val="13"/>
  </w:num>
  <w:num w:numId="21">
    <w:abstractNumId w:val="4"/>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0D8"/>
    <w:rsid w:val="00006446"/>
    <w:rsid w:val="00006896"/>
    <w:rsid w:val="00007CDC"/>
    <w:rsid w:val="00011B28"/>
    <w:rsid w:val="00015D15"/>
    <w:rsid w:val="000218F8"/>
    <w:rsid w:val="0002564D"/>
    <w:rsid w:val="00025ECA"/>
    <w:rsid w:val="00030B30"/>
    <w:rsid w:val="000324B9"/>
    <w:rsid w:val="000325B8"/>
    <w:rsid w:val="00034C15"/>
    <w:rsid w:val="00036BA1"/>
    <w:rsid w:val="00040A03"/>
    <w:rsid w:val="00042009"/>
    <w:rsid w:val="000422E2"/>
    <w:rsid w:val="00042F22"/>
    <w:rsid w:val="000444EF"/>
    <w:rsid w:val="00052A07"/>
    <w:rsid w:val="000534E3"/>
    <w:rsid w:val="0005606A"/>
    <w:rsid w:val="00057117"/>
    <w:rsid w:val="000616E7"/>
    <w:rsid w:val="0006487E"/>
    <w:rsid w:val="000648F7"/>
    <w:rsid w:val="00065E1A"/>
    <w:rsid w:val="00072C2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EB4"/>
    <w:rsid w:val="000B2719"/>
    <w:rsid w:val="000B3A8F"/>
    <w:rsid w:val="000B4AB9"/>
    <w:rsid w:val="000B58C3"/>
    <w:rsid w:val="000B61E9"/>
    <w:rsid w:val="000C165A"/>
    <w:rsid w:val="000C2E19"/>
    <w:rsid w:val="000C73B4"/>
    <w:rsid w:val="000D0D07"/>
    <w:rsid w:val="000D4797"/>
    <w:rsid w:val="000E0527"/>
    <w:rsid w:val="000E1E92"/>
    <w:rsid w:val="000F06D6"/>
    <w:rsid w:val="000F0EB1"/>
    <w:rsid w:val="000F1106"/>
    <w:rsid w:val="000F2B10"/>
    <w:rsid w:val="000F3307"/>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166"/>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8F9"/>
    <w:rsid w:val="001C1CE5"/>
    <w:rsid w:val="001C3D2A"/>
    <w:rsid w:val="001D51BA"/>
    <w:rsid w:val="001D6342"/>
    <w:rsid w:val="001D6D53"/>
    <w:rsid w:val="001E2560"/>
    <w:rsid w:val="001E58E2"/>
    <w:rsid w:val="001E6648"/>
    <w:rsid w:val="001E7AED"/>
    <w:rsid w:val="001F3916"/>
    <w:rsid w:val="001F54C5"/>
    <w:rsid w:val="001F662C"/>
    <w:rsid w:val="001F6E0E"/>
    <w:rsid w:val="001F7074"/>
    <w:rsid w:val="00200490"/>
    <w:rsid w:val="00201F3A"/>
    <w:rsid w:val="00203F96"/>
    <w:rsid w:val="00204997"/>
    <w:rsid w:val="002069B2"/>
    <w:rsid w:val="00207FA3"/>
    <w:rsid w:val="00214DA8"/>
    <w:rsid w:val="00215423"/>
    <w:rsid w:val="002158FA"/>
    <w:rsid w:val="00216761"/>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1567"/>
    <w:rsid w:val="00257543"/>
    <w:rsid w:val="002617E7"/>
    <w:rsid w:val="00264228"/>
    <w:rsid w:val="00264334"/>
    <w:rsid w:val="0026473E"/>
    <w:rsid w:val="00266214"/>
    <w:rsid w:val="00267C83"/>
    <w:rsid w:val="002703E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3D97"/>
    <w:rsid w:val="00324D23"/>
    <w:rsid w:val="00327997"/>
    <w:rsid w:val="00331751"/>
    <w:rsid w:val="00331B7B"/>
    <w:rsid w:val="00334579"/>
    <w:rsid w:val="00335858"/>
    <w:rsid w:val="00336BDA"/>
    <w:rsid w:val="00342BD7"/>
    <w:rsid w:val="00344BA6"/>
    <w:rsid w:val="00346DB5"/>
    <w:rsid w:val="003477B1"/>
    <w:rsid w:val="003524AA"/>
    <w:rsid w:val="00357380"/>
    <w:rsid w:val="003602D9"/>
    <w:rsid w:val="003604CE"/>
    <w:rsid w:val="00370E47"/>
    <w:rsid w:val="003742AC"/>
    <w:rsid w:val="00374ADB"/>
    <w:rsid w:val="00377731"/>
    <w:rsid w:val="00377CE1"/>
    <w:rsid w:val="00385BF0"/>
    <w:rsid w:val="003939FF"/>
    <w:rsid w:val="00397285"/>
    <w:rsid w:val="003A0E41"/>
    <w:rsid w:val="003A16A3"/>
    <w:rsid w:val="003A2223"/>
    <w:rsid w:val="003A2A0F"/>
    <w:rsid w:val="003A45A1"/>
    <w:rsid w:val="003A5B0A"/>
    <w:rsid w:val="003A6BAC"/>
    <w:rsid w:val="003A72DF"/>
    <w:rsid w:val="003A7EF3"/>
    <w:rsid w:val="003B159C"/>
    <w:rsid w:val="003B369F"/>
    <w:rsid w:val="003B36A3"/>
    <w:rsid w:val="003B7FE5"/>
    <w:rsid w:val="003C11C8"/>
    <w:rsid w:val="003C2702"/>
    <w:rsid w:val="003C7806"/>
    <w:rsid w:val="003D109F"/>
    <w:rsid w:val="003D2478"/>
    <w:rsid w:val="003D3C45"/>
    <w:rsid w:val="003D5B1F"/>
    <w:rsid w:val="003E15FA"/>
    <w:rsid w:val="003E2772"/>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89A"/>
    <w:rsid w:val="004325B2"/>
    <w:rsid w:val="00432C6D"/>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4F6E"/>
    <w:rsid w:val="00506557"/>
    <w:rsid w:val="0050677A"/>
    <w:rsid w:val="005108D8"/>
    <w:rsid w:val="005116F9"/>
    <w:rsid w:val="005153A7"/>
    <w:rsid w:val="005219CF"/>
    <w:rsid w:val="00534B59"/>
    <w:rsid w:val="00536759"/>
    <w:rsid w:val="00536872"/>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6D3"/>
    <w:rsid w:val="005B392A"/>
    <w:rsid w:val="005B3AA3"/>
    <w:rsid w:val="005B6F83"/>
    <w:rsid w:val="005C74FB"/>
    <w:rsid w:val="005D1602"/>
    <w:rsid w:val="005D772E"/>
    <w:rsid w:val="005E2837"/>
    <w:rsid w:val="005E385F"/>
    <w:rsid w:val="005E5B81"/>
    <w:rsid w:val="005F2CB1"/>
    <w:rsid w:val="005F3025"/>
    <w:rsid w:val="005F618C"/>
    <w:rsid w:val="005F70BD"/>
    <w:rsid w:val="0060283C"/>
    <w:rsid w:val="00604F14"/>
    <w:rsid w:val="00611B83"/>
    <w:rsid w:val="00613257"/>
    <w:rsid w:val="00615AE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1C"/>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6F7FEA"/>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5751B"/>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0998"/>
    <w:rsid w:val="007F75D5"/>
    <w:rsid w:val="00803FAE"/>
    <w:rsid w:val="0080605F"/>
    <w:rsid w:val="00807786"/>
    <w:rsid w:val="00811FCB"/>
    <w:rsid w:val="00814C01"/>
    <w:rsid w:val="008158D6"/>
    <w:rsid w:val="00817196"/>
    <w:rsid w:val="00817CD5"/>
    <w:rsid w:val="008235DB"/>
    <w:rsid w:val="00824AB4"/>
    <w:rsid w:val="00825C42"/>
    <w:rsid w:val="00825D25"/>
    <w:rsid w:val="00827D6F"/>
    <w:rsid w:val="008376AC"/>
    <w:rsid w:val="008444E8"/>
    <w:rsid w:val="00844E80"/>
    <w:rsid w:val="00846444"/>
    <w:rsid w:val="00846FE7"/>
    <w:rsid w:val="00856911"/>
    <w:rsid w:val="008677FD"/>
    <w:rsid w:val="00867853"/>
    <w:rsid w:val="008706D4"/>
    <w:rsid w:val="00870F8A"/>
    <w:rsid w:val="008719A4"/>
    <w:rsid w:val="00871D23"/>
    <w:rsid w:val="00874312"/>
    <w:rsid w:val="0087437C"/>
    <w:rsid w:val="00875CD7"/>
    <w:rsid w:val="00876B4D"/>
    <w:rsid w:val="00877F18"/>
    <w:rsid w:val="00886BFC"/>
    <w:rsid w:val="00894A88"/>
    <w:rsid w:val="00895386"/>
    <w:rsid w:val="008A21FF"/>
    <w:rsid w:val="008A2CE2"/>
    <w:rsid w:val="008A30AC"/>
    <w:rsid w:val="008A44B8"/>
    <w:rsid w:val="008A51A8"/>
    <w:rsid w:val="008A54C7"/>
    <w:rsid w:val="008A77D8"/>
    <w:rsid w:val="008B0483"/>
    <w:rsid w:val="008B120C"/>
    <w:rsid w:val="008B19E8"/>
    <w:rsid w:val="008B51A0"/>
    <w:rsid w:val="008B592A"/>
    <w:rsid w:val="008B7B5C"/>
    <w:rsid w:val="008C0C99"/>
    <w:rsid w:val="008C2017"/>
    <w:rsid w:val="008C2BA0"/>
    <w:rsid w:val="008C4958"/>
    <w:rsid w:val="008C4BAA"/>
    <w:rsid w:val="008C6AE8"/>
    <w:rsid w:val="008C7573"/>
    <w:rsid w:val="008D2B45"/>
    <w:rsid w:val="008D34F1"/>
    <w:rsid w:val="008D39D8"/>
    <w:rsid w:val="008D3EB0"/>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AE2"/>
    <w:rsid w:val="00A13E54"/>
    <w:rsid w:val="00A15745"/>
    <w:rsid w:val="00A17F63"/>
    <w:rsid w:val="00A2193B"/>
    <w:rsid w:val="00A2351A"/>
    <w:rsid w:val="00A264A9"/>
    <w:rsid w:val="00A27785"/>
    <w:rsid w:val="00A30187"/>
    <w:rsid w:val="00A3448A"/>
    <w:rsid w:val="00A36297"/>
    <w:rsid w:val="00A41E2B"/>
    <w:rsid w:val="00A44A17"/>
    <w:rsid w:val="00A45B74"/>
    <w:rsid w:val="00A52E1D"/>
    <w:rsid w:val="00A553EC"/>
    <w:rsid w:val="00A61499"/>
    <w:rsid w:val="00A62A77"/>
    <w:rsid w:val="00A63483"/>
    <w:rsid w:val="00A657D7"/>
    <w:rsid w:val="00A660AC"/>
    <w:rsid w:val="00A67E6C"/>
    <w:rsid w:val="00A70F0A"/>
    <w:rsid w:val="00A71B99"/>
    <w:rsid w:val="00A739D0"/>
    <w:rsid w:val="00A761D4"/>
    <w:rsid w:val="00A77EC4"/>
    <w:rsid w:val="00A85C6C"/>
    <w:rsid w:val="00A85EF6"/>
    <w:rsid w:val="00A8667E"/>
    <w:rsid w:val="00A903D9"/>
    <w:rsid w:val="00A92879"/>
    <w:rsid w:val="00A9442A"/>
    <w:rsid w:val="00AA016F"/>
    <w:rsid w:val="00AA1ED6"/>
    <w:rsid w:val="00AA51D6"/>
    <w:rsid w:val="00AA53B2"/>
    <w:rsid w:val="00AA7707"/>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433B"/>
    <w:rsid w:val="00B006FE"/>
    <w:rsid w:val="00B007CB"/>
    <w:rsid w:val="00B02AA9"/>
    <w:rsid w:val="00B02FA3"/>
    <w:rsid w:val="00B03374"/>
    <w:rsid w:val="00B05084"/>
    <w:rsid w:val="00B157F9"/>
    <w:rsid w:val="00B20256"/>
    <w:rsid w:val="00B20D09"/>
    <w:rsid w:val="00B20D17"/>
    <w:rsid w:val="00B2763F"/>
    <w:rsid w:val="00B27AAC"/>
    <w:rsid w:val="00B30929"/>
    <w:rsid w:val="00B372AA"/>
    <w:rsid w:val="00B40445"/>
    <w:rsid w:val="00B41888"/>
    <w:rsid w:val="00B45A52"/>
    <w:rsid w:val="00B46175"/>
    <w:rsid w:val="00B664C7"/>
    <w:rsid w:val="00B739F6"/>
    <w:rsid w:val="00B75103"/>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0141"/>
    <w:rsid w:val="00C015F1"/>
    <w:rsid w:val="00C01F33"/>
    <w:rsid w:val="00C02A4C"/>
    <w:rsid w:val="00C02CC6"/>
    <w:rsid w:val="00C040F7"/>
    <w:rsid w:val="00C044AB"/>
    <w:rsid w:val="00C05706"/>
    <w:rsid w:val="00C066C4"/>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41CF"/>
    <w:rsid w:val="00C9027A"/>
    <w:rsid w:val="00C9068E"/>
    <w:rsid w:val="00C93C4B"/>
    <w:rsid w:val="00C944AB"/>
    <w:rsid w:val="00C95B40"/>
    <w:rsid w:val="00CA1068"/>
    <w:rsid w:val="00CA1ED8"/>
    <w:rsid w:val="00CA2417"/>
    <w:rsid w:val="00CA50B6"/>
    <w:rsid w:val="00CB1F63"/>
    <w:rsid w:val="00CB7170"/>
    <w:rsid w:val="00CC040E"/>
    <w:rsid w:val="00CC111F"/>
    <w:rsid w:val="00CC2011"/>
    <w:rsid w:val="00CC3EA0"/>
    <w:rsid w:val="00CC7B45"/>
    <w:rsid w:val="00CD1188"/>
    <w:rsid w:val="00CD2ED1"/>
    <w:rsid w:val="00CD337B"/>
    <w:rsid w:val="00CD3F00"/>
    <w:rsid w:val="00CE0424"/>
    <w:rsid w:val="00CE7561"/>
    <w:rsid w:val="00CF1354"/>
    <w:rsid w:val="00CF3B1F"/>
    <w:rsid w:val="00CF3BF6"/>
    <w:rsid w:val="00CF625B"/>
    <w:rsid w:val="00CF687E"/>
    <w:rsid w:val="00D0349B"/>
    <w:rsid w:val="00D10249"/>
    <w:rsid w:val="00D115C3"/>
    <w:rsid w:val="00D11897"/>
    <w:rsid w:val="00D13135"/>
    <w:rsid w:val="00D13CA9"/>
    <w:rsid w:val="00D13E4E"/>
    <w:rsid w:val="00D149AC"/>
    <w:rsid w:val="00D171E2"/>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6DE"/>
    <w:rsid w:val="00D772A9"/>
    <w:rsid w:val="00D77B1D"/>
    <w:rsid w:val="00D8021F"/>
    <w:rsid w:val="00D80383"/>
    <w:rsid w:val="00D80F2D"/>
    <w:rsid w:val="00D823C6"/>
    <w:rsid w:val="00D86CA3"/>
    <w:rsid w:val="00D871CE"/>
    <w:rsid w:val="00D9196D"/>
    <w:rsid w:val="00D92982"/>
    <w:rsid w:val="00DA305E"/>
    <w:rsid w:val="00DA5417"/>
    <w:rsid w:val="00DA56E8"/>
    <w:rsid w:val="00DB0A9F"/>
    <w:rsid w:val="00DB377D"/>
    <w:rsid w:val="00DC2D36"/>
    <w:rsid w:val="00DC53EF"/>
    <w:rsid w:val="00DD6A95"/>
    <w:rsid w:val="00DE5608"/>
    <w:rsid w:val="00DE58D0"/>
    <w:rsid w:val="00DE654F"/>
    <w:rsid w:val="00DF0B6E"/>
    <w:rsid w:val="00DF15E0"/>
    <w:rsid w:val="00DF37A0"/>
    <w:rsid w:val="00E110E7"/>
    <w:rsid w:val="00E11B20"/>
    <w:rsid w:val="00E16476"/>
    <w:rsid w:val="00E17FA2"/>
    <w:rsid w:val="00E20E82"/>
    <w:rsid w:val="00E22330"/>
    <w:rsid w:val="00E266CA"/>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1D9"/>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110D"/>
    <w:rsid w:val="00F0528D"/>
    <w:rsid w:val="00F06C67"/>
    <w:rsid w:val="00F06DFD"/>
    <w:rsid w:val="00F071D1"/>
    <w:rsid w:val="00F07533"/>
    <w:rsid w:val="00F10629"/>
    <w:rsid w:val="00F15FA5"/>
    <w:rsid w:val="00F209B7"/>
    <w:rsid w:val="00F2376F"/>
    <w:rsid w:val="00F243D8"/>
    <w:rsid w:val="00F30828"/>
    <w:rsid w:val="00F313D6"/>
    <w:rsid w:val="00F33F60"/>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321"/>
    <w:rsid w:val="00FC7429"/>
    <w:rsid w:val="00FD07F6"/>
    <w:rsid w:val="00FD1EC8"/>
    <w:rsid w:val="00FD47ED"/>
    <w:rsid w:val="00FD74DB"/>
    <w:rsid w:val="00FD7660"/>
    <w:rsid w:val="00FE0655"/>
    <w:rsid w:val="00FE2365"/>
    <w:rsid w:val="00FE37D7"/>
    <w:rsid w:val="00FE4B8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8BBE4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0E8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20E8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20E8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20E82"/>
    <w:pPr>
      <w:numPr>
        <w:ilvl w:val="2"/>
      </w:numPr>
      <w:spacing w:before="120"/>
      <w:outlineLvl w:val="2"/>
    </w:pPr>
    <w:rPr>
      <w:sz w:val="24"/>
      <w:szCs w:val="28"/>
    </w:rPr>
  </w:style>
  <w:style w:type="paragraph" w:styleId="Heading4">
    <w:name w:val="heading 4"/>
    <w:basedOn w:val="Heading3"/>
    <w:next w:val="Normal"/>
    <w:qFormat/>
    <w:rsid w:val="00E20E82"/>
    <w:pPr>
      <w:numPr>
        <w:ilvl w:val="3"/>
      </w:numPr>
      <w:outlineLvl w:val="3"/>
    </w:pPr>
    <w:rPr>
      <w:szCs w:val="24"/>
    </w:rPr>
  </w:style>
  <w:style w:type="paragraph" w:styleId="Heading5">
    <w:name w:val="heading 5"/>
    <w:basedOn w:val="Heading4"/>
    <w:next w:val="Normal"/>
    <w:qFormat/>
    <w:rsid w:val="00E20E82"/>
    <w:pPr>
      <w:numPr>
        <w:ilvl w:val="4"/>
      </w:numPr>
      <w:outlineLvl w:val="4"/>
    </w:pPr>
    <w:rPr>
      <w:sz w:val="22"/>
      <w:szCs w:val="22"/>
    </w:rPr>
  </w:style>
  <w:style w:type="paragraph" w:styleId="Heading6">
    <w:name w:val="heading 6"/>
    <w:basedOn w:val="Normal"/>
    <w:next w:val="Normal"/>
    <w:qFormat/>
    <w:rsid w:val="00E20E82"/>
    <w:pPr>
      <w:keepNext/>
      <w:keepLines/>
      <w:numPr>
        <w:ilvl w:val="5"/>
        <w:numId w:val="1"/>
      </w:numPr>
      <w:spacing w:before="120"/>
      <w:outlineLvl w:val="5"/>
    </w:pPr>
    <w:rPr>
      <w:rFonts w:cs="Arial"/>
    </w:rPr>
  </w:style>
  <w:style w:type="paragraph" w:styleId="Heading7">
    <w:name w:val="heading 7"/>
    <w:basedOn w:val="Normal"/>
    <w:next w:val="Normal"/>
    <w:qFormat/>
    <w:rsid w:val="00E20E82"/>
    <w:pPr>
      <w:keepNext/>
      <w:keepLines/>
      <w:numPr>
        <w:ilvl w:val="6"/>
        <w:numId w:val="1"/>
      </w:numPr>
      <w:spacing w:before="120"/>
      <w:outlineLvl w:val="6"/>
    </w:pPr>
    <w:rPr>
      <w:rFonts w:cs="Arial"/>
    </w:rPr>
  </w:style>
  <w:style w:type="paragraph" w:styleId="Heading8">
    <w:name w:val="heading 8"/>
    <w:basedOn w:val="Heading7"/>
    <w:next w:val="Normal"/>
    <w:qFormat/>
    <w:rsid w:val="00E20E82"/>
    <w:pPr>
      <w:numPr>
        <w:ilvl w:val="7"/>
      </w:numPr>
      <w:outlineLvl w:val="7"/>
    </w:pPr>
  </w:style>
  <w:style w:type="paragraph" w:styleId="Heading9">
    <w:name w:val="heading 9"/>
    <w:basedOn w:val="Heading8"/>
    <w:next w:val="Normal"/>
    <w:qFormat/>
    <w:rsid w:val="00E20E82"/>
    <w:pPr>
      <w:numPr>
        <w:ilvl w:val="8"/>
      </w:numPr>
      <w:outlineLvl w:val="8"/>
    </w:pPr>
  </w:style>
  <w:style w:type="character" w:default="1" w:styleId="DefaultParagraphFont">
    <w:name w:val="Default Paragraph Font"/>
    <w:uiPriority w:val="1"/>
    <w:semiHidden/>
    <w:unhideWhenUsed/>
    <w:rsid w:val="00E20E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E82"/>
  </w:style>
  <w:style w:type="paragraph" w:styleId="TOC8">
    <w:name w:val="toc 8"/>
    <w:basedOn w:val="TOC1"/>
    <w:semiHidden/>
    <w:rsid w:val="00E20E82"/>
    <w:pPr>
      <w:spacing w:before="180"/>
      <w:ind w:left="2693" w:hanging="2693"/>
    </w:pPr>
    <w:rPr>
      <w:b w:val="0"/>
      <w:bCs/>
    </w:rPr>
  </w:style>
  <w:style w:type="paragraph" w:styleId="TOC1">
    <w:name w:val="toc 1"/>
    <w:aliases w:val="Observation TOC2"/>
    <w:uiPriority w:val="39"/>
    <w:rsid w:val="00E20E8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20E82"/>
    <w:pPr>
      <w:keepNext/>
      <w:keepLines/>
      <w:spacing w:before="180"/>
      <w:jc w:val="center"/>
    </w:pPr>
  </w:style>
  <w:style w:type="paragraph" w:styleId="Caption">
    <w:name w:val="caption"/>
    <w:basedOn w:val="Normal"/>
    <w:next w:val="Normal"/>
    <w:qFormat/>
    <w:rsid w:val="00E20E82"/>
    <w:pPr>
      <w:spacing w:after="240"/>
      <w:jc w:val="center"/>
    </w:pPr>
    <w:rPr>
      <w:b/>
      <w:bCs/>
    </w:rPr>
  </w:style>
  <w:style w:type="paragraph" w:styleId="TOC5">
    <w:name w:val="toc 5"/>
    <w:aliases w:val="Observation TOC"/>
    <w:basedOn w:val="TOC4"/>
    <w:semiHidden/>
    <w:rsid w:val="00E20E82"/>
    <w:pPr>
      <w:tabs>
        <w:tab w:val="right" w:pos="1701"/>
      </w:tabs>
      <w:ind w:left="1701" w:hanging="1701"/>
    </w:pPr>
  </w:style>
  <w:style w:type="paragraph" w:styleId="TOC4">
    <w:name w:val="toc 4"/>
    <w:basedOn w:val="TOC3"/>
    <w:semiHidden/>
    <w:rsid w:val="00E20E82"/>
    <w:pPr>
      <w:ind w:left="1418" w:hanging="1418"/>
    </w:pPr>
  </w:style>
  <w:style w:type="paragraph" w:styleId="TOC3">
    <w:name w:val="toc 3"/>
    <w:basedOn w:val="TOC2"/>
    <w:semiHidden/>
    <w:rsid w:val="00E20E82"/>
    <w:pPr>
      <w:ind w:left="1134" w:hanging="1134"/>
    </w:pPr>
  </w:style>
  <w:style w:type="paragraph" w:styleId="TOC2">
    <w:name w:val="toc 2"/>
    <w:basedOn w:val="TOC1"/>
    <w:semiHidden/>
    <w:rsid w:val="00E20E82"/>
    <w:pPr>
      <w:keepNext w:val="0"/>
      <w:spacing w:before="0"/>
      <w:ind w:left="851" w:hanging="851"/>
    </w:pPr>
    <w:rPr>
      <w:szCs w:val="20"/>
    </w:rPr>
  </w:style>
  <w:style w:type="paragraph" w:styleId="Index2">
    <w:name w:val="index 2"/>
    <w:basedOn w:val="Index1"/>
    <w:semiHidden/>
    <w:rsid w:val="00E20E82"/>
    <w:pPr>
      <w:ind w:left="284"/>
    </w:pPr>
  </w:style>
  <w:style w:type="paragraph" w:styleId="Index1">
    <w:name w:val="index 1"/>
    <w:basedOn w:val="Normal"/>
    <w:semiHidden/>
    <w:rsid w:val="00E20E82"/>
    <w:pPr>
      <w:keepLines/>
      <w:spacing w:after="0"/>
    </w:pPr>
  </w:style>
  <w:style w:type="paragraph" w:styleId="DocumentMap">
    <w:name w:val="Document Map"/>
    <w:basedOn w:val="Normal"/>
    <w:semiHidden/>
    <w:rsid w:val="00E20E82"/>
    <w:pPr>
      <w:shd w:val="clear" w:color="auto" w:fill="000080"/>
    </w:pPr>
    <w:rPr>
      <w:rFonts w:ascii="Tahoma" w:hAnsi="Tahoma" w:cs="Tahoma"/>
    </w:rPr>
  </w:style>
  <w:style w:type="paragraph" w:styleId="ListNumber2">
    <w:name w:val="List Number 2"/>
    <w:basedOn w:val="ListNumber"/>
    <w:rsid w:val="00E20E82"/>
    <w:pPr>
      <w:ind w:left="851"/>
    </w:pPr>
  </w:style>
  <w:style w:type="paragraph" w:styleId="ListNumber">
    <w:name w:val="List Number"/>
    <w:basedOn w:val="List"/>
    <w:rsid w:val="00E20E82"/>
  </w:style>
  <w:style w:type="paragraph" w:styleId="List">
    <w:name w:val="List"/>
    <w:basedOn w:val="Normal"/>
    <w:rsid w:val="00E20E82"/>
    <w:pPr>
      <w:ind w:left="568" w:hanging="284"/>
    </w:pPr>
  </w:style>
  <w:style w:type="paragraph" w:styleId="Header">
    <w:name w:val="header"/>
    <w:rsid w:val="00E20E8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20E82"/>
    <w:rPr>
      <w:b/>
      <w:bCs/>
      <w:position w:val="6"/>
      <w:sz w:val="16"/>
      <w:szCs w:val="16"/>
    </w:rPr>
  </w:style>
  <w:style w:type="paragraph" w:styleId="FootnoteText">
    <w:name w:val="footnote text"/>
    <w:basedOn w:val="Normal"/>
    <w:semiHidden/>
    <w:rsid w:val="00E20E82"/>
    <w:pPr>
      <w:keepLines/>
      <w:spacing w:after="0"/>
      <w:ind w:left="454" w:hanging="454"/>
    </w:pPr>
    <w:rPr>
      <w:sz w:val="16"/>
      <w:szCs w:val="16"/>
    </w:rPr>
  </w:style>
  <w:style w:type="paragraph" w:customStyle="1" w:styleId="3GPPHeader">
    <w:name w:val="3GPP_Header"/>
    <w:basedOn w:val="Normal"/>
    <w:qFormat/>
    <w:rsid w:val="00E20E82"/>
    <w:pPr>
      <w:tabs>
        <w:tab w:val="left" w:pos="1800"/>
        <w:tab w:val="right" w:pos="9360"/>
      </w:tabs>
      <w:spacing w:after="0"/>
    </w:pPr>
    <w:rPr>
      <w:rFonts w:ascii="Arial" w:hAnsi="Arial"/>
      <w:b/>
    </w:rPr>
  </w:style>
  <w:style w:type="paragraph" w:styleId="TOC9">
    <w:name w:val="toc 9"/>
    <w:basedOn w:val="TOC8"/>
    <w:semiHidden/>
    <w:rsid w:val="00E20E82"/>
    <w:pPr>
      <w:ind w:left="1418" w:hanging="1418"/>
    </w:pPr>
  </w:style>
  <w:style w:type="paragraph" w:styleId="TOC6">
    <w:name w:val="toc 6"/>
    <w:basedOn w:val="TOC5"/>
    <w:next w:val="Normal"/>
    <w:semiHidden/>
    <w:rsid w:val="00E20E82"/>
    <w:pPr>
      <w:ind w:left="1985" w:hanging="1985"/>
    </w:pPr>
  </w:style>
  <w:style w:type="paragraph" w:styleId="TOC7">
    <w:name w:val="toc 7"/>
    <w:basedOn w:val="TOC6"/>
    <w:next w:val="Normal"/>
    <w:semiHidden/>
    <w:rsid w:val="00E20E82"/>
    <w:pPr>
      <w:ind w:left="2268" w:hanging="2268"/>
    </w:pPr>
  </w:style>
  <w:style w:type="paragraph" w:styleId="ListBullet2">
    <w:name w:val="List Bullet 2"/>
    <w:basedOn w:val="ListBullet"/>
    <w:rsid w:val="00E20E82"/>
    <w:pPr>
      <w:numPr>
        <w:numId w:val="6"/>
      </w:numPr>
    </w:pPr>
  </w:style>
  <w:style w:type="paragraph" w:styleId="ListBullet">
    <w:name w:val="List Bullet"/>
    <w:basedOn w:val="BodyText"/>
    <w:rsid w:val="00E20E82"/>
    <w:pPr>
      <w:numPr>
        <w:numId w:val="5"/>
      </w:numPr>
    </w:pPr>
  </w:style>
  <w:style w:type="paragraph" w:styleId="ListBullet3">
    <w:name w:val="List Bullet 3"/>
    <w:basedOn w:val="ListBullet2"/>
    <w:rsid w:val="00E20E82"/>
    <w:pPr>
      <w:numPr>
        <w:numId w:val="7"/>
      </w:numPr>
    </w:pPr>
  </w:style>
  <w:style w:type="paragraph" w:customStyle="1" w:styleId="EQ">
    <w:name w:val="EQ"/>
    <w:basedOn w:val="Normal"/>
    <w:next w:val="Normal"/>
    <w:rsid w:val="00E20E82"/>
    <w:pPr>
      <w:keepLines/>
      <w:tabs>
        <w:tab w:val="center" w:pos="4536"/>
        <w:tab w:val="right" w:pos="9072"/>
      </w:tabs>
      <w:spacing w:after="180"/>
      <w:jc w:val="left"/>
    </w:pPr>
    <w:rPr>
      <w:noProof/>
      <w:lang w:eastAsia="en-US"/>
    </w:rPr>
  </w:style>
  <w:style w:type="paragraph" w:styleId="List2">
    <w:name w:val="List 2"/>
    <w:basedOn w:val="List"/>
    <w:rsid w:val="00E20E82"/>
    <w:pPr>
      <w:ind w:left="851"/>
    </w:pPr>
  </w:style>
  <w:style w:type="paragraph" w:styleId="List3">
    <w:name w:val="List 3"/>
    <w:basedOn w:val="List2"/>
    <w:rsid w:val="00E20E82"/>
    <w:pPr>
      <w:ind w:left="1135"/>
    </w:pPr>
  </w:style>
  <w:style w:type="paragraph" w:styleId="List4">
    <w:name w:val="List 4"/>
    <w:basedOn w:val="List3"/>
    <w:rsid w:val="00E20E82"/>
    <w:pPr>
      <w:ind w:left="1418"/>
    </w:pPr>
  </w:style>
  <w:style w:type="paragraph" w:styleId="List5">
    <w:name w:val="List 5"/>
    <w:basedOn w:val="List4"/>
    <w:rsid w:val="00E20E82"/>
    <w:pPr>
      <w:ind w:left="1702"/>
    </w:pPr>
  </w:style>
  <w:style w:type="paragraph" w:customStyle="1" w:styleId="EditorsNote">
    <w:name w:val="Editor's Note"/>
    <w:basedOn w:val="Normal"/>
    <w:rsid w:val="00E20E82"/>
    <w:pPr>
      <w:keepLines/>
      <w:spacing w:after="180"/>
      <w:ind w:left="1135" w:hanging="851"/>
      <w:jc w:val="left"/>
    </w:pPr>
    <w:rPr>
      <w:color w:val="FF0000"/>
      <w:lang w:eastAsia="en-US"/>
    </w:rPr>
  </w:style>
  <w:style w:type="paragraph" w:styleId="ListBullet4">
    <w:name w:val="List Bullet 4"/>
    <w:basedOn w:val="ListBullet3"/>
    <w:rsid w:val="00E20E82"/>
    <w:pPr>
      <w:numPr>
        <w:numId w:val="8"/>
      </w:numPr>
    </w:pPr>
  </w:style>
  <w:style w:type="paragraph" w:styleId="ListBullet5">
    <w:name w:val="List Bullet 5"/>
    <w:basedOn w:val="ListBullet4"/>
    <w:rsid w:val="00E20E82"/>
    <w:pPr>
      <w:numPr>
        <w:numId w:val="4"/>
      </w:numPr>
    </w:pPr>
  </w:style>
  <w:style w:type="paragraph" w:styleId="Footer">
    <w:name w:val="footer"/>
    <w:basedOn w:val="Header"/>
    <w:semiHidden/>
    <w:rsid w:val="00E20E82"/>
    <w:pPr>
      <w:jc w:val="center"/>
    </w:pPr>
    <w:rPr>
      <w:i/>
      <w:iCs/>
    </w:rPr>
  </w:style>
  <w:style w:type="paragraph" w:customStyle="1" w:styleId="Reference">
    <w:name w:val="Reference"/>
    <w:basedOn w:val="Normal"/>
    <w:qFormat/>
    <w:rsid w:val="00E20E82"/>
    <w:pPr>
      <w:numPr>
        <w:numId w:val="2"/>
      </w:numPr>
    </w:pPr>
  </w:style>
  <w:style w:type="paragraph" w:styleId="BalloonText">
    <w:name w:val="Balloon Text"/>
    <w:basedOn w:val="Normal"/>
    <w:semiHidden/>
    <w:rsid w:val="00E20E82"/>
    <w:rPr>
      <w:rFonts w:ascii="Tahoma" w:hAnsi="Tahoma" w:cs="Tahoma"/>
      <w:sz w:val="16"/>
      <w:szCs w:val="16"/>
    </w:rPr>
  </w:style>
  <w:style w:type="character" w:styleId="PageNumber">
    <w:name w:val="page number"/>
    <w:basedOn w:val="DefaultParagraphFont"/>
    <w:semiHidden/>
    <w:rsid w:val="00E20E82"/>
  </w:style>
  <w:style w:type="paragraph" w:styleId="BodyText">
    <w:name w:val="Body Text"/>
    <w:basedOn w:val="Normal"/>
    <w:link w:val="BodyTextChar"/>
    <w:qFormat/>
    <w:rsid w:val="00E20E82"/>
  </w:style>
  <w:style w:type="character" w:styleId="Hyperlink">
    <w:name w:val="Hyperlink"/>
    <w:uiPriority w:val="99"/>
    <w:rsid w:val="00E20E82"/>
    <w:rPr>
      <w:color w:val="0000FF"/>
      <w:u w:val="single"/>
      <w:lang w:val="en-GB"/>
    </w:rPr>
  </w:style>
  <w:style w:type="character" w:styleId="FollowedHyperlink">
    <w:name w:val="FollowedHyperlink"/>
    <w:semiHidden/>
    <w:rsid w:val="00E20E82"/>
    <w:rPr>
      <w:color w:val="FF0000"/>
      <w:u w:val="single"/>
    </w:rPr>
  </w:style>
  <w:style w:type="character" w:styleId="CommentReference">
    <w:name w:val="annotation reference"/>
    <w:semiHidden/>
    <w:rsid w:val="00E20E82"/>
    <w:rPr>
      <w:sz w:val="16"/>
      <w:szCs w:val="16"/>
    </w:rPr>
  </w:style>
  <w:style w:type="paragraph" w:styleId="CommentText">
    <w:name w:val="annotation text"/>
    <w:basedOn w:val="Normal"/>
    <w:semiHidden/>
    <w:rsid w:val="00E20E82"/>
  </w:style>
  <w:style w:type="paragraph" w:styleId="CommentSubject">
    <w:name w:val="annotation subject"/>
    <w:basedOn w:val="CommentText"/>
    <w:next w:val="CommentText"/>
    <w:semiHidden/>
    <w:rsid w:val="00E20E82"/>
    <w:rPr>
      <w:b/>
      <w:bCs/>
    </w:rPr>
  </w:style>
  <w:style w:type="character" w:customStyle="1" w:styleId="Heading1Char">
    <w:name w:val="Heading 1 Char"/>
    <w:link w:val="Heading1"/>
    <w:rsid w:val="00E20E82"/>
    <w:rPr>
      <w:rFonts w:ascii="Arial" w:hAnsi="Arial" w:cs="Arial"/>
      <w:sz w:val="32"/>
      <w:szCs w:val="36"/>
      <w:lang w:val="en-GB" w:eastAsia="zh-CN"/>
    </w:rPr>
  </w:style>
  <w:style w:type="paragraph" w:customStyle="1" w:styleId="B1">
    <w:name w:val="B1"/>
    <w:basedOn w:val="List"/>
    <w:rsid w:val="00E20E82"/>
    <w:pPr>
      <w:spacing w:after="180"/>
      <w:jc w:val="left"/>
    </w:pPr>
    <w:rPr>
      <w:lang w:eastAsia="en-US"/>
    </w:rPr>
  </w:style>
  <w:style w:type="paragraph" w:customStyle="1" w:styleId="B2">
    <w:name w:val="B2"/>
    <w:basedOn w:val="List2"/>
    <w:rsid w:val="00E20E82"/>
    <w:pPr>
      <w:spacing w:after="180"/>
      <w:jc w:val="left"/>
    </w:pPr>
    <w:rPr>
      <w:lang w:eastAsia="en-US"/>
    </w:rPr>
  </w:style>
  <w:style w:type="paragraph" w:customStyle="1" w:styleId="B3">
    <w:name w:val="B3"/>
    <w:basedOn w:val="List3"/>
    <w:rsid w:val="00E20E82"/>
    <w:pPr>
      <w:spacing w:after="180"/>
      <w:jc w:val="left"/>
    </w:pPr>
    <w:rPr>
      <w:lang w:eastAsia="en-US"/>
    </w:rPr>
  </w:style>
  <w:style w:type="paragraph" w:customStyle="1" w:styleId="B4">
    <w:name w:val="B4"/>
    <w:basedOn w:val="List4"/>
    <w:rsid w:val="00E20E82"/>
    <w:pPr>
      <w:spacing w:after="180"/>
      <w:jc w:val="left"/>
    </w:pPr>
    <w:rPr>
      <w:lang w:eastAsia="en-US"/>
    </w:rPr>
  </w:style>
  <w:style w:type="paragraph" w:customStyle="1" w:styleId="Proposal">
    <w:name w:val="Proposal"/>
    <w:basedOn w:val="Normal"/>
    <w:qFormat/>
    <w:rsid w:val="00E20E82"/>
    <w:pPr>
      <w:numPr>
        <w:numId w:val="3"/>
      </w:numPr>
      <w:tabs>
        <w:tab w:val="clear" w:pos="1304"/>
        <w:tab w:val="left" w:pos="1701"/>
      </w:tabs>
      <w:ind w:left="1701" w:hanging="1701"/>
    </w:pPr>
    <w:rPr>
      <w:b/>
      <w:bCs/>
    </w:rPr>
  </w:style>
  <w:style w:type="character" w:customStyle="1" w:styleId="BodyTextChar">
    <w:name w:val="Body Text Char"/>
    <w:link w:val="BodyText"/>
    <w:rsid w:val="00E20E82"/>
    <w:rPr>
      <w:rFonts w:ascii="Times New Roman" w:hAnsi="Times New Roman"/>
      <w:lang w:val="en-GB" w:eastAsia="zh-CN"/>
    </w:rPr>
  </w:style>
  <w:style w:type="paragraph" w:customStyle="1" w:styleId="B5">
    <w:name w:val="B5"/>
    <w:basedOn w:val="List5"/>
    <w:rsid w:val="00E20E82"/>
    <w:pPr>
      <w:spacing w:after="180"/>
      <w:jc w:val="left"/>
    </w:pPr>
    <w:rPr>
      <w:lang w:eastAsia="en-US"/>
    </w:rPr>
  </w:style>
  <w:style w:type="paragraph" w:customStyle="1" w:styleId="EX">
    <w:name w:val="EX"/>
    <w:basedOn w:val="Normal"/>
    <w:rsid w:val="00E20E82"/>
    <w:pPr>
      <w:keepLines/>
      <w:spacing w:after="180"/>
      <w:ind w:left="1702" w:hanging="1418"/>
      <w:jc w:val="left"/>
    </w:pPr>
    <w:rPr>
      <w:lang w:eastAsia="en-US"/>
    </w:rPr>
  </w:style>
  <w:style w:type="paragraph" w:customStyle="1" w:styleId="EW">
    <w:name w:val="EW"/>
    <w:basedOn w:val="EX"/>
    <w:rsid w:val="00E20E82"/>
    <w:pPr>
      <w:spacing w:after="0"/>
    </w:pPr>
  </w:style>
  <w:style w:type="paragraph" w:customStyle="1" w:styleId="TAL">
    <w:name w:val="TAL"/>
    <w:basedOn w:val="Normal"/>
    <w:rsid w:val="00E20E82"/>
    <w:pPr>
      <w:keepNext/>
      <w:keepLines/>
      <w:spacing w:after="0"/>
      <w:jc w:val="left"/>
    </w:pPr>
    <w:rPr>
      <w:sz w:val="18"/>
      <w:lang w:eastAsia="en-US"/>
    </w:rPr>
  </w:style>
  <w:style w:type="paragraph" w:customStyle="1" w:styleId="TAC">
    <w:name w:val="TAC"/>
    <w:basedOn w:val="TAL"/>
    <w:rsid w:val="00E20E82"/>
    <w:pPr>
      <w:jc w:val="center"/>
    </w:pPr>
  </w:style>
  <w:style w:type="paragraph" w:customStyle="1" w:styleId="TAH">
    <w:name w:val="TAH"/>
    <w:basedOn w:val="TAC"/>
    <w:rsid w:val="00E20E82"/>
    <w:rPr>
      <w:b/>
    </w:rPr>
  </w:style>
  <w:style w:type="paragraph" w:customStyle="1" w:styleId="TAN">
    <w:name w:val="TAN"/>
    <w:basedOn w:val="TAL"/>
    <w:rsid w:val="00E20E82"/>
    <w:pPr>
      <w:ind w:left="851" w:hanging="851"/>
    </w:pPr>
  </w:style>
  <w:style w:type="paragraph" w:customStyle="1" w:styleId="TAR">
    <w:name w:val="TAR"/>
    <w:basedOn w:val="TAL"/>
    <w:rsid w:val="00E20E82"/>
    <w:pPr>
      <w:jc w:val="right"/>
    </w:pPr>
  </w:style>
  <w:style w:type="paragraph" w:customStyle="1" w:styleId="TH">
    <w:name w:val="TH"/>
    <w:basedOn w:val="Normal"/>
    <w:rsid w:val="00E20E82"/>
    <w:pPr>
      <w:keepNext/>
      <w:keepLines/>
      <w:spacing w:before="60" w:after="180"/>
      <w:jc w:val="center"/>
    </w:pPr>
    <w:rPr>
      <w:b/>
      <w:lang w:eastAsia="en-US"/>
    </w:rPr>
  </w:style>
  <w:style w:type="paragraph" w:customStyle="1" w:styleId="TF">
    <w:name w:val="TF"/>
    <w:basedOn w:val="TH"/>
    <w:rsid w:val="00E20E82"/>
    <w:pPr>
      <w:keepNext w:val="0"/>
      <w:spacing w:before="0" w:after="240"/>
    </w:pPr>
  </w:style>
  <w:style w:type="paragraph" w:customStyle="1" w:styleId="TT">
    <w:name w:val="TT"/>
    <w:basedOn w:val="Heading1"/>
    <w:next w:val="Normal"/>
    <w:rsid w:val="00E20E82"/>
    <w:pPr>
      <w:numPr>
        <w:numId w:val="0"/>
      </w:numPr>
      <w:ind w:left="1134" w:hanging="1134"/>
      <w:outlineLvl w:val="9"/>
    </w:pPr>
    <w:rPr>
      <w:rFonts w:cs="Times New Roman"/>
      <w:szCs w:val="20"/>
      <w:lang w:eastAsia="en-US"/>
    </w:rPr>
  </w:style>
  <w:style w:type="paragraph" w:customStyle="1" w:styleId="ZA">
    <w:name w:val="ZA"/>
    <w:rsid w:val="00E20E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0E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0E8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20E8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20E82"/>
  </w:style>
  <w:style w:type="paragraph" w:customStyle="1" w:styleId="ZH">
    <w:name w:val="ZH"/>
    <w:rsid w:val="00E20E8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20E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20E82"/>
    <w:pPr>
      <w:framePr w:hRule="auto" w:wrap="notBeside" w:y="852"/>
    </w:pPr>
    <w:rPr>
      <w:i w:val="0"/>
      <w:sz w:val="40"/>
    </w:rPr>
  </w:style>
  <w:style w:type="paragraph" w:customStyle="1" w:styleId="ZU">
    <w:name w:val="ZU"/>
    <w:rsid w:val="00E20E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0E82"/>
    <w:pPr>
      <w:framePr w:wrap="notBeside" w:y="16161"/>
    </w:pPr>
  </w:style>
  <w:style w:type="paragraph" w:customStyle="1" w:styleId="FP">
    <w:name w:val="FP"/>
    <w:basedOn w:val="Normal"/>
    <w:rsid w:val="00E20E82"/>
    <w:pPr>
      <w:spacing w:after="0"/>
      <w:jc w:val="left"/>
    </w:pPr>
    <w:rPr>
      <w:lang w:eastAsia="en-US"/>
    </w:rPr>
  </w:style>
  <w:style w:type="paragraph" w:customStyle="1" w:styleId="Observation">
    <w:name w:val="Observation"/>
    <w:basedOn w:val="Proposal"/>
    <w:qFormat/>
    <w:rsid w:val="00E20E82"/>
    <w:pPr>
      <w:numPr>
        <w:numId w:val="13"/>
      </w:numPr>
      <w:ind w:left="1701" w:hanging="1701"/>
    </w:pPr>
  </w:style>
  <w:style w:type="paragraph" w:styleId="TableofFigures">
    <w:name w:val="table of figures"/>
    <w:basedOn w:val="Normal"/>
    <w:next w:val="Normal"/>
    <w:uiPriority w:val="99"/>
    <w:rsid w:val="00E20E82"/>
    <w:pPr>
      <w:ind w:left="1418" w:hanging="1418"/>
      <w:jc w:val="left"/>
    </w:pPr>
    <w:rPr>
      <w:b/>
    </w:rPr>
  </w:style>
  <w:style w:type="paragraph" w:styleId="Index4">
    <w:name w:val="index 4"/>
    <w:basedOn w:val="Normal"/>
    <w:next w:val="Normal"/>
    <w:autoRedefine/>
    <w:rsid w:val="00E20E82"/>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A9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6EE30-C7F8-4A74-8164-D23770042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5</Pages>
  <Words>1688</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EUSSNGT</dc:creator>
  <cp:keywords>3GPP; Ericsson; TDoc</cp:keywords>
  <cp:lastModifiedBy>Stephen Grant</cp:lastModifiedBy>
  <cp:revision>2</cp:revision>
  <cp:lastPrinted>2008-01-31T15:09:00Z</cp:lastPrinted>
  <dcterms:created xsi:type="dcterms:W3CDTF">2017-02-06T20:18:00Z</dcterms:created>
  <dcterms:modified xsi:type="dcterms:W3CDTF">2017-02-06T20:18:00Z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