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DF17F5" w14:textId="43C5D31A" w:rsidR="000C3073" w:rsidRPr="00EE76A9" w:rsidRDefault="000C3073" w:rsidP="000C3073">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WG1#8</w:t>
      </w:r>
      <w:r>
        <w:rPr>
          <w:noProof w:val="0"/>
          <w:sz w:val="24"/>
          <w:lang w:val="en-GB"/>
        </w:rPr>
        <w:t>7</w:t>
      </w:r>
      <w:r w:rsidRPr="008C1FE3">
        <w:rPr>
          <w:bCs/>
          <w:noProof w:val="0"/>
          <w:sz w:val="24"/>
          <w:lang w:val="en-GB"/>
        </w:rPr>
        <w:tab/>
      </w:r>
      <w:r w:rsidR="00C754F4" w:rsidRPr="00C754F4">
        <w:rPr>
          <w:bCs/>
          <w:noProof w:val="0"/>
          <w:sz w:val="24"/>
          <w:lang w:val="en-GB" w:eastAsia="ja-JP"/>
        </w:rPr>
        <w:t>R1-1612863</w:t>
      </w:r>
      <w:bookmarkStart w:id="3" w:name="_GoBack"/>
      <w:bookmarkEnd w:id="3"/>
    </w:p>
    <w:p w14:paraId="0BA709E5" w14:textId="77777777" w:rsidR="000C3073" w:rsidRPr="00461210" w:rsidRDefault="000C3073" w:rsidP="000C3073">
      <w:pPr>
        <w:pStyle w:val="Header"/>
        <w:tabs>
          <w:tab w:val="right" w:pos="9639"/>
        </w:tabs>
        <w:rPr>
          <w:bCs/>
          <w:noProof w:val="0"/>
          <w:sz w:val="24"/>
          <w:lang w:val="en-GB"/>
        </w:rPr>
      </w:pPr>
      <w:r>
        <w:rPr>
          <w:noProof w:val="0"/>
          <w:sz w:val="24"/>
          <w:lang w:val="en-GB"/>
        </w:rPr>
        <w:t>Reno, U.S.A., November</w:t>
      </w:r>
      <w:r>
        <w:rPr>
          <w:bCs/>
          <w:sz w:val="24"/>
          <w:lang w:eastAsia="zh-CN"/>
        </w:rPr>
        <w:t xml:space="preserve"> 14-18, </w:t>
      </w:r>
      <w:r w:rsidRPr="00235B77">
        <w:rPr>
          <w:bCs/>
          <w:sz w:val="24"/>
          <w:lang w:eastAsia="zh-CN"/>
        </w:rPr>
        <w:t>201</w:t>
      </w:r>
      <w:r>
        <w:rPr>
          <w:bCs/>
          <w:sz w:val="24"/>
          <w:lang w:eastAsia="zh-CN"/>
        </w:rPr>
        <w:t>6</w:t>
      </w:r>
    </w:p>
    <w:bookmarkEnd w:id="0"/>
    <w:bookmarkEnd w:id="1"/>
    <w:p w14:paraId="22333B48" w14:textId="77777777" w:rsidR="000C3073" w:rsidRPr="007B7496" w:rsidRDefault="000C3073" w:rsidP="000C3073">
      <w:pPr>
        <w:pStyle w:val="Header"/>
        <w:rPr>
          <w:bCs/>
          <w:noProof w:val="0"/>
          <w:sz w:val="24"/>
          <w:lang w:val="en-GB" w:eastAsia="ja-JP"/>
        </w:rPr>
      </w:pPr>
    </w:p>
    <w:p w14:paraId="22760FA0" w14:textId="34388362"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9927AD">
        <w:rPr>
          <w:rFonts w:cs="Arial"/>
          <w:b/>
          <w:bCs/>
          <w:sz w:val="24"/>
        </w:rPr>
        <w:t>7.1.3.3</w:t>
      </w:r>
    </w:p>
    <w:p w14:paraId="26423821"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Pr>
          <w:rFonts w:ascii="Arial" w:hAnsi="Arial" w:cs="Arial"/>
          <w:b/>
          <w:bCs/>
          <w:sz w:val="24"/>
        </w:rPr>
        <w:t xml:space="preserve">, Alcatel-Lucent Shanghai Bell </w:t>
      </w:r>
    </w:p>
    <w:p w14:paraId="55701D02" w14:textId="3F7A7D3A"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Beam Management – DCI monitoring</w:t>
      </w:r>
    </w:p>
    <w:p w14:paraId="07E970E7" w14:textId="4915B975"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5CFBDED" w14:textId="573EF6D5"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5FDCEB51" w14:textId="14FEFBCE" w:rsidR="006909FE" w:rsidRDefault="006909FE" w:rsidP="006909FE">
      <w:pPr>
        <w:spacing w:after="120"/>
        <w:rPr>
          <w:bCs/>
        </w:rPr>
      </w:pPr>
      <w:r>
        <w:rPr>
          <w:bCs/>
        </w:rPr>
        <w:t>In this contribution, beam management and relation to UE’s downlink control information</w:t>
      </w:r>
      <w:r w:rsidR="00A8771A">
        <w:rPr>
          <w:bCs/>
        </w:rPr>
        <w:t xml:space="preserve"> (DCI) monitoring is discussed. RAN1#86bis made the following agreement related to control and data channel reception:</w:t>
      </w:r>
    </w:p>
    <w:tbl>
      <w:tblPr>
        <w:tblStyle w:val="TableGrid"/>
        <w:tblW w:w="0" w:type="auto"/>
        <w:tblLook w:val="04A0" w:firstRow="1" w:lastRow="0" w:firstColumn="1" w:lastColumn="0" w:noHBand="0" w:noVBand="1"/>
      </w:tblPr>
      <w:tblGrid>
        <w:gridCol w:w="9629"/>
      </w:tblGrid>
      <w:tr w:rsidR="00A8771A" w14:paraId="635E0237" w14:textId="77777777" w:rsidTr="00A8771A">
        <w:tc>
          <w:tcPr>
            <w:tcW w:w="9629" w:type="dxa"/>
          </w:tcPr>
          <w:p w14:paraId="66ECD421" w14:textId="77777777" w:rsidR="00A8771A" w:rsidRPr="00A8771A" w:rsidRDefault="00A8771A" w:rsidP="00A8771A">
            <w:pPr>
              <w:overflowPunct/>
              <w:autoSpaceDE/>
              <w:autoSpaceDN/>
              <w:adjustRightInd/>
              <w:spacing w:after="0"/>
              <w:ind w:left="1440" w:hanging="1440"/>
              <w:textAlignment w:val="auto"/>
              <w:rPr>
                <w:rFonts w:ascii="Times" w:eastAsia="MS Mincho" w:hAnsi="Times"/>
                <w:lang w:val="en-US" w:eastAsia="ja-JP"/>
              </w:rPr>
            </w:pPr>
            <w:r w:rsidRPr="002F0D9A">
              <w:rPr>
                <w:rFonts w:ascii="Times" w:eastAsia="MS Mincho" w:hAnsi="Times"/>
                <w:lang w:val="en-US" w:eastAsia="ja-JP"/>
              </w:rPr>
              <w:t>Agreements:</w:t>
            </w:r>
          </w:p>
          <w:p w14:paraId="2692F4B2" w14:textId="77777777" w:rsidR="00A8771A" w:rsidRPr="00A8771A" w:rsidRDefault="00A8771A" w:rsidP="00A8771A">
            <w:pPr>
              <w:numPr>
                <w:ilvl w:val="0"/>
                <w:numId w:val="45"/>
              </w:numPr>
              <w:overflowPunct/>
              <w:autoSpaceDE/>
              <w:autoSpaceDN/>
              <w:adjustRightInd/>
              <w:spacing w:after="0"/>
              <w:textAlignment w:val="auto"/>
              <w:rPr>
                <w:rFonts w:ascii="Times" w:eastAsia="MS Mincho" w:hAnsi="Times"/>
                <w:lang w:val="en-US" w:eastAsia="ja-JP"/>
              </w:rPr>
            </w:pPr>
            <w:r w:rsidRPr="00A8771A">
              <w:rPr>
                <w:rFonts w:ascii="Times" w:eastAsia="MS Mincho" w:hAnsi="Times"/>
                <w:lang w:val="en-US" w:eastAsia="ja-JP"/>
              </w:rPr>
              <w:t>Support using same or different beams on control channel and the corresponding data channel transmissions</w:t>
            </w:r>
          </w:p>
          <w:p w14:paraId="6EC20A0E" w14:textId="77777777" w:rsidR="00A8771A" w:rsidRPr="00A8771A" w:rsidRDefault="00A8771A" w:rsidP="00A8771A">
            <w:pPr>
              <w:numPr>
                <w:ilvl w:val="1"/>
                <w:numId w:val="45"/>
              </w:numPr>
              <w:overflowPunct/>
              <w:autoSpaceDE/>
              <w:autoSpaceDN/>
              <w:adjustRightInd/>
              <w:spacing w:after="0"/>
              <w:textAlignment w:val="auto"/>
              <w:rPr>
                <w:rFonts w:ascii="Times" w:eastAsia="MS Mincho" w:hAnsi="Times"/>
                <w:lang w:val="en-US" w:eastAsia="ja-JP"/>
              </w:rPr>
            </w:pPr>
            <w:r w:rsidRPr="00A8771A">
              <w:rPr>
                <w:rFonts w:ascii="Times" w:eastAsia="MS Mincho" w:hAnsi="Times"/>
                <w:lang w:val="en-US" w:eastAsia="ja-JP"/>
              </w:rPr>
              <w:t>FFS the antenna ports for control channel and the corresponding data channel (e.g., sharing some ports or not)</w:t>
            </w:r>
          </w:p>
          <w:p w14:paraId="6CED36D9" w14:textId="175E4032" w:rsidR="00A8771A" w:rsidRPr="00A8771A" w:rsidRDefault="00A8771A" w:rsidP="00A8771A">
            <w:pPr>
              <w:numPr>
                <w:ilvl w:val="0"/>
                <w:numId w:val="45"/>
              </w:numPr>
              <w:overflowPunct/>
              <w:autoSpaceDE/>
              <w:autoSpaceDN/>
              <w:adjustRightInd/>
              <w:spacing w:after="0"/>
              <w:textAlignment w:val="auto"/>
              <w:rPr>
                <w:rFonts w:ascii="Times" w:eastAsia="MS Mincho" w:hAnsi="Times"/>
                <w:lang w:val="en-US" w:eastAsia="ja-JP"/>
              </w:rPr>
            </w:pPr>
            <w:r w:rsidRPr="00A8771A">
              <w:rPr>
                <w:rFonts w:ascii="Times" w:eastAsia="MS Mincho" w:hAnsi="Times"/>
                <w:lang w:val="en-US" w:eastAsia="ja-JP"/>
              </w:rPr>
              <w:t>Study detailed aspects related to beams/beam pairs indication/reporting involving usage of control and data channels and involving one or more TRPs</w:t>
            </w:r>
          </w:p>
        </w:tc>
      </w:tr>
    </w:tbl>
    <w:p w14:paraId="79014AA6" w14:textId="77777777" w:rsidR="00A8771A" w:rsidRDefault="00A8771A" w:rsidP="006909FE">
      <w:pPr>
        <w:spacing w:after="120"/>
        <w:rPr>
          <w:bCs/>
        </w:rPr>
      </w:pPr>
    </w:p>
    <w:p w14:paraId="1DF305FE" w14:textId="22C7335D" w:rsidR="00D34956" w:rsidRPr="00D34956" w:rsidRDefault="008D4B8A" w:rsidP="00D34956">
      <w:pPr>
        <w:pStyle w:val="Heading1"/>
      </w:pPr>
      <w:r>
        <w:rPr>
          <w:color w:val="000000"/>
        </w:rPr>
        <w:t>2</w:t>
      </w:r>
      <w:r w:rsidR="004B23AD" w:rsidRPr="00A51522">
        <w:rPr>
          <w:color w:val="000000"/>
        </w:rPr>
        <w:tab/>
      </w:r>
      <w:r w:rsidR="006909FE">
        <w:rPr>
          <w:color w:val="000000"/>
        </w:rPr>
        <w:t>Discussion</w:t>
      </w:r>
    </w:p>
    <w:p w14:paraId="0EC9FD3E" w14:textId="128FE3D9" w:rsidR="00A073AC" w:rsidRPr="00D438F1" w:rsidRDefault="00A073AC" w:rsidP="008C3452">
      <w:pPr>
        <w:jc w:val="both"/>
        <w:rPr>
          <w:lang w:eastAsia="x-none"/>
        </w:rPr>
      </w:pPr>
      <w:r w:rsidRPr="00D438F1">
        <w:rPr>
          <w:lang w:eastAsia="x-none"/>
        </w:rPr>
        <w:t xml:space="preserve">In connected state, </w:t>
      </w:r>
      <w:r w:rsidR="00455403">
        <w:rPr>
          <w:lang w:eastAsia="x-none"/>
        </w:rPr>
        <w:t xml:space="preserve">it is expected that for beam connected mode beam management </w:t>
      </w:r>
      <w:r w:rsidRPr="00D438F1">
        <w:rPr>
          <w:lang w:eastAsia="x-none"/>
        </w:rPr>
        <w:t xml:space="preserve">the UE measures strength of </w:t>
      </w:r>
      <w:r w:rsidR="00455403">
        <w:rPr>
          <w:lang w:eastAsia="x-none"/>
        </w:rPr>
        <w:t>gNB</w:t>
      </w:r>
      <w:r w:rsidRPr="00D438F1">
        <w:rPr>
          <w:lang w:eastAsia="x-none"/>
        </w:rPr>
        <w:t xml:space="preserve"> beams of the serving cell and </w:t>
      </w:r>
      <w:r w:rsidR="00455403">
        <w:rPr>
          <w:lang w:eastAsia="x-none"/>
        </w:rPr>
        <w:t xml:space="preserve">potentially beams of </w:t>
      </w:r>
      <w:r w:rsidRPr="00D438F1">
        <w:rPr>
          <w:lang w:eastAsia="x-none"/>
        </w:rPr>
        <w:t xml:space="preserve">neighbour cells as a continuous process, and provide measurement results to the </w:t>
      </w:r>
      <w:r w:rsidR="00455403">
        <w:rPr>
          <w:lang w:eastAsia="x-none"/>
        </w:rPr>
        <w:t>gNB</w:t>
      </w:r>
      <w:r w:rsidRPr="00D438F1">
        <w:rPr>
          <w:lang w:eastAsia="x-none"/>
        </w:rPr>
        <w:t xml:space="preserve">. Based on the UE feedback, the </w:t>
      </w:r>
      <w:r w:rsidR="00455403">
        <w:rPr>
          <w:lang w:eastAsia="x-none"/>
        </w:rPr>
        <w:t>gNB</w:t>
      </w:r>
      <w:r w:rsidRPr="00D438F1">
        <w:rPr>
          <w:lang w:eastAsia="x-none"/>
        </w:rPr>
        <w:t xml:space="preserve"> determines the serving </w:t>
      </w:r>
      <w:r w:rsidR="00455403">
        <w:rPr>
          <w:lang w:eastAsia="x-none"/>
        </w:rPr>
        <w:t>gNB</w:t>
      </w:r>
      <w:r w:rsidRPr="00D438F1">
        <w:rPr>
          <w:lang w:eastAsia="x-none"/>
        </w:rPr>
        <w:t xml:space="preserve"> beam(s) for the UE. The procedure comprises updating the set of beams that can be</w:t>
      </w:r>
      <w:r w:rsidR="008C3452">
        <w:rPr>
          <w:lang w:eastAsia="x-none"/>
        </w:rPr>
        <w:t xml:space="preserve"> used to serve the UE over time </w:t>
      </w:r>
      <w:r w:rsidR="008F2CE8">
        <w:rPr>
          <w:lang w:eastAsia="x-none"/>
        </w:rPr>
        <w:t>[4]</w:t>
      </w:r>
      <w:r w:rsidR="008C3452">
        <w:rPr>
          <w:lang w:eastAsia="x-none"/>
        </w:rPr>
        <w:t>.</w:t>
      </w:r>
      <w:r w:rsidR="00510B09">
        <w:rPr>
          <w:lang w:eastAsia="x-none"/>
        </w:rPr>
        <w:t xml:space="preserve"> </w:t>
      </w:r>
    </w:p>
    <w:p w14:paraId="7350F185" w14:textId="3524A724" w:rsidR="007E0AF3" w:rsidRDefault="00A073AC" w:rsidP="008C3452">
      <w:pPr>
        <w:jc w:val="both"/>
        <w:rPr>
          <w:lang w:eastAsia="x-none"/>
        </w:rPr>
      </w:pPr>
      <w:r w:rsidRPr="00D438F1">
        <w:rPr>
          <w:lang w:eastAsia="x-none"/>
        </w:rPr>
        <w:t xml:space="preserve">There may be </w:t>
      </w:r>
      <w:r w:rsidR="00016F9F">
        <w:rPr>
          <w:lang w:eastAsia="x-none"/>
        </w:rPr>
        <w:t xml:space="preserve">a </w:t>
      </w:r>
      <w:r w:rsidRPr="00D438F1">
        <w:rPr>
          <w:lang w:eastAsia="x-none"/>
        </w:rPr>
        <w:t xml:space="preserve">need for separate procedures for updating the </w:t>
      </w:r>
      <w:r w:rsidR="00455403">
        <w:rPr>
          <w:lang w:eastAsia="x-none"/>
        </w:rPr>
        <w:t>gNB</w:t>
      </w:r>
      <w:r w:rsidRPr="00D438F1">
        <w:rPr>
          <w:lang w:eastAsia="x-none"/>
        </w:rPr>
        <w:t xml:space="preserve"> beams that can be used for downlink control and data reception. That is because the UE may operate also using </w:t>
      </w:r>
      <w:r w:rsidR="00AF2A37">
        <w:rPr>
          <w:lang w:eastAsia="x-none"/>
        </w:rPr>
        <w:t xml:space="preserve">more narrow </w:t>
      </w:r>
      <w:r w:rsidRPr="00D438F1">
        <w:rPr>
          <w:lang w:eastAsia="x-none"/>
        </w:rPr>
        <w:t xml:space="preserve">beams </w:t>
      </w:r>
      <w:r w:rsidR="00AF2A37">
        <w:rPr>
          <w:lang w:eastAsia="x-none"/>
        </w:rPr>
        <w:t>than omni-direction</w:t>
      </w:r>
      <w:r w:rsidR="007E0AF3">
        <w:rPr>
          <w:lang w:eastAsia="x-none"/>
        </w:rPr>
        <w:t>al ones</w:t>
      </w:r>
      <w:r w:rsidR="00AF2A37">
        <w:rPr>
          <w:lang w:eastAsia="x-none"/>
        </w:rPr>
        <w:t xml:space="preserve"> </w:t>
      </w:r>
      <w:r w:rsidRPr="00D438F1">
        <w:rPr>
          <w:lang w:eastAsia="x-none"/>
        </w:rPr>
        <w:t>for both reception and transmission</w:t>
      </w:r>
      <w:r w:rsidR="00AF2A37">
        <w:rPr>
          <w:lang w:eastAsia="x-none"/>
        </w:rPr>
        <w:t>, and because UE’s capability in terms of number of TXRUs limit the number of simultaneous</w:t>
      </w:r>
      <w:r w:rsidR="007E0AF3">
        <w:rPr>
          <w:lang w:eastAsia="x-none"/>
        </w:rPr>
        <w:t>ly generated UL TX/DL RX</w:t>
      </w:r>
      <w:r w:rsidR="00AF2A37">
        <w:rPr>
          <w:lang w:eastAsia="x-none"/>
        </w:rPr>
        <w:t xml:space="preserve"> beams.</w:t>
      </w:r>
      <w:r w:rsidRPr="00D438F1">
        <w:rPr>
          <w:lang w:eastAsia="x-none"/>
        </w:rPr>
        <w:t xml:space="preserve"> </w:t>
      </w:r>
    </w:p>
    <w:p w14:paraId="4CA84759" w14:textId="427A16A2" w:rsidR="00524E22" w:rsidRDefault="00A073AC" w:rsidP="008C3452">
      <w:pPr>
        <w:jc w:val="both"/>
        <w:rPr>
          <w:lang w:val="en-US"/>
        </w:rPr>
      </w:pPr>
      <w:r w:rsidRPr="00D438F1">
        <w:rPr>
          <w:lang w:eastAsia="x-none"/>
        </w:rPr>
        <w:t xml:space="preserve">When </w:t>
      </w:r>
      <w:r w:rsidR="00016F9F">
        <w:rPr>
          <w:lang w:eastAsia="x-none"/>
        </w:rPr>
        <w:t>performing</w:t>
      </w:r>
      <w:r w:rsidRPr="00D438F1">
        <w:rPr>
          <w:lang w:eastAsia="x-none"/>
        </w:rPr>
        <w:t xml:space="preserve"> downlink control information (DCI) monitoring, i.e. </w:t>
      </w:r>
      <w:r w:rsidR="00A306BE">
        <w:rPr>
          <w:lang w:eastAsia="x-none"/>
        </w:rPr>
        <w:t>NR-</w:t>
      </w:r>
      <w:r w:rsidRPr="00D438F1">
        <w:rPr>
          <w:lang w:eastAsia="x-none"/>
        </w:rPr>
        <w:t>PDCCH reception, the UE should know beforehand which UE beam</w:t>
      </w:r>
      <w:r w:rsidR="00AF2A37">
        <w:rPr>
          <w:lang w:eastAsia="x-none"/>
        </w:rPr>
        <w:t>(s)</w:t>
      </w:r>
      <w:r w:rsidRPr="00D438F1">
        <w:rPr>
          <w:lang w:eastAsia="x-none"/>
        </w:rPr>
        <w:t xml:space="preserve"> to apply</w:t>
      </w:r>
      <w:r w:rsidR="007E0AF3">
        <w:rPr>
          <w:lang w:eastAsia="x-none"/>
        </w:rPr>
        <w:t xml:space="preserve"> on certain time domain NR-PDCCH resource region,</w:t>
      </w:r>
      <w:r w:rsidR="00524E22">
        <w:rPr>
          <w:lang w:val="en-US"/>
        </w:rPr>
        <w:t xml:space="preserve"> </w:t>
      </w:r>
      <w:r w:rsidRPr="00D438F1">
        <w:rPr>
          <w:lang w:eastAsia="x-none"/>
        </w:rPr>
        <w:t xml:space="preserve">Thus, the </w:t>
      </w:r>
      <w:r w:rsidR="00455403">
        <w:rPr>
          <w:lang w:eastAsia="x-none"/>
        </w:rPr>
        <w:t>gNB</w:t>
      </w:r>
      <w:r w:rsidRPr="00D438F1">
        <w:rPr>
          <w:lang w:eastAsia="x-none"/>
        </w:rPr>
        <w:t xml:space="preserve"> and UE should be in synch about what is</w:t>
      </w:r>
      <w:r w:rsidR="007E0AF3">
        <w:rPr>
          <w:lang w:eastAsia="x-none"/>
        </w:rPr>
        <w:t>/are</w:t>
      </w:r>
      <w:r w:rsidRPr="00D438F1">
        <w:rPr>
          <w:lang w:eastAsia="x-none"/>
        </w:rPr>
        <w:t xml:space="preserve"> the serving beam</w:t>
      </w:r>
      <w:r w:rsidR="007E0AF3">
        <w:rPr>
          <w:lang w:eastAsia="x-none"/>
        </w:rPr>
        <w:t>(s)</w:t>
      </w:r>
      <w:r w:rsidRPr="00D438F1">
        <w:rPr>
          <w:lang w:eastAsia="x-none"/>
        </w:rPr>
        <w:t xml:space="preserve"> for the downlink control channel. </w:t>
      </w:r>
      <w:r w:rsidR="00524E22">
        <w:rPr>
          <w:lang w:eastAsia="x-none"/>
        </w:rPr>
        <w:t xml:space="preserve">It </w:t>
      </w:r>
      <w:r w:rsidR="00524E22">
        <w:rPr>
          <w:lang w:val="en-US"/>
        </w:rPr>
        <w:t>doesn’t mean that there should be only one serving NR-PDCCH beam but there can be many and those can be from multiple TRPs</w:t>
      </w:r>
      <w:r w:rsidR="007E0AF3">
        <w:rPr>
          <w:lang w:val="en-US"/>
        </w:rPr>
        <w:t xml:space="preserve"> to provide means for increased link robustness against blockages, scheduling flexibility and load balancing possibilities transceiver units within the cell</w:t>
      </w:r>
      <w:r w:rsidR="00524E22">
        <w:rPr>
          <w:lang w:val="en-US"/>
        </w:rPr>
        <w:t xml:space="preserve">. </w:t>
      </w:r>
      <w:r w:rsidR="007E0AF3">
        <w:rPr>
          <w:lang w:val="en-US"/>
        </w:rPr>
        <w:t>For those</w:t>
      </w:r>
      <w:r w:rsidR="00524E22">
        <w:rPr>
          <w:lang w:val="en-US"/>
        </w:rPr>
        <w:t xml:space="preserve"> it may be beneficial to have serving beams associated to </w:t>
      </w:r>
      <w:r w:rsidR="00455403">
        <w:rPr>
          <w:lang w:val="en-US"/>
        </w:rPr>
        <w:t>gNB</w:t>
      </w:r>
      <w:r w:rsidR="00524E22">
        <w:rPr>
          <w:lang w:val="en-US"/>
        </w:rPr>
        <w:t xml:space="preserve"> beams e.g. from the same and/or different TRPs in the cell. </w:t>
      </w:r>
      <w:r w:rsidR="007E0AF3">
        <w:rPr>
          <w:lang w:val="en-US"/>
        </w:rPr>
        <w:t>Then</w:t>
      </w:r>
      <w:r w:rsidR="00524E22">
        <w:rPr>
          <w:lang w:val="en-US"/>
        </w:rPr>
        <w:t xml:space="preserve">, there needs to be some rules and/or configuration about time domain pattern which of the beams could be used for NR-PDCCH transmission in a given subframe or NR-PDCCH time domain resource as described in high level in the </w:t>
      </w:r>
      <w:r w:rsidR="00524E22">
        <w:rPr>
          <w:lang w:val="en-US"/>
        </w:rPr>
        <w:fldChar w:fldCharType="begin"/>
      </w:r>
      <w:r w:rsidR="00524E22">
        <w:rPr>
          <w:lang w:val="en-US"/>
        </w:rPr>
        <w:instrText xml:space="preserve"> REF _Ref462990244 \h </w:instrText>
      </w:r>
      <w:r w:rsidR="008C3452">
        <w:rPr>
          <w:lang w:val="en-US"/>
        </w:rPr>
        <w:instrText xml:space="preserve"> \* MERGEFORMAT </w:instrText>
      </w:r>
      <w:r w:rsidR="00524E22">
        <w:rPr>
          <w:lang w:val="en-US"/>
        </w:rPr>
      </w:r>
      <w:r w:rsidR="00524E22">
        <w:rPr>
          <w:lang w:val="en-US"/>
        </w:rPr>
        <w:fldChar w:fldCharType="separate"/>
      </w:r>
      <w:r w:rsidR="00524E22">
        <w:t xml:space="preserve">Figure </w:t>
      </w:r>
      <w:r w:rsidR="00524E22">
        <w:rPr>
          <w:noProof/>
        </w:rPr>
        <w:t>1</w:t>
      </w:r>
      <w:r w:rsidR="00524E22">
        <w:rPr>
          <w:lang w:val="en-US"/>
        </w:rPr>
        <w:fldChar w:fldCharType="end"/>
      </w:r>
      <w:r w:rsidR="00524E22">
        <w:rPr>
          <w:lang w:val="en-US"/>
        </w:rPr>
        <w:t>.</w:t>
      </w:r>
    </w:p>
    <w:p w14:paraId="62C93C90" w14:textId="54AC3829" w:rsidR="006841C3" w:rsidRDefault="006841C3" w:rsidP="00A436CB">
      <w:pPr>
        <w:jc w:val="center"/>
        <w:rPr>
          <w:lang w:val="en-US"/>
        </w:rPr>
      </w:pPr>
      <w:r>
        <w:rPr>
          <w:noProof/>
          <w:lang w:eastAsia="en-GB"/>
        </w:rPr>
        <w:lastRenderedPageBreak/>
        <w:drawing>
          <wp:inline distT="0" distB="0" distL="0" distR="0" wp14:anchorId="7AA99A47" wp14:editId="55B9B1E2">
            <wp:extent cx="5463463" cy="1811971"/>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71159" cy="1814523"/>
                    </a:xfrm>
                    <a:prstGeom prst="rect">
                      <a:avLst/>
                    </a:prstGeom>
                    <a:noFill/>
                  </pic:spPr>
                </pic:pic>
              </a:graphicData>
            </a:graphic>
          </wp:inline>
        </w:drawing>
      </w:r>
    </w:p>
    <w:p w14:paraId="4FEA150D" w14:textId="7C7E9DFB" w:rsidR="006841C3" w:rsidRPr="00A436CB" w:rsidRDefault="006841C3" w:rsidP="00A436CB">
      <w:pPr>
        <w:pStyle w:val="ListParagraph"/>
        <w:numPr>
          <w:ilvl w:val="0"/>
          <w:numId w:val="44"/>
        </w:numPr>
        <w:jc w:val="center"/>
        <w:rPr>
          <w:lang w:val="en-US"/>
        </w:rPr>
      </w:pPr>
      <w:r w:rsidRPr="00A436CB">
        <w:rPr>
          <w:b/>
          <w:sz w:val="20"/>
          <w:lang w:val="en-US" w:eastAsia="x-none"/>
        </w:rPr>
        <w:t xml:space="preserve">NR-PDCCH monitoring configuration when UE has one capability to receive from one RX </w:t>
      </w:r>
      <w:r w:rsidRPr="00A436CB">
        <w:rPr>
          <w:sz w:val="20"/>
          <w:lang w:val="en-US"/>
        </w:rPr>
        <w:t>“beam direction”.</w:t>
      </w:r>
    </w:p>
    <w:p w14:paraId="6CFF7517" w14:textId="4066D93E" w:rsidR="00524E22" w:rsidRDefault="00524E22" w:rsidP="00A436CB">
      <w:pPr>
        <w:jc w:val="center"/>
        <w:rPr>
          <w:lang w:eastAsia="x-none"/>
        </w:rPr>
      </w:pPr>
      <w:r>
        <w:rPr>
          <w:noProof/>
          <w:lang w:eastAsia="en-GB"/>
        </w:rPr>
        <w:drawing>
          <wp:inline distT="0" distB="0" distL="0" distR="0" wp14:anchorId="16703C0C" wp14:editId="20E725C3">
            <wp:extent cx="5445263" cy="1387748"/>
            <wp:effectExtent l="0" t="0" r="317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57029" cy="1390747"/>
                    </a:xfrm>
                    <a:prstGeom prst="rect">
                      <a:avLst/>
                    </a:prstGeom>
                    <a:noFill/>
                  </pic:spPr>
                </pic:pic>
              </a:graphicData>
            </a:graphic>
          </wp:inline>
        </w:drawing>
      </w:r>
    </w:p>
    <w:p w14:paraId="5EA061BC" w14:textId="13F07B29" w:rsidR="00524E22" w:rsidRDefault="00524E22" w:rsidP="00A436CB">
      <w:pPr>
        <w:pStyle w:val="Caption"/>
        <w:numPr>
          <w:ilvl w:val="0"/>
          <w:numId w:val="44"/>
        </w:numPr>
        <w:jc w:val="center"/>
        <w:rPr>
          <w:lang w:val="en-US"/>
        </w:rPr>
      </w:pPr>
      <w:r w:rsidRPr="00A436CB">
        <w:rPr>
          <w:lang w:val="en-US"/>
        </w:rPr>
        <w:t xml:space="preserve">NR-PDCCH monitoring configuration when UE has one capability to receive from one RX </w:t>
      </w:r>
      <w:r>
        <w:rPr>
          <w:lang w:val="en-US"/>
        </w:rPr>
        <w:t>“beam direction”.</w:t>
      </w:r>
    </w:p>
    <w:p w14:paraId="09C98B45" w14:textId="022D90E7" w:rsidR="00524E22" w:rsidRDefault="00524E22" w:rsidP="00A436CB">
      <w:pPr>
        <w:jc w:val="center"/>
        <w:rPr>
          <w:lang w:val="en-US" w:eastAsia="x-none"/>
        </w:rPr>
      </w:pPr>
      <w:r>
        <w:rPr>
          <w:noProof/>
          <w:lang w:eastAsia="en-GB"/>
        </w:rPr>
        <w:drawing>
          <wp:inline distT="0" distB="0" distL="0" distR="0" wp14:anchorId="3421BF01" wp14:editId="5DD693AB">
            <wp:extent cx="5437119" cy="18911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4155" cy="1897082"/>
                    </a:xfrm>
                    <a:prstGeom prst="rect">
                      <a:avLst/>
                    </a:prstGeom>
                    <a:noFill/>
                  </pic:spPr>
                </pic:pic>
              </a:graphicData>
            </a:graphic>
          </wp:inline>
        </w:drawing>
      </w:r>
    </w:p>
    <w:p w14:paraId="12D461BC" w14:textId="726E3F69" w:rsidR="00524E22" w:rsidRDefault="00524E22" w:rsidP="00A436CB">
      <w:pPr>
        <w:pStyle w:val="Caption"/>
        <w:numPr>
          <w:ilvl w:val="0"/>
          <w:numId w:val="44"/>
        </w:numPr>
        <w:jc w:val="center"/>
        <w:rPr>
          <w:lang w:val="en-US"/>
        </w:rPr>
      </w:pPr>
      <w:r w:rsidRPr="001B0B52">
        <w:rPr>
          <w:lang w:val="en-US"/>
        </w:rPr>
        <w:t xml:space="preserve">NR-PDCCH monitoring configuration when UE has one capability to receive from </w:t>
      </w:r>
      <w:r>
        <w:rPr>
          <w:lang w:val="en-US"/>
        </w:rPr>
        <w:t>two</w:t>
      </w:r>
      <w:r w:rsidRPr="001B0B52">
        <w:rPr>
          <w:lang w:val="en-US"/>
        </w:rPr>
        <w:t xml:space="preserve"> RX </w:t>
      </w:r>
      <w:r>
        <w:rPr>
          <w:lang w:val="en-US"/>
        </w:rPr>
        <w:t>“beam direction”.</w:t>
      </w:r>
    </w:p>
    <w:p w14:paraId="30516DB7" w14:textId="60C320F0" w:rsidR="00524E22" w:rsidRPr="00A436CB" w:rsidRDefault="00524E22" w:rsidP="00A436CB">
      <w:pPr>
        <w:pStyle w:val="Caption"/>
        <w:jc w:val="center"/>
        <w:rPr>
          <w:lang w:val="en-US"/>
        </w:rPr>
      </w:pPr>
      <w:bookmarkStart w:id="6" w:name="_Ref462990244"/>
      <w:r>
        <w:t xml:space="preserve">Figure </w:t>
      </w:r>
      <w:r>
        <w:fldChar w:fldCharType="begin"/>
      </w:r>
      <w:r>
        <w:instrText xml:space="preserve"> SEQ Figure \* ARABIC </w:instrText>
      </w:r>
      <w:r>
        <w:fldChar w:fldCharType="separate"/>
      </w:r>
      <w:r>
        <w:rPr>
          <w:noProof/>
        </w:rPr>
        <w:t>1</w:t>
      </w:r>
      <w:r>
        <w:fldChar w:fldCharType="end"/>
      </w:r>
      <w:bookmarkEnd w:id="6"/>
      <w:r w:rsidRPr="00A436CB">
        <w:rPr>
          <w:lang w:val="en-US"/>
        </w:rPr>
        <w:t xml:space="preserve"> High level illustration of potential NR-PDCCH configuration when NR-PDCCH search space includes multiple </w:t>
      </w:r>
      <w:r w:rsidR="00455403">
        <w:rPr>
          <w:lang w:val="en-US"/>
        </w:rPr>
        <w:t>gNB</w:t>
      </w:r>
      <w:r w:rsidRPr="00A436CB">
        <w:rPr>
          <w:lang w:val="en-US"/>
        </w:rPr>
        <w:t>.</w:t>
      </w:r>
    </w:p>
    <w:p w14:paraId="2DA3D573" w14:textId="36B47E16" w:rsidR="00524E22" w:rsidRPr="000C3073" w:rsidRDefault="00524E22" w:rsidP="00016F9F">
      <w:pPr>
        <w:jc w:val="both"/>
        <w:rPr>
          <w:b/>
          <w:i/>
          <w:lang w:eastAsia="x-none"/>
        </w:rPr>
      </w:pPr>
      <w:r w:rsidRPr="000C3073">
        <w:rPr>
          <w:b/>
          <w:i/>
          <w:lang w:eastAsia="x-none"/>
        </w:rPr>
        <w:t>Observation 1:</w:t>
      </w:r>
      <w:r w:rsidRPr="000C3073">
        <w:rPr>
          <w:i/>
          <w:lang w:val="en-US"/>
        </w:rPr>
        <w:t xml:space="preserve"> </w:t>
      </w:r>
      <w:r w:rsidR="00A41307" w:rsidRPr="000C3073">
        <w:rPr>
          <w:b/>
          <w:i/>
          <w:lang w:val="en-US"/>
        </w:rPr>
        <w:t>T</w:t>
      </w:r>
      <w:r w:rsidRPr="000C3073">
        <w:rPr>
          <w:b/>
          <w:i/>
          <w:lang w:val="en-US"/>
        </w:rPr>
        <w:t>here needs to be some rules and/or configuration about time domain pattern which of the beams could be used for NR-PDCCH transmission in a given subframe or NR-PDCCH time domain resource.</w:t>
      </w:r>
    </w:p>
    <w:p w14:paraId="349A829F" w14:textId="12345C2B" w:rsidR="00A073AC" w:rsidRDefault="00A073AC" w:rsidP="00016F9F">
      <w:pPr>
        <w:jc w:val="both"/>
        <w:rPr>
          <w:lang w:eastAsia="x-none"/>
        </w:rPr>
      </w:pPr>
      <w:r w:rsidRPr="00D438F1">
        <w:rPr>
          <w:lang w:eastAsia="x-none"/>
        </w:rPr>
        <w:t xml:space="preserve">For </w:t>
      </w:r>
      <w:r w:rsidR="00524E22">
        <w:rPr>
          <w:lang w:eastAsia="x-none"/>
        </w:rPr>
        <w:t>DL</w:t>
      </w:r>
      <w:r w:rsidR="00524E22" w:rsidRPr="00D438F1">
        <w:rPr>
          <w:lang w:eastAsia="x-none"/>
        </w:rPr>
        <w:t xml:space="preserve"> </w:t>
      </w:r>
      <w:r w:rsidRPr="00D438F1">
        <w:rPr>
          <w:lang w:eastAsia="x-none"/>
        </w:rPr>
        <w:t xml:space="preserve">data </w:t>
      </w:r>
      <w:r w:rsidR="00524E22">
        <w:rPr>
          <w:lang w:eastAsia="x-none"/>
        </w:rPr>
        <w:t>and UL control and data transmissions</w:t>
      </w:r>
      <w:r w:rsidR="00524E22" w:rsidRPr="00D438F1">
        <w:rPr>
          <w:lang w:eastAsia="x-none"/>
        </w:rPr>
        <w:t xml:space="preserve"> </w:t>
      </w:r>
      <w:r w:rsidRPr="00D438F1">
        <w:rPr>
          <w:lang w:eastAsia="x-none"/>
        </w:rPr>
        <w:t xml:space="preserve">the </w:t>
      </w:r>
      <w:r w:rsidR="00455403">
        <w:rPr>
          <w:lang w:eastAsia="x-none"/>
        </w:rPr>
        <w:t>gNB</w:t>
      </w:r>
      <w:r w:rsidRPr="00D438F1">
        <w:rPr>
          <w:lang w:eastAsia="x-none"/>
        </w:rPr>
        <w:t xml:space="preserve"> may use </w:t>
      </w:r>
      <w:r w:rsidR="00455403">
        <w:rPr>
          <w:lang w:eastAsia="x-none"/>
        </w:rPr>
        <w:t>gNB</w:t>
      </w:r>
      <w:r w:rsidRPr="00D438F1">
        <w:rPr>
          <w:lang w:eastAsia="x-none"/>
        </w:rPr>
        <w:t xml:space="preserve"> beams more flexibly </w:t>
      </w:r>
      <w:r w:rsidR="00524E22">
        <w:rPr>
          <w:lang w:eastAsia="x-none"/>
        </w:rPr>
        <w:t xml:space="preserve">as those transmissions are explicitly scheduled via NR-PDCCH and in the scheduling grant the </w:t>
      </w:r>
      <w:r w:rsidR="00455403">
        <w:rPr>
          <w:lang w:eastAsia="x-none"/>
        </w:rPr>
        <w:t>gNB</w:t>
      </w:r>
      <w:r w:rsidR="00524E22">
        <w:rPr>
          <w:lang w:eastAsia="x-none"/>
        </w:rPr>
        <w:t xml:space="preserve"> may signal the reference P1 beam to which the UE can align its TX and RX beam(s) for the UL transmission or DL reception, respectively.</w:t>
      </w:r>
      <w:r w:rsidRPr="00D438F1">
        <w:rPr>
          <w:lang w:eastAsia="x-none"/>
        </w:rPr>
        <w:t xml:space="preserve"> The set of candidate beams may comprise beams for which the UE needs to apply different UE beams. For instance, in case of multiple TRPs deployed in distributed manner, the UE may report strong </w:t>
      </w:r>
      <w:r w:rsidR="00455403">
        <w:rPr>
          <w:lang w:eastAsia="x-none"/>
        </w:rPr>
        <w:t>gNB</w:t>
      </w:r>
      <w:r w:rsidRPr="00D438F1">
        <w:rPr>
          <w:lang w:eastAsia="x-none"/>
        </w:rPr>
        <w:t xml:space="preserve"> beams from multiple TRPs using different UE side beams. Larger set of </w:t>
      </w:r>
      <w:r w:rsidR="00455403">
        <w:rPr>
          <w:lang w:eastAsia="x-none"/>
        </w:rPr>
        <w:t>gNB</w:t>
      </w:r>
      <w:r w:rsidRPr="00D438F1">
        <w:rPr>
          <w:lang w:eastAsia="x-none"/>
        </w:rPr>
        <w:t xml:space="preserve"> beams provides the </w:t>
      </w:r>
      <w:r w:rsidR="00455403">
        <w:rPr>
          <w:lang w:eastAsia="x-none"/>
        </w:rPr>
        <w:t>gNB</w:t>
      </w:r>
      <w:r w:rsidRPr="00D438F1">
        <w:rPr>
          <w:lang w:eastAsia="x-none"/>
        </w:rPr>
        <w:t xml:space="preserve"> more scheduling flexibility </w:t>
      </w:r>
      <w:r w:rsidR="00C15639">
        <w:rPr>
          <w:lang w:eastAsia="x-none"/>
        </w:rPr>
        <w:t xml:space="preserve">and load balancing possibilities, </w:t>
      </w:r>
      <w:r w:rsidRPr="00D438F1">
        <w:rPr>
          <w:lang w:eastAsia="x-none"/>
        </w:rPr>
        <w:t xml:space="preserve">and </w:t>
      </w:r>
      <w:r w:rsidR="00C15639">
        <w:rPr>
          <w:lang w:eastAsia="x-none"/>
        </w:rPr>
        <w:t xml:space="preserve">link </w:t>
      </w:r>
      <w:r w:rsidRPr="00D438F1">
        <w:rPr>
          <w:lang w:eastAsia="x-none"/>
        </w:rPr>
        <w:t>robustness</w:t>
      </w:r>
      <w:r w:rsidR="00524E22">
        <w:rPr>
          <w:lang w:eastAsia="x-none"/>
        </w:rPr>
        <w:t xml:space="preserve">. </w:t>
      </w:r>
      <w:r w:rsidR="00AF2A37">
        <w:rPr>
          <w:lang w:eastAsia="x-none"/>
        </w:rPr>
        <w:t xml:space="preserve">Considered scenario is depicted in </w:t>
      </w:r>
      <w:r w:rsidR="00AF2A37">
        <w:rPr>
          <w:lang w:eastAsia="x-none"/>
        </w:rPr>
        <w:fldChar w:fldCharType="begin"/>
      </w:r>
      <w:r w:rsidR="00AF2A37">
        <w:rPr>
          <w:lang w:eastAsia="x-none"/>
        </w:rPr>
        <w:instrText xml:space="preserve"> REF _Ref462670298 </w:instrText>
      </w:r>
      <w:r w:rsidR="00016F9F">
        <w:rPr>
          <w:lang w:eastAsia="x-none"/>
        </w:rPr>
        <w:instrText xml:space="preserve"> \* MERGEFORMAT </w:instrText>
      </w:r>
      <w:r w:rsidR="00AF2A37">
        <w:rPr>
          <w:lang w:eastAsia="x-none"/>
        </w:rPr>
        <w:fldChar w:fldCharType="separate"/>
      </w:r>
      <w:r w:rsidR="00AF2A37">
        <w:t xml:space="preserve">Figure </w:t>
      </w:r>
      <w:r w:rsidR="00AF2A37">
        <w:rPr>
          <w:noProof/>
        </w:rPr>
        <w:t>1</w:t>
      </w:r>
      <w:r w:rsidR="00AF2A37">
        <w:rPr>
          <w:lang w:eastAsia="x-none"/>
        </w:rPr>
        <w:fldChar w:fldCharType="end"/>
      </w:r>
      <w:r w:rsidR="00524E22">
        <w:rPr>
          <w:lang w:eastAsia="x-none"/>
        </w:rPr>
        <w:t xml:space="preserve"> where at certain subframe the UE has pre-determined information what is reference P1 beam NR-PDCCH reception (green beam) and candidate beams for DL data, UL control and UL data. </w:t>
      </w:r>
    </w:p>
    <w:p w14:paraId="751187F6" w14:textId="4CC24FF3" w:rsidR="00AF2A37" w:rsidRDefault="00AF2A37" w:rsidP="00AF2A37">
      <w:pPr>
        <w:jc w:val="center"/>
        <w:rPr>
          <w:lang w:eastAsia="x-none"/>
        </w:rPr>
      </w:pPr>
      <w:r>
        <w:rPr>
          <w:noProof/>
          <w:lang w:eastAsia="en-GB"/>
        </w:rPr>
        <w:lastRenderedPageBreak/>
        <w:drawing>
          <wp:inline distT="0" distB="0" distL="0" distR="0" wp14:anchorId="77DF4809" wp14:editId="769FD8EB">
            <wp:extent cx="2360075" cy="2142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1759" cy="2144479"/>
                    </a:xfrm>
                    <a:prstGeom prst="rect">
                      <a:avLst/>
                    </a:prstGeom>
                    <a:noFill/>
                  </pic:spPr>
                </pic:pic>
              </a:graphicData>
            </a:graphic>
          </wp:inline>
        </w:drawing>
      </w:r>
    </w:p>
    <w:p w14:paraId="6D51B232" w14:textId="767686D4" w:rsidR="00AF2A37" w:rsidRPr="00AF2A37" w:rsidRDefault="00AF2A37" w:rsidP="00AF2A37">
      <w:pPr>
        <w:pStyle w:val="Caption"/>
        <w:jc w:val="center"/>
        <w:rPr>
          <w:lang w:val="en-US"/>
        </w:rPr>
      </w:pPr>
      <w:bookmarkStart w:id="7" w:name="_Ref462670298"/>
      <w:r>
        <w:t xml:space="preserve">Figure </w:t>
      </w:r>
      <w:r w:rsidR="00EF1DEF">
        <w:fldChar w:fldCharType="begin"/>
      </w:r>
      <w:r w:rsidR="00EF1DEF">
        <w:instrText xml:space="preserve"> SEQ Figure \* ARABIC </w:instrText>
      </w:r>
      <w:r w:rsidR="00EF1DEF">
        <w:fldChar w:fldCharType="separate"/>
      </w:r>
      <w:r w:rsidR="00524E22">
        <w:rPr>
          <w:noProof/>
        </w:rPr>
        <w:t>2</w:t>
      </w:r>
      <w:r w:rsidR="00EF1DEF">
        <w:rPr>
          <w:noProof/>
        </w:rPr>
        <w:fldChar w:fldCharType="end"/>
      </w:r>
      <w:bookmarkEnd w:id="7"/>
      <w:r w:rsidRPr="00AF2A37">
        <w:rPr>
          <w:lang w:val="en-US"/>
        </w:rPr>
        <w:t xml:space="preserve"> NR-PDCCH and NR-PDSCH reception related beams in multi TRP case.</w:t>
      </w:r>
    </w:p>
    <w:p w14:paraId="7EE499C4" w14:textId="2C523CEC" w:rsidR="00C27DFC" w:rsidRPr="000C3073" w:rsidRDefault="00524E22" w:rsidP="00016F9F">
      <w:pPr>
        <w:jc w:val="both"/>
        <w:rPr>
          <w:i/>
          <w:lang w:eastAsia="x-none"/>
        </w:rPr>
      </w:pPr>
      <w:r w:rsidRPr="000C3073">
        <w:rPr>
          <w:b/>
          <w:i/>
          <w:lang w:eastAsia="x-none"/>
        </w:rPr>
        <w:t xml:space="preserve">Proposal </w:t>
      </w:r>
      <w:r w:rsidR="00AF2A37" w:rsidRPr="000C3073">
        <w:rPr>
          <w:b/>
          <w:i/>
          <w:lang w:eastAsia="x-none"/>
        </w:rPr>
        <w:t>1</w:t>
      </w:r>
      <w:r w:rsidR="00A073AC" w:rsidRPr="000C3073">
        <w:rPr>
          <w:b/>
          <w:i/>
          <w:lang w:eastAsia="x-none"/>
        </w:rPr>
        <w:t xml:space="preserve">: </w:t>
      </w:r>
      <w:r w:rsidRPr="000C3073">
        <w:rPr>
          <w:b/>
          <w:i/>
          <w:lang w:eastAsia="x-none"/>
        </w:rPr>
        <w:t>For NR-PDCCH reception (DCI monitoring), beam management procedure should enable that UE knows a priori how to set its RX beam in certain subframe or NR-PDCCH time domain resource</w:t>
      </w:r>
      <w:r w:rsidR="00C15639">
        <w:rPr>
          <w:b/>
          <w:i/>
          <w:lang w:eastAsia="x-none"/>
        </w:rPr>
        <w:t>(</w:t>
      </w:r>
      <w:r w:rsidRPr="000C3073">
        <w:rPr>
          <w:b/>
          <w:i/>
          <w:lang w:eastAsia="x-none"/>
        </w:rPr>
        <w:t>s</w:t>
      </w:r>
      <w:r w:rsidR="00C15639">
        <w:rPr>
          <w:b/>
          <w:i/>
          <w:lang w:eastAsia="x-none"/>
        </w:rPr>
        <w:t>)</w:t>
      </w:r>
      <w:r w:rsidRPr="000C3073">
        <w:rPr>
          <w:b/>
          <w:i/>
          <w:lang w:eastAsia="x-none"/>
        </w:rPr>
        <w:t xml:space="preserve">. </w:t>
      </w: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4463979F" w:rsidR="00620244" w:rsidRDefault="00B74C8F" w:rsidP="00016F9F">
      <w:pPr>
        <w:jc w:val="both"/>
        <w:rPr>
          <w:lang w:val="en-US"/>
        </w:rPr>
      </w:pPr>
      <w:r>
        <w:rPr>
          <w:lang w:val="en-US"/>
        </w:rPr>
        <w:t xml:space="preserve">In this contribution </w:t>
      </w:r>
      <w:r w:rsidR="004919F0">
        <w:rPr>
          <w:lang w:val="en-US"/>
        </w:rPr>
        <w:t xml:space="preserve">relation between </w:t>
      </w:r>
      <w:r w:rsidR="006909FE">
        <w:rPr>
          <w:lang w:val="en-US"/>
        </w:rPr>
        <w:t>DCI monitoring</w:t>
      </w:r>
      <w:r w:rsidR="004919F0">
        <w:rPr>
          <w:lang w:val="en-US"/>
        </w:rPr>
        <w:t xml:space="preserve"> and beam management procedures are discussed.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5442D41B" w14:textId="2357F65B" w:rsidR="00DE2057" w:rsidRPr="000C3073" w:rsidRDefault="00DE2057" w:rsidP="00016F9F">
      <w:pPr>
        <w:jc w:val="both"/>
        <w:rPr>
          <w:b/>
          <w:i/>
          <w:lang w:eastAsia="x-none"/>
        </w:rPr>
      </w:pPr>
      <w:r w:rsidRPr="000C3073">
        <w:rPr>
          <w:b/>
          <w:i/>
          <w:lang w:eastAsia="x-none"/>
        </w:rPr>
        <w:t>Observation 1:</w:t>
      </w:r>
      <w:r w:rsidRPr="000C3073">
        <w:rPr>
          <w:i/>
          <w:lang w:val="en-US"/>
        </w:rPr>
        <w:t xml:space="preserve"> </w:t>
      </w:r>
      <w:r w:rsidRPr="000C3073">
        <w:rPr>
          <w:b/>
          <w:i/>
          <w:lang w:val="en-US"/>
        </w:rPr>
        <w:t>There needs to be some rules and/or configuration about time domain pattern which of the beams could be used for NR-PDCCH transmission in a given subframe or NR-PDCCH time domain resource</w:t>
      </w:r>
      <w:r w:rsidR="00C15639">
        <w:rPr>
          <w:b/>
          <w:i/>
          <w:lang w:val="en-US"/>
        </w:rPr>
        <w:t>(s)</w:t>
      </w:r>
      <w:r w:rsidRPr="000C3073">
        <w:rPr>
          <w:b/>
          <w:i/>
          <w:lang w:val="en-US"/>
        </w:rPr>
        <w:t>.</w:t>
      </w:r>
    </w:p>
    <w:p w14:paraId="79E95535" w14:textId="5282FC0D" w:rsidR="00D34956" w:rsidRPr="000C3073" w:rsidRDefault="00524E22" w:rsidP="00016F9F">
      <w:pPr>
        <w:jc w:val="both"/>
        <w:rPr>
          <w:b/>
          <w:i/>
          <w:lang w:eastAsia="x-none"/>
        </w:rPr>
      </w:pPr>
      <w:r w:rsidRPr="000C3073">
        <w:rPr>
          <w:b/>
          <w:i/>
          <w:lang w:eastAsia="x-none"/>
        </w:rPr>
        <w:t>Proposal 1: For NR-PDCCH reception (DCI monitoring), beam management procedure should enable that UE knows a priori how to set its RX beam in certain subframe or NR-PDCCH time domain resource</w:t>
      </w:r>
      <w:r w:rsidR="00C15639">
        <w:rPr>
          <w:b/>
          <w:i/>
          <w:lang w:eastAsia="x-none"/>
        </w:rPr>
        <w:t>(</w:t>
      </w:r>
      <w:r w:rsidRPr="000C3073">
        <w:rPr>
          <w:b/>
          <w:i/>
          <w:lang w:eastAsia="x-none"/>
        </w:rPr>
        <w:t>s</w:t>
      </w:r>
      <w:r w:rsidR="00C15639">
        <w:rPr>
          <w:b/>
          <w:i/>
          <w:lang w:eastAsia="x-none"/>
        </w:rPr>
        <w:t>)</w:t>
      </w:r>
      <w:r w:rsidRPr="000C3073">
        <w:rPr>
          <w:b/>
          <w:i/>
          <w:lang w:eastAsia="x-none"/>
        </w:rPr>
        <w:t>.</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F4B1F81" w14:textId="0B0D2554" w:rsidR="00F55998" w:rsidRDefault="00F55998" w:rsidP="006F1D85">
      <w:pPr>
        <w:numPr>
          <w:ilvl w:val="0"/>
          <w:numId w:val="1"/>
        </w:numPr>
        <w:rPr>
          <w:sz w:val="18"/>
        </w:rPr>
      </w:pPr>
      <w:r>
        <w:rPr>
          <w:sz w:val="18"/>
        </w:rPr>
        <w:t>RAN1 #86</w:t>
      </w:r>
      <w:r w:rsidR="000C3073">
        <w:rPr>
          <w:sz w:val="18"/>
        </w:rPr>
        <w:t>bis</w:t>
      </w:r>
      <w:r>
        <w:rPr>
          <w:sz w:val="18"/>
        </w:rPr>
        <w:t xml:space="preserve"> Chairman Notes</w:t>
      </w:r>
    </w:p>
    <w:p w14:paraId="57C4B98F" w14:textId="4C887187" w:rsidR="00455403" w:rsidRDefault="00455403" w:rsidP="006F1D85">
      <w:pPr>
        <w:numPr>
          <w:ilvl w:val="0"/>
          <w:numId w:val="1"/>
        </w:numPr>
        <w:rPr>
          <w:sz w:val="18"/>
        </w:rPr>
      </w:pPr>
      <w:r>
        <w:rPr>
          <w:sz w:val="18"/>
        </w:rPr>
        <w:t>R1-16</w:t>
      </w:r>
      <w:r w:rsidR="007E0AF3">
        <w:rPr>
          <w:sz w:val="18"/>
        </w:rPr>
        <w:t>10239, “On beam management in NR – procedures”, Nokia, Alcatel-Lucent Shanghai Bell</w:t>
      </w:r>
    </w:p>
    <w:p w14:paraId="46664C67" w14:textId="2B533AA3" w:rsidR="00F55998" w:rsidRDefault="00F55998" w:rsidP="006F1D85">
      <w:pPr>
        <w:numPr>
          <w:ilvl w:val="0"/>
          <w:numId w:val="1"/>
        </w:numPr>
        <w:rPr>
          <w:sz w:val="18"/>
        </w:rPr>
      </w:pPr>
      <w:r>
        <w:rPr>
          <w:sz w:val="18"/>
        </w:rPr>
        <w:t>R1-168468, “Definitions supporting beam related procedures”, Nokia, Qualcomm, CATT, Intel, NTT DoCoMo, Mediatek, Ericsson, ASB, Samsung, LG</w:t>
      </w:r>
    </w:p>
    <w:sectPr w:rsidR="00F5599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1F41E" w14:textId="77777777" w:rsidR="00791D94" w:rsidRDefault="00791D94">
      <w:r>
        <w:separator/>
      </w:r>
    </w:p>
  </w:endnote>
  <w:endnote w:type="continuationSeparator" w:id="0">
    <w:p w14:paraId="6011B16C" w14:textId="77777777" w:rsidR="00791D94" w:rsidRDefault="0079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C5A50" w14:textId="77777777" w:rsidR="00791D94" w:rsidRDefault="00791D94">
      <w:r>
        <w:separator/>
      </w:r>
    </w:p>
  </w:footnote>
  <w:footnote w:type="continuationSeparator" w:id="0">
    <w:p w14:paraId="2656AC47" w14:textId="77777777" w:rsidR="00791D94" w:rsidRDefault="00791D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3"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37"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11"/>
  </w:num>
  <w:num w:numId="4">
    <w:abstractNumId w:val="44"/>
  </w:num>
  <w:num w:numId="5">
    <w:abstractNumId w:val="43"/>
  </w:num>
  <w:num w:numId="6">
    <w:abstractNumId w:val="34"/>
  </w:num>
  <w:num w:numId="7">
    <w:abstractNumId w:val="9"/>
    <w:lvlOverride w:ilvl="0">
      <w:startOverride w:val="1"/>
    </w:lvlOverride>
  </w:num>
  <w:num w:numId="8">
    <w:abstractNumId w:val="10"/>
  </w:num>
  <w:num w:numId="9">
    <w:abstractNumId w:val="33"/>
  </w:num>
  <w:num w:numId="10">
    <w:abstractNumId w:val="23"/>
  </w:num>
  <w:num w:numId="11">
    <w:abstractNumId w:val="28"/>
  </w:num>
  <w:num w:numId="12">
    <w:abstractNumId w:val="5"/>
  </w:num>
  <w:num w:numId="13">
    <w:abstractNumId w:val="41"/>
  </w:num>
  <w:num w:numId="14">
    <w:abstractNumId w:val="26"/>
  </w:num>
  <w:num w:numId="15">
    <w:abstractNumId w:val="16"/>
  </w:num>
  <w:num w:numId="16">
    <w:abstractNumId w:val="20"/>
  </w:num>
  <w:num w:numId="17">
    <w:abstractNumId w:val="40"/>
  </w:num>
  <w:num w:numId="18">
    <w:abstractNumId w:val="38"/>
  </w:num>
  <w:num w:numId="19">
    <w:abstractNumId w:val="4"/>
  </w:num>
  <w:num w:numId="20">
    <w:abstractNumId w:val="8"/>
  </w:num>
  <w:num w:numId="21">
    <w:abstractNumId w:val="13"/>
  </w:num>
  <w:num w:numId="22">
    <w:abstractNumId w:val="1"/>
  </w:num>
  <w:num w:numId="23">
    <w:abstractNumId w:val="31"/>
  </w:num>
  <w:num w:numId="24">
    <w:abstractNumId w:val="25"/>
  </w:num>
  <w:num w:numId="25">
    <w:abstractNumId w:val="37"/>
  </w:num>
  <w:num w:numId="26">
    <w:abstractNumId w:val="19"/>
  </w:num>
  <w:num w:numId="27">
    <w:abstractNumId w:val="42"/>
  </w:num>
  <w:num w:numId="28">
    <w:abstractNumId w:val="12"/>
  </w:num>
  <w:num w:numId="29">
    <w:abstractNumId w:val="3"/>
  </w:num>
  <w:num w:numId="30">
    <w:abstractNumId w:val="32"/>
  </w:num>
  <w:num w:numId="31">
    <w:abstractNumId w:val="18"/>
  </w:num>
  <w:num w:numId="32">
    <w:abstractNumId w:val="39"/>
  </w:num>
  <w:num w:numId="33">
    <w:abstractNumId w:val="35"/>
  </w:num>
  <w:num w:numId="34">
    <w:abstractNumId w:val="21"/>
  </w:num>
  <w:num w:numId="35">
    <w:abstractNumId w:val="36"/>
  </w:num>
  <w:num w:numId="36">
    <w:abstractNumId w:val="0"/>
  </w:num>
  <w:num w:numId="37">
    <w:abstractNumId w:val="29"/>
  </w:num>
  <w:num w:numId="38">
    <w:abstractNumId w:val="6"/>
  </w:num>
  <w:num w:numId="39">
    <w:abstractNumId w:val="7"/>
  </w:num>
  <w:num w:numId="40">
    <w:abstractNumId w:val="30"/>
  </w:num>
  <w:num w:numId="41">
    <w:abstractNumId w:val="2"/>
  </w:num>
  <w:num w:numId="42">
    <w:abstractNumId w:val="24"/>
  </w:num>
  <w:num w:numId="43">
    <w:abstractNumId w:val="14"/>
  </w:num>
  <w:num w:numId="44">
    <w:abstractNumId w:val="17"/>
  </w:num>
  <w:num w:numId="45">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F9F"/>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2706"/>
    <w:rsid w:val="000F2E1F"/>
    <w:rsid w:val="000F37B0"/>
    <w:rsid w:val="000F4595"/>
    <w:rsid w:val="000F4CB2"/>
    <w:rsid w:val="000F568D"/>
    <w:rsid w:val="00101C4F"/>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78B"/>
    <w:rsid w:val="00251AD6"/>
    <w:rsid w:val="00252C17"/>
    <w:rsid w:val="0025307F"/>
    <w:rsid w:val="002551BD"/>
    <w:rsid w:val="002554D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76E"/>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07584"/>
    <w:rsid w:val="004131A7"/>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474B"/>
    <w:rsid w:val="00445FF7"/>
    <w:rsid w:val="00453341"/>
    <w:rsid w:val="0045423B"/>
    <w:rsid w:val="004545C6"/>
    <w:rsid w:val="00454DCA"/>
    <w:rsid w:val="00455403"/>
    <w:rsid w:val="00456544"/>
    <w:rsid w:val="00456649"/>
    <w:rsid w:val="004567B7"/>
    <w:rsid w:val="00456856"/>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0B09"/>
    <w:rsid w:val="00511079"/>
    <w:rsid w:val="00512829"/>
    <w:rsid w:val="00513839"/>
    <w:rsid w:val="0051423C"/>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47681"/>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829"/>
    <w:rsid w:val="006841C3"/>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37B6"/>
    <w:rsid w:val="006C4FC1"/>
    <w:rsid w:val="006C51A5"/>
    <w:rsid w:val="006C529D"/>
    <w:rsid w:val="006D0E6B"/>
    <w:rsid w:val="006D2146"/>
    <w:rsid w:val="006D4493"/>
    <w:rsid w:val="006D632E"/>
    <w:rsid w:val="006E094A"/>
    <w:rsid w:val="006E12B1"/>
    <w:rsid w:val="006E13D1"/>
    <w:rsid w:val="006E1C26"/>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CEE"/>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0AF3"/>
    <w:rsid w:val="007E25AB"/>
    <w:rsid w:val="007E79C5"/>
    <w:rsid w:val="007F0674"/>
    <w:rsid w:val="007F2845"/>
    <w:rsid w:val="007F43BC"/>
    <w:rsid w:val="007F4740"/>
    <w:rsid w:val="008006C6"/>
    <w:rsid w:val="00800C52"/>
    <w:rsid w:val="0080153E"/>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4FDC"/>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2CE8"/>
    <w:rsid w:val="008F47C6"/>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EC2"/>
    <w:rsid w:val="009213BD"/>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306"/>
    <w:rsid w:val="00996744"/>
    <w:rsid w:val="00997CF4"/>
    <w:rsid w:val="009A1169"/>
    <w:rsid w:val="009A3789"/>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974"/>
    <w:rsid w:val="00A42D07"/>
    <w:rsid w:val="00A436CB"/>
    <w:rsid w:val="00A450C0"/>
    <w:rsid w:val="00A45468"/>
    <w:rsid w:val="00A4791B"/>
    <w:rsid w:val="00A50A48"/>
    <w:rsid w:val="00A51242"/>
    <w:rsid w:val="00A51522"/>
    <w:rsid w:val="00A51573"/>
    <w:rsid w:val="00A51A5E"/>
    <w:rsid w:val="00A52895"/>
    <w:rsid w:val="00A53DA0"/>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6EA7"/>
    <w:rsid w:val="00A8771A"/>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639"/>
    <w:rsid w:val="00C15D8E"/>
    <w:rsid w:val="00C17012"/>
    <w:rsid w:val="00C178FB"/>
    <w:rsid w:val="00C257B7"/>
    <w:rsid w:val="00C272E8"/>
    <w:rsid w:val="00C27DFC"/>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4F4"/>
    <w:rsid w:val="00C75F2F"/>
    <w:rsid w:val="00C75FEE"/>
    <w:rsid w:val="00C7642F"/>
    <w:rsid w:val="00C76F1D"/>
    <w:rsid w:val="00C7706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74DF"/>
    <w:rsid w:val="00D87A12"/>
    <w:rsid w:val="00D87E43"/>
    <w:rsid w:val="00D930E1"/>
    <w:rsid w:val="00D9415C"/>
    <w:rsid w:val="00D942CC"/>
    <w:rsid w:val="00D94D87"/>
    <w:rsid w:val="00D962DC"/>
    <w:rsid w:val="00DA0232"/>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DEF"/>
    <w:rsid w:val="00EF1FCB"/>
    <w:rsid w:val="00EF21C3"/>
    <w:rsid w:val="00EF2E6B"/>
    <w:rsid w:val="00F0030E"/>
    <w:rsid w:val="00F00CD1"/>
    <w:rsid w:val="00F01D26"/>
    <w:rsid w:val="00F01E6B"/>
    <w:rsid w:val="00F0241C"/>
    <w:rsid w:val="00F05759"/>
    <w:rsid w:val="00F10CB9"/>
    <w:rsid w:val="00F110D5"/>
    <w:rsid w:val="00F12351"/>
    <w:rsid w:val="00F12F77"/>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5998"/>
    <w:rsid w:val="00F560FE"/>
    <w:rsid w:val="00F6111C"/>
    <w:rsid w:val="00F614C0"/>
    <w:rsid w:val="00F61647"/>
    <w:rsid w:val="00F657CF"/>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5902"/>
    <w:rsid w:val="00FC6238"/>
    <w:rsid w:val="00FD2599"/>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45F85F0-D027-4EF9-86DF-E93075C3E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3</Pages>
  <Words>880</Words>
  <Characters>5021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Nokia</cp:lastModifiedBy>
  <cp:revision>3</cp:revision>
  <cp:lastPrinted>2016-06-20T11:35:00Z</cp:lastPrinted>
  <dcterms:created xsi:type="dcterms:W3CDTF">2016-11-03T15:40:00Z</dcterms:created>
  <dcterms:modified xsi:type="dcterms:W3CDTF">2016-11-04T13:31:00Z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