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09F2C9AA"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74A6D">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F85F9C">
        <w:rPr>
          <w:rFonts w:ascii="Arial" w:hAnsi="Arial" w:cs="Arial"/>
          <w:b/>
          <w:sz w:val="24"/>
          <w:szCs w:val="24"/>
        </w:rPr>
        <w:t>166351</w:t>
      </w:r>
    </w:p>
    <w:p w14:paraId="26881B32" w14:textId="7C7AD719" w:rsidR="00D1303E" w:rsidRPr="00FD021C" w:rsidRDefault="00BD0CC9" w:rsidP="00D1303E">
      <w:pPr>
        <w:tabs>
          <w:tab w:val="right" w:pos="9630"/>
        </w:tabs>
        <w:spacing w:after="0"/>
        <w:jc w:val="both"/>
        <w:rPr>
          <w:rFonts w:ascii="Arial" w:hAnsi="Arial" w:cs="Arial"/>
          <w:b/>
          <w:sz w:val="24"/>
          <w:szCs w:val="24"/>
        </w:rPr>
      </w:pPr>
      <w:r>
        <w:rPr>
          <w:rFonts w:ascii="Arial" w:hAnsi="Arial" w:cs="Arial"/>
          <w:b/>
          <w:sz w:val="24"/>
          <w:szCs w:val="24"/>
        </w:rPr>
        <w:t>2</w:t>
      </w:r>
      <w:r w:rsidR="00874A6D">
        <w:rPr>
          <w:rFonts w:ascii="Arial" w:hAnsi="Arial" w:cs="Arial"/>
          <w:b/>
          <w:sz w:val="24"/>
          <w:szCs w:val="24"/>
        </w:rPr>
        <w:t>2</w:t>
      </w:r>
      <w:r w:rsidR="00874A6D">
        <w:rPr>
          <w:rFonts w:ascii="Arial" w:hAnsi="Arial" w:cs="Arial"/>
          <w:b/>
          <w:sz w:val="24"/>
          <w:szCs w:val="24"/>
          <w:vertAlign w:val="superscript"/>
        </w:rPr>
        <w:t>nd</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w:t>
      </w:r>
      <w:r w:rsidR="00874A6D">
        <w:rPr>
          <w:rFonts w:ascii="Arial" w:hAnsi="Arial" w:cs="Arial"/>
          <w:b/>
          <w:sz w:val="24"/>
          <w:szCs w:val="24"/>
        </w:rPr>
        <w:t>6</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874A6D">
        <w:rPr>
          <w:rFonts w:ascii="Arial" w:hAnsi="Arial" w:cs="Arial"/>
          <w:b/>
          <w:sz w:val="24"/>
          <w:szCs w:val="24"/>
        </w:rPr>
        <w:t>Aug</w:t>
      </w:r>
      <w:r w:rsidR="00CA6BDF">
        <w:rPr>
          <w:rFonts w:ascii="Arial" w:hAnsi="Arial" w:cs="Arial"/>
          <w:b/>
          <w:sz w:val="24"/>
          <w:szCs w:val="24"/>
        </w:rPr>
        <w:t xml:space="preserve"> 2016</w:t>
      </w:r>
    </w:p>
    <w:p w14:paraId="26881B33" w14:textId="17D058D1" w:rsidR="00D1303E" w:rsidRPr="00FD021C" w:rsidRDefault="00FF7B26" w:rsidP="00D1303E">
      <w:pPr>
        <w:spacing w:after="0"/>
        <w:jc w:val="both"/>
        <w:rPr>
          <w:rFonts w:ascii="Arial" w:hAnsi="Arial" w:cs="Arial"/>
          <w:b/>
          <w:sz w:val="24"/>
          <w:szCs w:val="24"/>
        </w:rPr>
      </w:pPr>
      <w:r>
        <w:rPr>
          <w:rFonts w:ascii="Arial" w:hAnsi="Arial" w:cs="Arial"/>
          <w:b/>
          <w:sz w:val="24"/>
          <w:szCs w:val="24"/>
        </w:rPr>
        <w:t>Gothenbu</w:t>
      </w:r>
      <w:r w:rsidR="00874A6D">
        <w:rPr>
          <w:rFonts w:ascii="Arial" w:hAnsi="Arial" w:cs="Arial"/>
          <w:b/>
          <w:sz w:val="24"/>
          <w:szCs w:val="24"/>
        </w:rPr>
        <w:t>rg</w:t>
      </w:r>
      <w:r w:rsidR="00CA6BDF" w:rsidRPr="00CA6BDF">
        <w:rPr>
          <w:rFonts w:ascii="Arial" w:hAnsi="Arial" w:cs="Arial"/>
          <w:b/>
          <w:sz w:val="24"/>
          <w:szCs w:val="24"/>
        </w:rPr>
        <w:t xml:space="preserve">, </w:t>
      </w:r>
      <w:r w:rsidR="00874A6D">
        <w:rPr>
          <w:rFonts w:ascii="Arial" w:hAnsi="Arial" w:cs="Arial"/>
          <w:b/>
          <w:sz w:val="24"/>
          <w:szCs w:val="24"/>
        </w:rPr>
        <w:t>Sweden</w:t>
      </w:r>
    </w:p>
    <w:p w14:paraId="26881B34" w14:textId="77777777" w:rsidR="0068226B" w:rsidRPr="000A64D8" w:rsidRDefault="0068226B" w:rsidP="00480B03">
      <w:pPr>
        <w:pStyle w:val="Footer"/>
        <w:jc w:val="both"/>
        <w:rPr>
          <w:noProof w:val="0"/>
        </w:rPr>
      </w:pPr>
    </w:p>
    <w:p w14:paraId="26881B35" w14:textId="0793D38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85F9C">
        <w:rPr>
          <w:rFonts w:ascii="Arial" w:hAnsi="Arial"/>
          <w:sz w:val="24"/>
        </w:rPr>
        <w:t>8</w:t>
      </w:r>
      <w:r w:rsidR="008A3FC5">
        <w:rPr>
          <w:rFonts w:ascii="Arial" w:hAnsi="Arial"/>
          <w:sz w:val="24"/>
        </w:rPr>
        <w:t>.1.</w:t>
      </w:r>
      <w:r w:rsidR="00F85F9C">
        <w:rPr>
          <w:rFonts w:ascii="Arial" w:hAnsi="Arial"/>
          <w:sz w:val="24"/>
        </w:rPr>
        <w:t>2</w:t>
      </w:r>
      <w:r w:rsidR="008A3FC5">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4AE0805E"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467F6">
        <w:rPr>
          <w:rFonts w:ascii="Arial" w:hAnsi="Arial"/>
          <w:sz w:val="24"/>
        </w:rPr>
        <w:t>Updated simulation assumptions for cases 3 and 4</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6A763D86" w:rsidR="004A0D01" w:rsidRDefault="004A0D01" w:rsidP="004A0D01">
      <w:pPr>
        <w:jc w:val="both"/>
        <w:rPr>
          <w:szCs w:val="22"/>
        </w:rPr>
      </w:pPr>
      <w:r w:rsidRPr="00300CDD">
        <w:rPr>
          <w:szCs w:val="22"/>
        </w:rPr>
        <w:t>In RAN</w:t>
      </w:r>
      <w:r w:rsidR="00BF29CE">
        <w:rPr>
          <w:szCs w:val="22"/>
        </w:rPr>
        <w:t xml:space="preserve">1 </w:t>
      </w:r>
      <w:r w:rsidRPr="00300CDD">
        <w:rPr>
          <w:szCs w:val="22"/>
        </w:rPr>
        <w:t>#</w:t>
      </w:r>
      <w:r w:rsidR="00BF29CE">
        <w:rPr>
          <w:szCs w:val="22"/>
        </w:rPr>
        <w:t>84b</w:t>
      </w:r>
      <w:r w:rsidRPr="00300CDD">
        <w:rPr>
          <w:szCs w:val="22"/>
        </w:rPr>
        <w:t xml:space="preserve">, </w:t>
      </w:r>
      <w:r w:rsidR="00697409">
        <w:rPr>
          <w:szCs w:val="22"/>
        </w:rPr>
        <w:t xml:space="preserve">several OFDM-based waveform candidates have been proposed for further evaluation in NR </w:t>
      </w:r>
      <w:r w:rsidR="00697409">
        <w:rPr>
          <w:szCs w:val="22"/>
        </w:rPr>
        <w:fldChar w:fldCharType="begin"/>
      </w:r>
      <w:r w:rsidR="00697409">
        <w:rPr>
          <w:szCs w:val="22"/>
        </w:rPr>
        <w:instrText xml:space="preserve"> REF _Ref450735844 \n \h </w:instrText>
      </w:r>
      <w:r w:rsidR="00697409">
        <w:rPr>
          <w:szCs w:val="22"/>
        </w:rPr>
      </w:r>
      <w:r w:rsidR="00697409">
        <w:rPr>
          <w:szCs w:val="22"/>
        </w:rPr>
        <w:fldChar w:fldCharType="separate"/>
      </w:r>
      <w:r w:rsidR="00697409">
        <w:rPr>
          <w:szCs w:val="22"/>
        </w:rPr>
        <w:t>[1]</w:t>
      </w:r>
      <w:r w:rsidR="00697409">
        <w:rPr>
          <w:szCs w:val="22"/>
        </w:rPr>
        <w:fldChar w:fldCharType="end"/>
      </w:r>
      <w:r w:rsidR="00697409">
        <w:rPr>
          <w:szCs w:val="22"/>
        </w:rPr>
        <w:t xml:space="preserve">. It was further </w:t>
      </w:r>
      <w:r w:rsidR="00965266">
        <w:rPr>
          <w:szCs w:val="22"/>
        </w:rPr>
        <w:t>agreed that a few</w:t>
      </w:r>
      <w:r w:rsidR="00697409">
        <w:rPr>
          <w:szCs w:val="22"/>
        </w:rPr>
        <w:t xml:space="preserve"> test cases </w:t>
      </w:r>
      <w:r w:rsidR="0039287E">
        <w:rPr>
          <w:szCs w:val="22"/>
        </w:rPr>
        <w:fldChar w:fldCharType="begin"/>
      </w:r>
      <w:r w:rsidR="0039287E">
        <w:rPr>
          <w:szCs w:val="22"/>
        </w:rPr>
        <w:instrText xml:space="preserve"> REF _Ref450736090 \n \h </w:instrText>
      </w:r>
      <w:r w:rsidR="0039287E">
        <w:rPr>
          <w:szCs w:val="22"/>
        </w:rPr>
      </w:r>
      <w:r w:rsidR="0039287E">
        <w:rPr>
          <w:szCs w:val="22"/>
        </w:rPr>
        <w:fldChar w:fldCharType="separate"/>
      </w:r>
      <w:r w:rsidR="0039287E">
        <w:rPr>
          <w:szCs w:val="22"/>
        </w:rPr>
        <w:t>[2</w:t>
      </w:r>
      <w:proofErr w:type="gramStart"/>
      <w:r w:rsidR="0039287E">
        <w:rPr>
          <w:szCs w:val="22"/>
        </w:rPr>
        <w:t>]</w:t>
      </w:r>
      <w:proofErr w:type="gramEnd"/>
      <w:r w:rsidR="0039287E">
        <w:rPr>
          <w:szCs w:val="22"/>
        </w:rPr>
        <w:fldChar w:fldCharType="end"/>
      </w:r>
      <w:r w:rsidR="0039287E">
        <w:rPr>
          <w:szCs w:val="22"/>
        </w:rPr>
        <w:fldChar w:fldCharType="begin"/>
      </w:r>
      <w:r w:rsidR="0039287E">
        <w:rPr>
          <w:szCs w:val="22"/>
        </w:rPr>
        <w:instrText xml:space="preserve"> REF _Ref450342762 \n \h </w:instrText>
      </w:r>
      <w:r w:rsidR="0039287E">
        <w:rPr>
          <w:szCs w:val="22"/>
        </w:rPr>
      </w:r>
      <w:r w:rsidR="0039287E">
        <w:rPr>
          <w:szCs w:val="22"/>
        </w:rPr>
        <w:fldChar w:fldCharType="separate"/>
      </w:r>
      <w:r w:rsidR="0039287E">
        <w:rPr>
          <w:szCs w:val="22"/>
        </w:rPr>
        <w:t>[3]</w:t>
      </w:r>
      <w:r w:rsidR="0039287E">
        <w:rPr>
          <w:szCs w:val="22"/>
        </w:rPr>
        <w:fldChar w:fldCharType="end"/>
      </w:r>
      <w:r w:rsidR="0039287E">
        <w:rPr>
          <w:szCs w:val="22"/>
        </w:rPr>
        <w:t xml:space="preserve"> could</w:t>
      </w:r>
      <w:r w:rsidR="00697409">
        <w:rPr>
          <w:szCs w:val="22"/>
        </w:rPr>
        <w:t xml:space="preserve"> be used as </w:t>
      </w:r>
      <w:r w:rsidR="0039287E">
        <w:rPr>
          <w:szCs w:val="22"/>
        </w:rPr>
        <w:t>common</w:t>
      </w:r>
      <w:r w:rsidR="00697409">
        <w:rPr>
          <w:szCs w:val="22"/>
        </w:rPr>
        <w:t xml:space="preserve"> platform for comparison across these candidates</w:t>
      </w:r>
      <w:r w:rsidR="00FB1DCE">
        <w:rPr>
          <w:szCs w:val="22"/>
        </w:rPr>
        <w:t>.</w:t>
      </w:r>
      <w:r w:rsidR="00E007C4">
        <w:rPr>
          <w:szCs w:val="22"/>
        </w:rPr>
        <w:t xml:space="preserve"> Specifically, test case 3</w:t>
      </w:r>
      <w:r w:rsidR="00965266">
        <w:rPr>
          <w:szCs w:val="22"/>
        </w:rPr>
        <w:t xml:space="preserve"> and 4 tried to model the </w:t>
      </w:r>
      <w:r w:rsidR="0039287E">
        <w:rPr>
          <w:szCs w:val="22"/>
        </w:rPr>
        <w:t xml:space="preserve">link level </w:t>
      </w:r>
      <w:r w:rsidR="00965266">
        <w:rPr>
          <w:szCs w:val="22"/>
        </w:rPr>
        <w:t>demodulation loss when there are strong close-by non-orthogonal interferers adjacent to the target user.</w:t>
      </w:r>
    </w:p>
    <w:p w14:paraId="09D7409D" w14:textId="77777777" w:rsidR="00AB472F" w:rsidRDefault="00965266" w:rsidP="004A0D01">
      <w:pPr>
        <w:jc w:val="both"/>
        <w:rPr>
          <w:szCs w:val="22"/>
        </w:rPr>
      </w:pPr>
      <w:r>
        <w:rPr>
          <w:szCs w:val="22"/>
        </w:rPr>
        <w:t xml:space="preserve">It should also be emphasized that other critical aspects of the waveform evaluation, such as </w:t>
      </w:r>
    </w:p>
    <w:p w14:paraId="2E07A23F" w14:textId="77777777" w:rsidR="00AB472F" w:rsidRDefault="00965266" w:rsidP="00AB472F">
      <w:pPr>
        <w:pStyle w:val="ListParagraph"/>
        <w:numPr>
          <w:ilvl w:val="0"/>
          <w:numId w:val="25"/>
        </w:numPr>
        <w:jc w:val="both"/>
      </w:pPr>
      <w:r w:rsidRPr="00AB472F">
        <w:t xml:space="preserve">the associated transmitter and receiver complexity, </w:t>
      </w:r>
    </w:p>
    <w:p w14:paraId="6415596A" w14:textId="77777777" w:rsidR="00AB472F" w:rsidRDefault="00965266" w:rsidP="00AB472F">
      <w:pPr>
        <w:pStyle w:val="ListParagraph"/>
        <w:numPr>
          <w:ilvl w:val="0"/>
          <w:numId w:val="25"/>
        </w:numPr>
        <w:jc w:val="both"/>
      </w:pPr>
      <w:r w:rsidRPr="00AB472F">
        <w:t xml:space="preserve">extra group delay, </w:t>
      </w:r>
    </w:p>
    <w:p w14:paraId="7B3A2357" w14:textId="77777777" w:rsidR="00AB472F" w:rsidRDefault="00965266" w:rsidP="00AB472F">
      <w:pPr>
        <w:pStyle w:val="ListParagraph"/>
        <w:numPr>
          <w:ilvl w:val="0"/>
          <w:numId w:val="25"/>
        </w:numPr>
        <w:jc w:val="both"/>
      </w:pPr>
      <w:r w:rsidRPr="00AB472F">
        <w:t xml:space="preserve">extra switching overhead in TDD deployment, </w:t>
      </w:r>
    </w:p>
    <w:p w14:paraId="2B6A0FD2" w14:textId="0F6BBC6E" w:rsidR="00965266" w:rsidRPr="00AB472F" w:rsidRDefault="00965266" w:rsidP="00AB472F">
      <w:pPr>
        <w:jc w:val="both"/>
      </w:pPr>
      <w:proofErr w:type="gramStart"/>
      <w:r w:rsidRPr="00AB472F">
        <w:t>are</w:t>
      </w:r>
      <w:proofErr w:type="gramEnd"/>
      <w:r w:rsidRPr="00AB472F">
        <w:t xml:space="preserve"> not </w:t>
      </w:r>
      <w:r w:rsidR="00AB472F">
        <w:t>explicitly evaluated</w:t>
      </w:r>
      <w:r w:rsidRPr="00AB472F">
        <w:t xml:space="preserve"> by</w:t>
      </w:r>
      <w:r w:rsidR="00AB472F">
        <w:t xml:space="preserve"> those evaluation test case</w:t>
      </w:r>
      <w:r w:rsidRPr="00AB472F">
        <w:t>.</w:t>
      </w:r>
      <w:r w:rsidR="0039287E">
        <w:t xml:space="preserve"> These other metrics not covered by the test cases are discussed in </w:t>
      </w:r>
      <w:r w:rsidR="008B0644">
        <w:fldChar w:fldCharType="begin"/>
      </w:r>
      <w:r w:rsidR="008B0644">
        <w:instrText xml:space="preserve"> REF _Ref458415953 \r \h </w:instrText>
      </w:r>
      <w:r w:rsidR="008B0644">
        <w:fldChar w:fldCharType="separate"/>
      </w:r>
      <w:r w:rsidR="008B0644">
        <w:t>[4]</w:t>
      </w:r>
      <w:r w:rsidR="008B0644">
        <w:fldChar w:fldCharType="end"/>
      </w:r>
      <w:r w:rsidR="008B0644">
        <w:t>.</w:t>
      </w:r>
    </w:p>
    <w:p w14:paraId="77816BCB" w14:textId="4F6986D8" w:rsidR="003570F9" w:rsidRDefault="003570F9" w:rsidP="003570F9">
      <w:pPr>
        <w:jc w:val="both"/>
        <w:rPr>
          <w:szCs w:val="22"/>
        </w:rPr>
      </w:pPr>
      <w:r>
        <w:rPr>
          <w:szCs w:val="22"/>
        </w:rPr>
        <w:t xml:space="preserve">In this contribution, we </w:t>
      </w:r>
      <w:r w:rsidR="00633A29">
        <w:rPr>
          <w:szCs w:val="22"/>
        </w:rPr>
        <w:t xml:space="preserve">provide </w:t>
      </w:r>
      <w:r w:rsidR="007A6EC4">
        <w:rPr>
          <w:szCs w:val="22"/>
        </w:rPr>
        <w:t xml:space="preserve">some further analysis of the simulation assumptions of test cases 3 and 4, and argue that some combinations, as well as the default listed parameters, may not represent the most typical deployment scenarios. Based on the analysis, we further suggest some </w:t>
      </w:r>
      <w:r w:rsidR="00332380">
        <w:rPr>
          <w:szCs w:val="22"/>
        </w:rPr>
        <w:t>extra constraints</w:t>
      </w:r>
      <w:r w:rsidR="007A6EC4">
        <w:rPr>
          <w:szCs w:val="22"/>
        </w:rPr>
        <w:t xml:space="preserve"> to</w:t>
      </w:r>
      <w:r w:rsidR="006D0D55">
        <w:rPr>
          <w:szCs w:val="22"/>
        </w:rPr>
        <w:t xml:space="preserve"> case 3 and 4 assumptions to</w:t>
      </w:r>
      <w:r w:rsidR="007A6EC4">
        <w:rPr>
          <w:szCs w:val="22"/>
        </w:rPr>
        <w:t xml:space="preserve"> better compare across different waveform proposals.</w:t>
      </w:r>
    </w:p>
    <w:p w14:paraId="26881B3C" w14:textId="795E035B" w:rsidR="00564597" w:rsidRDefault="00C92F0E" w:rsidP="00564597">
      <w:pPr>
        <w:pStyle w:val="Heading1"/>
      </w:pPr>
      <w:r>
        <w:t xml:space="preserve">Existing </w:t>
      </w:r>
      <w:r w:rsidR="006341FE">
        <w:t>Test description</w:t>
      </w:r>
    </w:p>
    <w:p w14:paraId="109ACC59" w14:textId="28EC5E97" w:rsidR="001B3143" w:rsidRDefault="001B3143" w:rsidP="001B3143">
      <w:pPr>
        <w:jc w:val="both"/>
      </w:pPr>
      <w:r>
        <w:rPr>
          <w:lang w:val="en-GB"/>
        </w:rPr>
        <w:t>Two multi-users</w:t>
      </w:r>
      <w:r w:rsidR="00D634ED">
        <w:rPr>
          <w:lang w:val="en-GB"/>
        </w:rPr>
        <w:t xml:space="preserve"> test cases, cases 3 and 4, </w:t>
      </w:r>
      <w:r>
        <w:rPr>
          <w:lang w:val="en-GB"/>
        </w:rPr>
        <w:t>were defined in RAN1 #84b</w:t>
      </w:r>
      <w:r w:rsidR="00D634ED">
        <w:rPr>
          <w:lang w:val="en-GB"/>
        </w:rPr>
        <w:t xml:space="preserve"> to focus on uplink deployment scenarios</w:t>
      </w:r>
      <w:r>
        <w:rPr>
          <w:lang w:val="en-GB"/>
        </w:rPr>
        <w:t>, for the p</w:t>
      </w:r>
      <w:r w:rsidR="00D634ED">
        <w:rPr>
          <w:lang w:val="en-GB"/>
        </w:rPr>
        <w:t>urpose evaluating impact from adjacent interferers for various waveform design:</w:t>
      </w:r>
    </w:p>
    <w:p w14:paraId="1D9E2FB3" w14:textId="4A09A18E" w:rsidR="001B3143" w:rsidRDefault="001B3143" w:rsidP="001B3143">
      <w:pPr>
        <w:numPr>
          <w:ilvl w:val="0"/>
          <w:numId w:val="19"/>
        </w:numPr>
        <w:jc w:val="both"/>
      </w:pPr>
      <w:r>
        <w:rPr>
          <w:b/>
        </w:rPr>
        <w:t>Case 3</w:t>
      </w:r>
      <w:r w:rsidR="00D634ED">
        <w:t>: same numerology asynchronous users, with fixed relative power offset</w:t>
      </w:r>
    </w:p>
    <w:p w14:paraId="5898B6CD" w14:textId="1089221C" w:rsidR="001B3143" w:rsidRDefault="001B3143" w:rsidP="001B3143">
      <w:pPr>
        <w:numPr>
          <w:ilvl w:val="0"/>
          <w:numId w:val="19"/>
        </w:numPr>
        <w:jc w:val="both"/>
      </w:pPr>
      <w:r>
        <w:rPr>
          <w:b/>
        </w:rPr>
        <w:t>Case 4</w:t>
      </w:r>
      <w:r w:rsidR="00D634ED">
        <w:t>: different numerology synchronous users, with fixed relative power offset</w:t>
      </w:r>
    </w:p>
    <w:p w14:paraId="75A9A8F7" w14:textId="04D0F169" w:rsidR="001B3143" w:rsidRDefault="001B3143" w:rsidP="001B3143">
      <w:pPr>
        <w:jc w:val="both"/>
      </w:pPr>
      <w:r>
        <w:t xml:space="preserve">Block diagrams of these two modes are illustrated in </w:t>
      </w:r>
      <w:r>
        <w:fldChar w:fldCharType="begin"/>
      </w:r>
      <w:r>
        <w:instrText xml:space="preserve"> REF _Ref450484425 \h </w:instrText>
      </w:r>
      <w:r>
        <w:fldChar w:fldCharType="separate"/>
      </w:r>
      <w:r>
        <w:t xml:space="preserve">Figure </w:t>
      </w:r>
      <w:r>
        <w:rPr>
          <w:noProof/>
        </w:rPr>
        <w:t>1</w:t>
      </w:r>
      <w:r>
        <w:fldChar w:fldCharType="end"/>
      </w:r>
      <w:r>
        <w:t>. More detailed simulation descriptions (as agreed in RAN1 #84b) are also included in</w:t>
      </w:r>
      <w:r w:rsidR="00332380">
        <w:t xml:space="preserve"> </w:t>
      </w:r>
      <w:r w:rsidR="00332380">
        <w:fldChar w:fldCharType="begin"/>
      </w:r>
      <w:r w:rsidR="00332380">
        <w:instrText xml:space="preserve"> REF _Ref458777702 \h </w:instrText>
      </w:r>
      <w:r w:rsidR="00332380">
        <w:fldChar w:fldCharType="separate"/>
      </w:r>
      <w:r w:rsidR="00332380">
        <w:t xml:space="preserve">Table </w:t>
      </w:r>
      <w:r w:rsidR="00332380">
        <w:rPr>
          <w:noProof/>
        </w:rPr>
        <w:t>1</w:t>
      </w:r>
      <w:r w:rsidR="00332380">
        <w:fldChar w:fldCharType="end"/>
      </w:r>
      <w:r w:rsidR="00332380">
        <w:t>.</w:t>
      </w:r>
    </w:p>
    <w:p w14:paraId="08C40B69" w14:textId="77777777" w:rsidR="001B3143" w:rsidRDefault="001B3143" w:rsidP="001B3143">
      <w:pPr>
        <w:jc w:val="center"/>
      </w:pPr>
      <w:r w:rsidRPr="005373A3">
        <w:rPr>
          <w:noProof/>
        </w:rPr>
        <w:lastRenderedPageBreak/>
        <w:drawing>
          <wp:inline distT="0" distB="0" distL="0" distR="0" wp14:anchorId="2E825959" wp14:editId="59AA80F9">
            <wp:extent cx="4434840" cy="184708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34840" cy="1847088"/>
                    </a:xfrm>
                    <a:prstGeom prst="rect">
                      <a:avLst/>
                    </a:prstGeom>
                    <a:noFill/>
                    <a:ln>
                      <a:noFill/>
                    </a:ln>
                  </pic:spPr>
                </pic:pic>
              </a:graphicData>
            </a:graphic>
          </wp:inline>
        </w:drawing>
      </w:r>
    </w:p>
    <w:p w14:paraId="63F68266" w14:textId="77777777" w:rsidR="001B3143" w:rsidRDefault="001B3143" w:rsidP="001B3143">
      <w:pPr>
        <w:pStyle w:val="Caption"/>
        <w:jc w:val="center"/>
      </w:pPr>
      <w:bookmarkStart w:id="2" w:name="_Ref450484425"/>
      <w:r>
        <w:t xml:space="preserve">Figure </w:t>
      </w:r>
      <w:r w:rsidR="00FB030B">
        <w:fldChar w:fldCharType="begin"/>
      </w:r>
      <w:r w:rsidR="00FB030B">
        <w:instrText xml:space="preserve"> SEQ Figure \* ARABIC </w:instrText>
      </w:r>
      <w:r w:rsidR="00FB030B">
        <w:fldChar w:fldCharType="separate"/>
      </w:r>
      <w:r w:rsidR="001A4301">
        <w:rPr>
          <w:noProof/>
        </w:rPr>
        <w:t>1</w:t>
      </w:r>
      <w:r w:rsidR="00FB030B">
        <w:rPr>
          <w:noProof/>
        </w:rPr>
        <w:fldChar w:fldCharType="end"/>
      </w:r>
      <w:bookmarkEnd w:id="2"/>
      <w:r>
        <w:t xml:space="preserve"> Test case 3: uplink asynchronous </w:t>
      </w:r>
      <w:proofErr w:type="spellStart"/>
      <w:r>
        <w:t>interfers</w:t>
      </w:r>
      <w:proofErr w:type="spellEnd"/>
    </w:p>
    <w:p w14:paraId="02F5794C" w14:textId="77777777" w:rsidR="001B3143" w:rsidRDefault="001B3143" w:rsidP="001B3143">
      <w:pPr>
        <w:jc w:val="center"/>
      </w:pPr>
      <w:r w:rsidRPr="005373A3">
        <w:rPr>
          <w:noProof/>
        </w:rPr>
        <w:drawing>
          <wp:inline distT="0" distB="0" distL="0" distR="0" wp14:anchorId="7D22C1E5" wp14:editId="39756E8B">
            <wp:extent cx="4919472" cy="2103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9472" cy="2103120"/>
                    </a:xfrm>
                    <a:prstGeom prst="rect">
                      <a:avLst/>
                    </a:prstGeom>
                    <a:noFill/>
                    <a:ln>
                      <a:noFill/>
                    </a:ln>
                  </pic:spPr>
                </pic:pic>
              </a:graphicData>
            </a:graphic>
          </wp:inline>
        </w:drawing>
      </w:r>
    </w:p>
    <w:p w14:paraId="1E3AFDDA" w14:textId="77777777" w:rsidR="001B3143" w:rsidRDefault="001B3143" w:rsidP="001B3143">
      <w:pPr>
        <w:pStyle w:val="Caption"/>
        <w:jc w:val="center"/>
      </w:pPr>
      <w:bookmarkStart w:id="3" w:name="_Ref458340295"/>
      <w:r>
        <w:t xml:space="preserve">Figure </w:t>
      </w:r>
      <w:r w:rsidR="00FB030B">
        <w:fldChar w:fldCharType="begin"/>
      </w:r>
      <w:r w:rsidR="00FB030B">
        <w:instrText xml:space="preserve"> SEQ Figure \* ARABIC </w:instrText>
      </w:r>
      <w:r w:rsidR="00FB030B">
        <w:fldChar w:fldCharType="separate"/>
      </w:r>
      <w:r w:rsidR="001A4301">
        <w:rPr>
          <w:noProof/>
        </w:rPr>
        <w:t>2</w:t>
      </w:r>
      <w:r w:rsidR="00FB030B">
        <w:rPr>
          <w:noProof/>
        </w:rPr>
        <w:fldChar w:fldCharType="end"/>
      </w:r>
      <w:bookmarkEnd w:id="3"/>
      <w:r>
        <w:t xml:space="preserve"> Test case 4: uplink synchronous interferes with different numerologies</w:t>
      </w:r>
    </w:p>
    <w:p w14:paraId="5829523D" w14:textId="77777777" w:rsidR="001B3143" w:rsidRDefault="001B3143" w:rsidP="001B3143"/>
    <w:p w14:paraId="4444C7ED" w14:textId="77777777" w:rsidR="001B3143" w:rsidRDefault="001B3143" w:rsidP="001B3143">
      <w:pPr>
        <w:pStyle w:val="Caption"/>
        <w:jc w:val="center"/>
      </w:pPr>
      <w:bookmarkStart w:id="4" w:name="_Ref458777702"/>
      <w:r>
        <w:t xml:space="preserve">Table </w:t>
      </w:r>
      <w:r w:rsidR="00FB030B">
        <w:fldChar w:fldCharType="begin"/>
      </w:r>
      <w:r w:rsidR="00FB030B">
        <w:instrText xml:space="preserve"> SEQ Table \* ARABIC </w:instrText>
      </w:r>
      <w:r w:rsidR="00FB030B">
        <w:fldChar w:fldCharType="separate"/>
      </w:r>
      <w:r>
        <w:rPr>
          <w:noProof/>
        </w:rPr>
        <w:t>1</w:t>
      </w:r>
      <w:r w:rsidR="00FB030B">
        <w:rPr>
          <w:noProof/>
        </w:rPr>
        <w:fldChar w:fldCharType="end"/>
      </w:r>
      <w:bookmarkEnd w:id="4"/>
      <w:r>
        <w:t xml:space="preserve"> Test parameters</w:t>
      </w:r>
    </w:p>
    <w:tbl>
      <w:tblPr>
        <w:tblpPr w:leftFromText="180" w:rightFromText="180" w:vertAnchor="text" w:horzAnchor="margin" w:tblpXSpec="center" w:tblpY="90"/>
        <w:tblW w:w="9800" w:type="dxa"/>
        <w:tblCellMar>
          <w:left w:w="0" w:type="dxa"/>
          <w:right w:w="0" w:type="dxa"/>
        </w:tblCellMar>
        <w:tblLook w:val="04A0" w:firstRow="1" w:lastRow="0" w:firstColumn="1" w:lastColumn="0" w:noHBand="0" w:noVBand="1"/>
      </w:tblPr>
      <w:tblGrid>
        <w:gridCol w:w="3140"/>
        <w:gridCol w:w="6660"/>
      </w:tblGrid>
      <w:tr w:rsidR="001B3143" w:rsidRPr="00AF16CC" w14:paraId="3C78D366" w14:textId="77777777" w:rsidTr="00332380">
        <w:trPr>
          <w:trHeight w:val="329"/>
        </w:trPr>
        <w:tc>
          <w:tcPr>
            <w:tcW w:w="3140" w:type="dxa"/>
            <w:tcBorders>
              <w:top w:val="single" w:sz="8" w:space="0" w:color="000000"/>
              <w:left w:val="single" w:sz="8" w:space="0" w:color="000000"/>
              <w:bottom w:val="single" w:sz="8" w:space="0" w:color="000000"/>
              <w:right w:val="single" w:sz="8" w:space="0" w:color="000000"/>
            </w:tcBorders>
            <w:shd w:val="clear" w:color="auto" w:fill="000000"/>
            <w:tcMar>
              <w:top w:w="11" w:type="dxa"/>
              <w:left w:w="95" w:type="dxa"/>
              <w:bottom w:w="0" w:type="dxa"/>
              <w:right w:w="95" w:type="dxa"/>
            </w:tcMar>
            <w:vAlign w:val="center"/>
            <w:hideMark/>
          </w:tcPr>
          <w:p w14:paraId="1DB699CE"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FFFFFF" w:themeColor="background1"/>
                <w:kern w:val="24"/>
              </w:rPr>
              <w:t>Assumptions</w:t>
            </w:r>
          </w:p>
        </w:tc>
        <w:tc>
          <w:tcPr>
            <w:tcW w:w="6660" w:type="dxa"/>
            <w:tcBorders>
              <w:top w:val="single" w:sz="8" w:space="0" w:color="000000"/>
              <w:left w:val="single" w:sz="8" w:space="0" w:color="000000"/>
              <w:bottom w:val="single" w:sz="8" w:space="0" w:color="000000"/>
              <w:right w:val="single" w:sz="8" w:space="0" w:color="000000"/>
            </w:tcBorders>
            <w:shd w:val="clear" w:color="auto" w:fill="000000"/>
            <w:tcMar>
              <w:top w:w="11" w:type="dxa"/>
              <w:left w:w="95" w:type="dxa"/>
              <w:bottom w:w="0" w:type="dxa"/>
              <w:right w:w="95" w:type="dxa"/>
            </w:tcMar>
            <w:vAlign w:val="center"/>
            <w:hideMark/>
          </w:tcPr>
          <w:p w14:paraId="01372AFD"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FFFFFF" w:themeColor="background1"/>
                <w:kern w:val="24"/>
              </w:rPr>
              <w:t>Value</w:t>
            </w:r>
          </w:p>
        </w:tc>
      </w:tr>
      <w:tr w:rsidR="001B3143" w:rsidRPr="00AF16CC" w14:paraId="27AD9C4F" w14:textId="77777777" w:rsidTr="00332380">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0252BF56"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Carrier frequency</w:t>
            </w:r>
            <w:r w:rsidRPr="00AF16CC">
              <w:rPr>
                <w:color w:val="000000" w:themeColor="text1"/>
                <w:kern w:val="24"/>
              </w:rPr>
              <w:t xml:space="preserve"> </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3B82E590"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4GHz </w:t>
            </w:r>
          </w:p>
        </w:tc>
      </w:tr>
      <w:tr w:rsidR="001B3143" w:rsidRPr="00AF16CC" w14:paraId="0329E418" w14:textId="77777777" w:rsidTr="00332380">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4A5248C2"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Duplex</w:t>
            </w:r>
            <w:r w:rsidRPr="00AF16CC">
              <w:rPr>
                <w:color w:val="000000" w:themeColor="text1"/>
                <w:kern w:val="24"/>
              </w:rPr>
              <w:t xml:space="preserve"> </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51BE0DF2"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FDD /TDD </w:t>
            </w:r>
          </w:p>
        </w:tc>
      </w:tr>
      <w:tr w:rsidR="001B3143" w:rsidRPr="00AF16CC" w14:paraId="6DE81076" w14:textId="77777777" w:rsidTr="00332380">
        <w:trPr>
          <w:trHeight w:val="359"/>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792024C3"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proofErr w:type="spellStart"/>
            <w:r w:rsidRPr="00AF16CC">
              <w:rPr>
                <w:b/>
                <w:bCs/>
                <w:color w:val="000000" w:themeColor="text1"/>
                <w:kern w:val="24"/>
              </w:rPr>
              <w:t>Subframe</w:t>
            </w:r>
            <w:proofErr w:type="spellEnd"/>
            <w:r w:rsidRPr="00AF16CC">
              <w:rPr>
                <w:b/>
                <w:bCs/>
                <w:color w:val="000000" w:themeColor="text1"/>
                <w:kern w:val="24"/>
              </w:rPr>
              <w:t xml:space="preserve"> duration </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vAlign w:val="center"/>
            <w:hideMark/>
          </w:tcPr>
          <w:p w14:paraId="612F47F3"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1 </w:t>
            </w:r>
            <w:proofErr w:type="spellStart"/>
            <w:r w:rsidRPr="00AF16CC">
              <w:rPr>
                <w:color w:val="000000" w:themeColor="text1"/>
                <w:kern w:val="24"/>
              </w:rPr>
              <w:t>ms</w:t>
            </w:r>
            <w:proofErr w:type="spellEnd"/>
            <w:r w:rsidRPr="00AF16CC">
              <w:rPr>
                <w:color w:val="000000" w:themeColor="text1"/>
                <w:kern w:val="24"/>
              </w:rPr>
              <w:t xml:space="preserve"> as baseline, other duration is FFS (short duration could be considered) </w:t>
            </w:r>
          </w:p>
        </w:tc>
      </w:tr>
      <w:tr w:rsidR="001B3143" w:rsidRPr="00AF16CC" w14:paraId="72EFBCB3" w14:textId="77777777" w:rsidTr="00332380">
        <w:trPr>
          <w:trHeight w:val="483"/>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7ACC813D"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 xml:space="preserve">Subcarrier spacing </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vAlign w:val="center"/>
            <w:hideMark/>
          </w:tcPr>
          <w:p w14:paraId="12870377"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Case  3: 15KHz as baseline, </w:t>
            </w:r>
          </w:p>
          <w:p w14:paraId="609C9AE9"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Case 4: Target UE: 15KHz; Interferer pair: {30KHz</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30KHz</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{7.5KHz, 7.5KHz} other value for interferers is not precluded.</w:t>
            </w:r>
          </w:p>
        </w:tc>
      </w:tr>
      <w:tr w:rsidR="001B3143" w:rsidRPr="00AF16CC" w14:paraId="25618CCD" w14:textId="77777777" w:rsidTr="00332380">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722719FB"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Guard time interval</w:t>
            </w:r>
            <w:r w:rsidRPr="00AF16CC">
              <w:rPr>
                <w:color w:val="000000" w:themeColor="text1"/>
                <w:kern w:val="24"/>
              </w:rPr>
              <w:t xml:space="preserve"> </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vAlign w:val="center"/>
            <w:hideMark/>
          </w:tcPr>
          <w:p w14:paraId="611CB53B"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6.7% overhead as baseline, other interval is FFS (depend on numerology progress )</w:t>
            </w:r>
          </w:p>
        </w:tc>
      </w:tr>
      <w:tr w:rsidR="001B3143" w:rsidRPr="00AF16CC" w14:paraId="39940EBF" w14:textId="77777777" w:rsidTr="00332380">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2A634B52"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System bandwidth &amp; FFT size</w:t>
            </w:r>
            <w:r w:rsidRPr="00AF16CC">
              <w:rPr>
                <w:color w:val="000000" w:themeColor="text1"/>
                <w:kern w:val="24"/>
              </w:rPr>
              <w:t xml:space="preserve"> </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3E4D6121"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10 MHz, 1024 for 15KHz subcarrier spacing </w:t>
            </w:r>
          </w:p>
        </w:tc>
      </w:tr>
      <w:tr w:rsidR="001B3143" w:rsidRPr="00AF16CC" w14:paraId="25245ABB" w14:textId="77777777" w:rsidTr="00332380">
        <w:trPr>
          <w:trHeight w:val="1456"/>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0006947A"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UE bandwidth (data transmission bandwidth plus guard tone  bandwidth of the desired UE)</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177AACB1"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Case3:  -720 KHz (48 Subcarriers per user allocated for both target UE and interferer UEs) </w:t>
            </w:r>
          </w:p>
          <w:p w14:paraId="583FC7C2"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Case4:</w:t>
            </w:r>
          </w:p>
          <w:p w14:paraId="21DF5396"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     Config1</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Target UE:          - 720KHz (48 Subcarrier allocated)</w:t>
            </w:r>
          </w:p>
          <w:p w14:paraId="0F96574B"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                          Interferer users:  - 720KHz (per UE) </w:t>
            </w:r>
          </w:p>
          <w:p w14:paraId="159F9BC2"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     Config2:       Target UE:         - 2880KHz (192 subcarrier allocated)</w:t>
            </w:r>
          </w:p>
          <w:p w14:paraId="27272E34"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                          Interferer users:  -2880KHz (per  UE)</w:t>
            </w:r>
          </w:p>
        </w:tc>
      </w:tr>
      <w:tr w:rsidR="001B3143" w:rsidRPr="00AF16CC" w14:paraId="02E61955" w14:textId="77777777" w:rsidTr="00332380">
        <w:trPr>
          <w:trHeight w:val="331"/>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7EB9899A"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Bandwidth of guard tones between neighboring UEs</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2EE0D8B3"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{0, 15, 30, 45, 60</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90, 120, 180}KHz</w:t>
            </w:r>
          </w:p>
        </w:tc>
      </w:tr>
      <w:tr w:rsidR="001B3143" w:rsidRPr="00AF16CC" w14:paraId="008B3BB8" w14:textId="77777777" w:rsidTr="00332380">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50667E3C"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lastRenderedPageBreak/>
              <w:t>Number of uplink users</w:t>
            </w:r>
            <w:r w:rsidRPr="00AF16CC">
              <w:rPr>
                <w:color w:val="000000" w:themeColor="text1"/>
                <w:kern w:val="24"/>
              </w:rPr>
              <w:t xml:space="preserve"> </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0705B206"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3 (1 target user and 2 interferer users) </w:t>
            </w:r>
          </w:p>
        </w:tc>
      </w:tr>
      <w:tr w:rsidR="001B3143" w:rsidRPr="00AF16CC" w14:paraId="6B9FA400" w14:textId="77777777" w:rsidTr="00332380">
        <w:trPr>
          <w:trHeight w:val="291"/>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787EA369"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Power offset of the interferer user</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2D4FDB5F"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0 dB, 5 dB, 10 dB</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20 dB</w:t>
            </w:r>
          </w:p>
        </w:tc>
      </w:tr>
      <w:tr w:rsidR="001B3143" w:rsidRPr="00AF16CC" w14:paraId="6F4A22B5" w14:textId="77777777" w:rsidTr="00332380">
        <w:trPr>
          <w:trHeight w:val="280"/>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666381B1"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Antenna configuration</w:t>
            </w:r>
            <w:r w:rsidRPr="00AF16CC">
              <w:rPr>
                <w:color w:val="000000" w:themeColor="text1"/>
                <w:kern w:val="24"/>
              </w:rPr>
              <w:t xml:space="preserve"> </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12736082"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1T1R</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position w:val="6"/>
                <w:vertAlign w:val="superscript"/>
              </w:rPr>
              <w:t xml:space="preserve"> </w:t>
            </w:r>
            <w:r w:rsidRPr="00AF16CC">
              <w:rPr>
                <w:color w:val="000000" w:themeColor="text1"/>
                <w:kern w:val="24"/>
              </w:rPr>
              <w:t>, other configuration that captures MIMO aspect is TBD</w:t>
            </w:r>
          </w:p>
        </w:tc>
      </w:tr>
      <w:tr w:rsidR="001B3143" w:rsidRPr="00AF16CC" w14:paraId="5D12AB20" w14:textId="77777777" w:rsidTr="00332380">
        <w:trPr>
          <w:trHeight w:val="702"/>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0A225E89"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MIMO mode</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63916D15"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If companies bring results for MIMO, it is recommended to use at least one constant modulus precoding scheme. Companies need to provide their CSI and precoding assumptions for MIMO evaluations. MIMO correlation matrices should be low correlation (i.e. uncorrelated) for RAN1#86 in case of MIMO simulations.</w:t>
            </w:r>
          </w:p>
        </w:tc>
      </w:tr>
      <w:tr w:rsidR="001B3143" w:rsidRPr="00AF16CC" w14:paraId="2EC9F86F" w14:textId="77777777" w:rsidTr="00332380">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303BC511"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MCS</w:t>
            </w:r>
            <w:r w:rsidRPr="00AF16CC">
              <w:rPr>
                <w:color w:val="000000" w:themeColor="text1"/>
                <w:kern w:val="24"/>
              </w:rPr>
              <w:t xml:space="preserve"> </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0003D9DF"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Fixed. 16QAM: 1/2 or 2/3;  64QAM: 1/2</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xml:space="preserve"> or 3/4; other is not precluded</w:t>
            </w:r>
          </w:p>
        </w:tc>
      </w:tr>
      <w:tr w:rsidR="001B3143" w:rsidRPr="00AF16CC" w14:paraId="6E1EAA90" w14:textId="77777777" w:rsidTr="00332380">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154C8B8D"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 xml:space="preserve">Control  overhead </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vAlign w:val="center"/>
            <w:hideMark/>
          </w:tcPr>
          <w:p w14:paraId="34925DA1"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Zero</w:t>
            </w:r>
          </w:p>
        </w:tc>
      </w:tr>
      <w:tr w:rsidR="001B3143" w:rsidRPr="00AF16CC" w14:paraId="0505BBC6" w14:textId="77777777" w:rsidTr="00332380">
        <w:trPr>
          <w:trHeight w:val="483"/>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298239EE"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Time offset of interfering user</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03F53901"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Case 3: fixed offset {0, 128</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xml:space="preserve">, 512} samples (for 15 KHz subcarrier spacing with 1024 FFT size) </w:t>
            </w:r>
          </w:p>
          <w:p w14:paraId="71989129"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Case 4: 0</w:t>
            </w:r>
          </w:p>
        </w:tc>
      </w:tr>
      <w:tr w:rsidR="001B3143" w:rsidRPr="00AF16CC" w14:paraId="6979EB8D" w14:textId="77777777" w:rsidTr="00332380">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vAlign w:val="center"/>
            <w:hideMark/>
          </w:tcPr>
          <w:p w14:paraId="4801415E"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 xml:space="preserve">Channel estimation </w:t>
            </w:r>
            <w:r w:rsidRPr="00AF16CC">
              <w:rPr>
                <w:rFonts w:eastAsia="Times New Roman" w:cs="SimSun"/>
                <w:b/>
                <w:bCs/>
                <w:color w:val="000000" w:themeColor="text1"/>
                <w:kern w:val="2"/>
              </w:rPr>
              <w:t>*</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vAlign w:val="center"/>
            <w:hideMark/>
          </w:tcPr>
          <w:p w14:paraId="733593F4"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Ideal</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realistic</w:t>
            </w:r>
          </w:p>
        </w:tc>
      </w:tr>
      <w:tr w:rsidR="001B3143" w:rsidRPr="00AF16CC" w14:paraId="646EE5EA" w14:textId="77777777" w:rsidTr="00332380">
        <w:trPr>
          <w:trHeight w:val="1664"/>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054E806E"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 xml:space="preserve">Channel model  </w:t>
            </w:r>
            <w:r w:rsidRPr="00AF16CC">
              <w:rPr>
                <w:rFonts w:eastAsia="Times New Roman" w:cs="SimSun"/>
                <w:b/>
                <w:bCs/>
                <w:color w:val="000000" w:themeColor="text1"/>
                <w:kern w:val="2"/>
              </w:rPr>
              <w:t>**</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vAlign w:val="center"/>
            <w:hideMark/>
          </w:tcPr>
          <w:p w14:paraId="2FA1A745"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TDL model </w:t>
            </w:r>
          </w:p>
          <w:p w14:paraId="679ADB74" w14:textId="77777777" w:rsidR="001B3143" w:rsidRPr="00AF16CC" w:rsidRDefault="001B3143" w:rsidP="00A757DC">
            <w:pPr>
              <w:numPr>
                <w:ilvl w:val="0"/>
                <w:numId w:val="23"/>
              </w:numPr>
              <w:overflowPunct/>
              <w:autoSpaceDE/>
              <w:autoSpaceDN/>
              <w:adjustRightInd/>
              <w:spacing w:after="0"/>
              <w:ind w:left="1166"/>
              <w:contextualSpacing/>
              <w:jc w:val="both"/>
              <w:textAlignment w:val="auto"/>
              <w:rPr>
                <w:rFonts w:ascii="Arial" w:eastAsia="Times New Roman" w:hAnsi="Arial" w:cs="Arial"/>
                <w:szCs w:val="36"/>
              </w:rPr>
            </w:pPr>
            <w:r w:rsidRPr="00AF16CC">
              <w:rPr>
                <w:color w:val="000000" w:themeColor="text1"/>
                <w:kern w:val="24"/>
              </w:rPr>
              <w:t>All values of DS {10, 30, 100, 300, 1000} ns are evaluated with the selected TDL-DS combinations, i.e. TDL-A for DS {10</w:t>
            </w:r>
            <w:proofErr w:type="gramStart"/>
            <w:r w:rsidRPr="00AF16CC">
              <w:rPr>
                <w:color w:val="000000" w:themeColor="text1"/>
                <w:kern w:val="24"/>
              </w:rPr>
              <w:t>,30</w:t>
            </w:r>
            <w:proofErr w:type="gramEnd"/>
            <w:r w:rsidRPr="00AF16CC">
              <w:rPr>
                <w:color w:val="000000" w:themeColor="text1"/>
                <w:kern w:val="24"/>
              </w:rPr>
              <w:t>}ns, TDL-B for DS {100 }ns, TDL-C for DS {300</w:t>
            </w:r>
            <w:r w:rsidRPr="00AF16CC">
              <w:rPr>
                <w:rFonts w:ascii="MS Gothic" w:hAnsi="MS Gothic" w:cs="MS Gothic"/>
                <w:color w:val="000000" w:themeColor="text1"/>
                <w:kern w:val="24"/>
                <w:position w:val="6"/>
                <w:vertAlign w:val="superscript"/>
              </w:rPr>
              <w:t>※</w:t>
            </w:r>
            <w:r w:rsidRPr="00AF16CC">
              <w:rPr>
                <w:color w:val="000000" w:themeColor="text1"/>
                <w:kern w:val="24"/>
              </w:rPr>
              <w:t>,1000}ns. Companies are allowed to choose additional combination(s) of other DS values and TDL–A and/or TDL-C in TR38.900.</w:t>
            </w:r>
          </w:p>
          <w:p w14:paraId="3AE1E5BB"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ETU/EVA/EPA are optional.</w:t>
            </w:r>
          </w:p>
          <w:p w14:paraId="073702B1" w14:textId="77777777" w:rsidR="001B3143" w:rsidRPr="00AF16CC" w:rsidRDefault="001B3143" w:rsidP="00A757DC">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Mobility: 3km/h</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xml:space="preserve"> or 30 km/h or 120 km/h, higher speed is not precluded.</w:t>
            </w:r>
          </w:p>
        </w:tc>
      </w:tr>
    </w:tbl>
    <w:p w14:paraId="0D7722E5" w14:textId="77777777" w:rsidR="001B3143" w:rsidRDefault="001B3143" w:rsidP="001B3143">
      <w:pPr>
        <w:jc w:val="both"/>
      </w:pPr>
    </w:p>
    <w:p w14:paraId="27111E5B" w14:textId="057EEBF9" w:rsidR="00955394" w:rsidRDefault="00955394" w:rsidP="00E168E5">
      <w:pPr>
        <w:jc w:val="both"/>
      </w:pPr>
    </w:p>
    <w:p w14:paraId="2144C482" w14:textId="75E135A9" w:rsidR="00C73C1B" w:rsidRPr="00F61A22" w:rsidRDefault="00C73C1B" w:rsidP="00AF0311">
      <w:pPr>
        <w:jc w:val="both"/>
        <w:rPr>
          <w:b/>
        </w:rPr>
      </w:pPr>
    </w:p>
    <w:p w14:paraId="61086AF9" w14:textId="0CAE5A1F" w:rsidR="00160BEB" w:rsidRDefault="00713885" w:rsidP="00160BEB">
      <w:pPr>
        <w:pStyle w:val="Heading1"/>
      </w:pPr>
      <w:r>
        <w:t>Further considerations of simulation assumption</w:t>
      </w:r>
    </w:p>
    <w:p w14:paraId="5C19510F" w14:textId="62AC8B8D" w:rsidR="00E048DD" w:rsidRDefault="00713885" w:rsidP="00E048DD">
      <w:pPr>
        <w:pStyle w:val="Heading2"/>
      </w:pPr>
      <w:r>
        <w:t>Number of receiver antennas</w:t>
      </w:r>
    </w:p>
    <w:p w14:paraId="43B3C580" w14:textId="6FA05A59" w:rsidR="00713885" w:rsidRDefault="00713885" w:rsidP="00713885">
      <w:pPr>
        <w:rPr>
          <w:lang w:val="en-GB"/>
        </w:rPr>
      </w:pPr>
      <w:r>
        <w:rPr>
          <w:lang w:val="en-GB"/>
        </w:rPr>
        <w:t xml:space="preserve">Since case 3 and 4 are mainly targeting uplink scenarios, as shown in </w:t>
      </w:r>
      <w:r>
        <w:rPr>
          <w:lang w:val="en-GB"/>
        </w:rPr>
        <w:fldChar w:fldCharType="begin"/>
      </w:r>
      <w:r>
        <w:rPr>
          <w:lang w:val="en-GB"/>
        </w:rPr>
        <w:instrText xml:space="preserve"> REF _Ref450484425 \h </w:instrText>
      </w:r>
      <w:r>
        <w:rPr>
          <w:lang w:val="en-GB"/>
        </w:rPr>
      </w:r>
      <w:r>
        <w:rPr>
          <w:lang w:val="en-GB"/>
        </w:rPr>
        <w:fldChar w:fldCharType="separate"/>
      </w:r>
      <w:r>
        <w:t xml:space="preserve">Figure </w:t>
      </w:r>
      <w:r>
        <w:rPr>
          <w:noProof/>
        </w:rPr>
        <w:t>1</w:t>
      </w:r>
      <w:r>
        <w:rPr>
          <w:lang w:val="en-GB"/>
        </w:rPr>
        <w:fldChar w:fldCharType="end"/>
      </w:r>
      <w:r>
        <w:rPr>
          <w:lang w:val="en-GB"/>
        </w:rPr>
        <w:t xml:space="preserve"> and </w:t>
      </w:r>
      <w:r>
        <w:rPr>
          <w:lang w:val="en-GB"/>
        </w:rPr>
        <w:fldChar w:fldCharType="begin"/>
      </w:r>
      <w:r>
        <w:rPr>
          <w:lang w:val="en-GB"/>
        </w:rPr>
        <w:instrText xml:space="preserve"> REF _Ref458340295 \h </w:instrText>
      </w:r>
      <w:r>
        <w:rPr>
          <w:lang w:val="en-GB"/>
        </w:rPr>
      </w:r>
      <w:r>
        <w:rPr>
          <w:lang w:val="en-GB"/>
        </w:rPr>
        <w:fldChar w:fldCharType="separate"/>
      </w:r>
      <w:r>
        <w:t xml:space="preserve">Figure </w:t>
      </w:r>
      <w:r>
        <w:rPr>
          <w:noProof/>
        </w:rPr>
        <w:t>2</w:t>
      </w:r>
      <w:r>
        <w:rPr>
          <w:lang w:val="en-GB"/>
        </w:rPr>
        <w:fldChar w:fldCharType="end"/>
      </w:r>
      <w:r>
        <w:rPr>
          <w:lang w:val="en-GB"/>
        </w:rPr>
        <w:t xml:space="preserve"> as well as the fact that received signals have different power offset and timing, it is unrealistic to assume only 1 receiver antenna. Therefore, it is suggested to use at least 4 </w:t>
      </w:r>
      <w:r w:rsidR="00B8389C">
        <w:rPr>
          <w:lang w:val="en-GB"/>
        </w:rPr>
        <w:t xml:space="preserve">or more </w:t>
      </w:r>
      <w:r>
        <w:rPr>
          <w:lang w:val="en-GB"/>
        </w:rPr>
        <w:t>receive antennas or more to represent typical NR deployment scenarios.</w:t>
      </w:r>
      <w:r w:rsidR="00B8389C">
        <w:rPr>
          <w:lang w:val="en-GB"/>
        </w:rPr>
        <w:t xml:space="preserve"> </w:t>
      </w:r>
    </w:p>
    <w:p w14:paraId="6A5F7E3D" w14:textId="165C4FC0" w:rsidR="00E94419" w:rsidRDefault="00E94419" w:rsidP="00713885">
      <w:pPr>
        <w:rPr>
          <w:b/>
          <w:i/>
          <w:lang w:val="en-GB"/>
        </w:rPr>
      </w:pPr>
      <w:r w:rsidRPr="00E94419">
        <w:rPr>
          <w:b/>
          <w:i/>
          <w:u w:val="single"/>
          <w:lang w:val="en-GB"/>
        </w:rPr>
        <w:t>Proposal 1</w:t>
      </w:r>
      <w:r w:rsidRPr="00E94419">
        <w:rPr>
          <w:b/>
          <w:i/>
          <w:lang w:val="en-GB"/>
        </w:rPr>
        <w:t xml:space="preserve">: </w:t>
      </w:r>
      <w:r w:rsidR="00AC5B17">
        <w:rPr>
          <w:b/>
          <w:i/>
          <w:lang w:val="en-GB"/>
        </w:rPr>
        <w:t>Set</w:t>
      </w:r>
      <w:r w:rsidRPr="00E94419">
        <w:rPr>
          <w:b/>
          <w:i/>
          <w:lang w:val="en-GB"/>
        </w:rPr>
        <w:t xml:space="preserve"> the number of receive antenna to 4 as default for test cases targeting uplink scenario (</w:t>
      </w:r>
      <w:r>
        <w:rPr>
          <w:b/>
          <w:i/>
          <w:lang w:val="en-GB"/>
        </w:rPr>
        <w:t xml:space="preserve">e.g. </w:t>
      </w:r>
      <w:r w:rsidRPr="00E94419">
        <w:rPr>
          <w:b/>
          <w:i/>
          <w:lang w:val="en-GB"/>
        </w:rPr>
        <w:t>test case 3 &amp; 4)</w:t>
      </w:r>
    </w:p>
    <w:p w14:paraId="053C6F02" w14:textId="77777777" w:rsidR="00E94419" w:rsidRPr="00E94419" w:rsidRDefault="00E94419" w:rsidP="00713885">
      <w:pPr>
        <w:rPr>
          <w:b/>
          <w:i/>
          <w:lang w:val="en-GB"/>
        </w:rPr>
      </w:pPr>
    </w:p>
    <w:p w14:paraId="68C1D8A0" w14:textId="6736B015" w:rsidR="00B8389C" w:rsidRDefault="00B8389C" w:rsidP="00B8389C">
      <w:pPr>
        <w:pStyle w:val="Heading2"/>
      </w:pPr>
      <w:r>
        <w:t>Power offset of Interferers</w:t>
      </w:r>
    </w:p>
    <w:p w14:paraId="3C52AAA9" w14:textId="695D1C6C" w:rsidR="0001291E" w:rsidRDefault="00B8389C" w:rsidP="0001291E">
      <w:pPr>
        <w:jc w:val="both"/>
        <w:rPr>
          <w:lang w:val="en-GB"/>
        </w:rPr>
      </w:pPr>
      <w:r>
        <w:rPr>
          <w:lang w:val="en-GB"/>
        </w:rPr>
        <w:t xml:space="preserve">As shown in </w:t>
      </w:r>
      <w:r>
        <w:rPr>
          <w:lang w:val="en-GB"/>
        </w:rPr>
        <w:fldChar w:fldCharType="begin"/>
      </w:r>
      <w:r>
        <w:rPr>
          <w:lang w:val="en-GB"/>
        </w:rPr>
        <w:instrText xml:space="preserve"> REF _Ref450484425 \h </w:instrText>
      </w:r>
      <w:r>
        <w:rPr>
          <w:lang w:val="en-GB"/>
        </w:rPr>
      </w:r>
      <w:r>
        <w:rPr>
          <w:lang w:val="en-GB"/>
        </w:rPr>
        <w:fldChar w:fldCharType="separate"/>
      </w:r>
      <w:r>
        <w:t xml:space="preserve">Figure </w:t>
      </w:r>
      <w:r>
        <w:rPr>
          <w:noProof/>
        </w:rPr>
        <w:t>1</w:t>
      </w:r>
      <w:r>
        <w:rPr>
          <w:lang w:val="en-GB"/>
        </w:rPr>
        <w:fldChar w:fldCharType="end"/>
      </w:r>
      <w:r>
        <w:rPr>
          <w:lang w:val="en-GB"/>
        </w:rPr>
        <w:t xml:space="preserve"> and </w:t>
      </w:r>
      <w:r>
        <w:rPr>
          <w:lang w:val="en-GB"/>
        </w:rPr>
        <w:fldChar w:fldCharType="begin"/>
      </w:r>
      <w:r>
        <w:rPr>
          <w:lang w:val="en-GB"/>
        </w:rPr>
        <w:instrText xml:space="preserve"> REF _Ref458340295 \h </w:instrText>
      </w:r>
      <w:r>
        <w:rPr>
          <w:lang w:val="en-GB"/>
        </w:rPr>
      </w:r>
      <w:r>
        <w:rPr>
          <w:lang w:val="en-GB"/>
        </w:rPr>
        <w:fldChar w:fldCharType="separate"/>
      </w:r>
      <w:r>
        <w:t xml:space="preserve">Figure </w:t>
      </w:r>
      <w:r>
        <w:rPr>
          <w:noProof/>
        </w:rPr>
        <w:t>2</w:t>
      </w:r>
      <w:r>
        <w:rPr>
          <w:lang w:val="en-GB"/>
        </w:rPr>
        <w:fldChar w:fldCharType="end"/>
      </w:r>
      <w:r>
        <w:rPr>
          <w:lang w:val="en-GB"/>
        </w:rPr>
        <w:t xml:space="preserve">, the original test setup assumes a fixed power offset between the target user and the interferers. While this assumption may be acceptable for certain SNR range, it is not realistic for all SNR values. </w:t>
      </w:r>
    </w:p>
    <w:p w14:paraId="63DCDF29" w14:textId="77777777" w:rsidR="00965266" w:rsidRDefault="00B8389C" w:rsidP="00965266">
      <w:pPr>
        <w:jc w:val="both"/>
        <w:rPr>
          <w:lang w:val="en-GB"/>
        </w:rPr>
      </w:pPr>
      <w:r>
        <w:rPr>
          <w:lang w:val="en-GB"/>
        </w:rPr>
        <w:t xml:space="preserve">In a typical cellular system, </w:t>
      </w:r>
      <w:r w:rsidR="0001291E">
        <w:rPr>
          <w:lang w:val="en-GB"/>
        </w:rPr>
        <w:t xml:space="preserve">however, </w:t>
      </w:r>
      <w:r>
        <w:rPr>
          <w:lang w:val="en-GB"/>
        </w:rPr>
        <w:t xml:space="preserve">there are </w:t>
      </w:r>
      <w:r w:rsidR="0001291E">
        <w:rPr>
          <w:lang w:val="en-GB"/>
        </w:rPr>
        <w:t xml:space="preserve">uplink </w:t>
      </w:r>
      <w:proofErr w:type="spellStart"/>
      <w:r>
        <w:rPr>
          <w:lang w:val="en-GB"/>
        </w:rPr>
        <w:t>RoT</w:t>
      </w:r>
      <w:proofErr w:type="spellEnd"/>
      <w:r>
        <w:rPr>
          <w:lang w:val="en-GB"/>
        </w:rPr>
        <w:t xml:space="preserve"> and </w:t>
      </w:r>
      <w:proofErr w:type="spellStart"/>
      <w:r>
        <w:rPr>
          <w:lang w:val="en-GB"/>
        </w:rPr>
        <w:t>IoT</w:t>
      </w:r>
      <w:proofErr w:type="spellEnd"/>
      <w:r>
        <w:rPr>
          <w:lang w:val="en-GB"/>
        </w:rPr>
        <w:t xml:space="preserve"> control mechanism to avoid inter-cell interference. </w:t>
      </w:r>
      <w:r w:rsidR="0001291E">
        <w:rPr>
          <w:lang w:val="en-GB"/>
        </w:rPr>
        <w:t xml:space="preserve">Such mechanism will prevent the system to go unstable, and prevent the </w:t>
      </w:r>
      <w:proofErr w:type="spellStart"/>
      <w:r w:rsidR="0001291E">
        <w:rPr>
          <w:lang w:val="en-GB"/>
        </w:rPr>
        <w:t>RoT</w:t>
      </w:r>
      <w:proofErr w:type="spellEnd"/>
      <w:r w:rsidR="0001291E">
        <w:rPr>
          <w:lang w:val="en-GB"/>
        </w:rPr>
        <w:t xml:space="preserve"> and </w:t>
      </w:r>
      <w:proofErr w:type="spellStart"/>
      <w:r w:rsidR="0001291E">
        <w:rPr>
          <w:lang w:val="en-GB"/>
        </w:rPr>
        <w:t>IoT</w:t>
      </w:r>
      <w:proofErr w:type="spellEnd"/>
      <w:r w:rsidR="0001291E">
        <w:rPr>
          <w:lang w:val="en-GB"/>
        </w:rPr>
        <w:t xml:space="preserve"> to grow unboundedly. </w:t>
      </w:r>
      <w:r w:rsidR="00965266">
        <w:rPr>
          <w:lang w:val="en-GB"/>
        </w:rPr>
        <w:t>With the original assumption, as the target user increases transmit power, the interferer’s power keep increasing as well, regardless of the target user’s operating point.</w:t>
      </w:r>
    </w:p>
    <w:p w14:paraId="1912F2FB" w14:textId="2933FA30" w:rsidR="00CE70FF" w:rsidRDefault="00B8389C" w:rsidP="00332380">
      <w:pPr>
        <w:jc w:val="both"/>
        <w:rPr>
          <w:lang w:val="en-GB"/>
        </w:rPr>
      </w:pPr>
      <w:r>
        <w:rPr>
          <w:lang w:val="en-GB"/>
        </w:rPr>
        <w:lastRenderedPageBreak/>
        <w:t xml:space="preserve">For example, for </w:t>
      </w:r>
      <w:r w:rsidR="00CE70FF">
        <w:rPr>
          <w:lang w:val="en-GB"/>
        </w:rPr>
        <w:t>some</w:t>
      </w:r>
      <w:r>
        <w:rPr>
          <w:lang w:val="en-GB"/>
        </w:rPr>
        <w:t xml:space="preserve"> MCS </w:t>
      </w:r>
      <w:r w:rsidR="00CE70FF">
        <w:rPr>
          <w:lang w:val="en-GB"/>
        </w:rPr>
        <w:t xml:space="preserve">targeting high spectral efficiencies, </w:t>
      </w:r>
      <w:r>
        <w:rPr>
          <w:lang w:val="en-GB"/>
        </w:rPr>
        <w:t>such as 64QAM</w:t>
      </w:r>
      <w:r w:rsidR="00CE70FF">
        <w:rPr>
          <w:lang w:val="en-GB"/>
        </w:rPr>
        <w:t xml:space="preserve">, the normal operating points can be as high as 20dB or more. Therefore, it is questionable whether still realistic to assume close-by interferers with fixed </w:t>
      </w:r>
      <w:proofErr w:type="spellStart"/>
      <w:r w:rsidR="00CE70FF">
        <w:rPr>
          <w:lang w:val="en-GB"/>
        </w:rPr>
        <w:t>RoT</w:t>
      </w:r>
      <w:proofErr w:type="spellEnd"/>
      <w:r w:rsidR="00CE70FF">
        <w:rPr>
          <w:lang w:val="en-GB"/>
        </w:rPr>
        <w:t xml:space="preserve"> offset of 10 or 20dB higher than the target users. </w:t>
      </w:r>
    </w:p>
    <w:p w14:paraId="2DDA4273" w14:textId="35D5B5AD" w:rsidR="00CE70FF" w:rsidRDefault="0017463B" w:rsidP="00332380">
      <w:pPr>
        <w:jc w:val="both"/>
        <w:rPr>
          <w:lang w:val="en-GB"/>
        </w:rPr>
      </w:pPr>
      <w:r>
        <w:rPr>
          <w:lang w:val="en-GB"/>
        </w:rPr>
        <w:t>From an overall</w:t>
      </w:r>
      <w:r w:rsidR="00CE70FF">
        <w:rPr>
          <w:lang w:val="en-GB"/>
        </w:rPr>
        <w:t xml:space="preserve"> system design</w:t>
      </w:r>
      <w:r>
        <w:rPr>
          <w:lang w:val="en-GB"/>
        </w:rPr>
        <w:t xml:space="preserve"> perspective</w:t>
      </w:r>
      <w:r w:rsidR="00CE70FF">
        <w:rPr>
          <w:lang w:val="en-GB"/>
        </w:rPr>
        <w:t xml:space="preserve">, it is desirable to select and compare waveform candidates under the most typical and realistic deployment setups, which can  lead to a more balanced trade-offs between all key design metrics, including </w:t>
      </w:r>
      <w:proofErr w:type="spellStart"/>
      <w:r>
        <w:rPr>
          <w:lang w:val="en-GB"/>
        </w:rPr>
        <w:t>OoB</w:t>
      </w:r>
      <w:proofErr w:type="spellEnd"/>
      <w:r>
        <w:rPr>
          <w:lang w:val="en-GB"/>
        </w:rPr>
        <w:t xml:space="preserve"> emission suppression, complexity, processing delay and switching overhead, etc. Therefore, we suggest to slightly modify the cases 3 and 4 to the following:</w:t>
      </w:r>
    </w:p>
    <w:p w14:paraId="74427D81" w14:textId="065F1C2D" w:rsidR="0017463B" w:rsidRDefault="0017463B" w:rsidP="00332380">
      <w:pPr>
        <w:pStyle w:val="ListParagraph"/>
        <w:numPr>
          <w:ilvl w:val="0"/>
          <w:numId w:val="24"/>
        </w:numPr>
        <w:jc w:val="both"/>
        <w:rPr>
          <w:lang w:val="en-GB"/>
        </w:rPr>
      </w:pPr>
      <w:r>
        <w:rPr>
          <w:lang w:val="en-GB"/>
        </w:rPr>
        <w:t xml:space="preserve">Option 1: keep the original setup of fixed relative Power offset between the interferers and target user, but imposing an upper bound on the absolute </w:t>
      </w:r>
      <w:proofErr w:type="spellStart"/>
      <w:r>
        <w:rPr>
          <w:lang w:val="en-GB"/>
        </w:rPr>
        <w:t>RoT</w:t>
      </w:r>
      <w:proofErr w:type="spellEnd"/>
      <w:r>
        <w:rPr>
          <w:lang w:val="en-GB"/>
        </w:rPr>
        <w:t xml:space="preserve"> of the interferers (say, 20dB). </w:t>
      </w:r>
    </w:p>
    <w:p w14:paraId="63E41202" w14:textId="46B4228D" w:rsidR="0017463B" w:rsidRDefault="0017463B" w:rsidP="00332380">
      <w:pPr>
        <w:pStyle w:val="ListParagraph"/>
        <w:numPr>
          <w:ilvl w:val="0"/>
          <w:numId w:val="24"/>
        </w:numPr>
        <w:jc w:val="both"/>
        <w:rPr>
          <w:lang w:val="en-GB"/>
        </w:rPr>
      </w:pPr>
      <w:r>
        <w:rPr>
          <w:lang w:val="en-GB"/>
        </w:rPr>
        <w:t xml:space="preserve">Option 2: replacing the fixed relative power offset between the interferers and target user by fixed absolute </w:t>
      </w:r>
      <w:proofErr w:type="spellStart"/>
      <w:r>
        <w:rPr>
          <w:lang w:val="en-GB"/>
        </w:rPr>
        <w:t>RoT</w:t>
      </w:r>
      <w:proofErr w:type="spellEnd"/>
      <w:r>
        <w:rPr>
          <w:lang w:val="en-GB"/>
        </w:rPr>
        <w:t xml:space="preserve"> of the interferers.</w:t>
      </w:r>
    </w:p>
    <w:p w14:paraId="7D16B7C0" w14:textId="77777777" w:rsidR="0093116F" w:rsidRDefault="0093116F" w:rsidP="00332380">
      <w:pPr>
        <w:jc w:val="both"/>
        <w:rPr>
          <w:lang w:val="en-GB"/>
        </w:rPr>
      </w:pPr>
    </w:p>
    <w:p w14:paraId="733B5837" w14:textId="22CA536A" w:rsidR="0017463B" w:rsidRDefault="0093116F" w:rsidP="0017463B">
      <w:pPr>
        <w:rPr>
          <w:lang w:val="en-GB"/>
        </w:rPr>
      </w:pPr>
      <w:r>
        <w:rPr>
          <w:lang w:val="en-GB"/>
        </w:rPr>
        <w:t>In the remaining section, we try to get further insight on the statistics of the</w:t>
      </w:r>
      <w:r w:rsidR="0007136B">
        <w:rPr>
          <w:lang w:val="en-GB"/>
        </w:rPr>
        <w:t xml:space="preserve"> uplink</w:t>
      </w:r>
      <w:r>
        <w:rPr>
          <w:lang w:val="en-GB"/>
        </w:rPr>
        <w:t xml:space="preserve"> </w:t>
      </w:r>
      <w:proofErr w:type="spellStart"/>
      <w:r>
        <w:rPr>
          <w:lang w:val="en-GB"/>
        </w:rPr>
        <w:t>RoT</w:t>
      </w:r>
      <w:proofErr w:type="spellEnd"/>
      <w:r w:rsidR="0007136B">
        <w:rPr>
          <w:lang w:val="en-GB"/>
        </w:rPr>
        <w:t>.</w:t>
      </w:r>
    </w:p>
    <w:p w14:paraId="227DECED" w14:textId="77777777" w:rsidR="0017463B" w:rsidRDefault="0017463B" w:rsidP="0017463B">
      <w:pPr>
        <w:rPr>
          <w:lang w:val="en-GB"/>
        </w:rPr>
      </w:pPr>
    </w:p>
    <w:p w14:paraId="6B0CDD03" w14:textId="6505D58F" w:rsidR="0017463B" w:rsidRDefault="0017463B" w:rsidP="0017463B">
      <w:pPr>
        <w:pStyle w:val="Heading3"/>
      </w:pPr>
      <w:bookmarkStart w:id="5" w:name="_Ref458697889"/>
      <w:r>
        <w:t xml:space="preserve">Absolute </w:t>
      </w:r>
      <w:proofErr w:type="spellStart"/>
      <w:r>
        <w:t>RoT</w:t>
      </w:r>
      <w:proofErr w:type="spellEnd"/>
      <w:r>
        <w:t xml:space="preserve"> stati</w:t>
      </w:r>
      <w:r w:rsidR="00BE0555">
        <w:t>sti</w:t>
      </w:r>
      <w:r>
        <w:t>cs</w:t>
      </w:r>
      <w:bookmarkEnd w:id="5"/>
    </w:p>
    <w:p w14:paraId="07113626" w14:textId="2F06823D" w:rsidR="00BE0555" w:rsidRDefault="00BE0555" w:rsidP="00332380">
      <w:pPr>
        <w:jc w:val="both"/>
        <w:rPr>
          <w:lang w:val="en-GB"/>
        </w:rPr>
      </w:pPr>
      <w:r w:rsidRPr="00BE0555">
        <w:rPr>
          <w:lang w:val="en-GB"/>
        </w:rPr>
        <w:t xml:space="preserve">The following results are from a system simulation of a single-layer dense urban deployment with 200 meter inter-BS distance. </w:t>
      </w:r>
      <w:r>
        <w:rPr>
          <w:lang w:val="en-GB"/>
        </w:rPr>
        <w:t xml:space="preserve">The deployment model assumes 10 UEs per TRP. </w:t>
      </w:r>
      <w:r w:rsidR="00077340">
        <w:rPr>
          <w:lang w:val="en-GB"/>
        </w:rPr>
        <w:t>The traffic model is assumed to be full-buffer.</w:t>
      </w:r>
    </w:p>
    <w:p w14:paraId="5182A921" w14:textId="15A1D4CD" w:rsidR="00BE0555" w:rsidRDefault="00BE0555" w:rsidP="00332380">
      <w:pPr>
        <w:jc w:val="both"/>
        <w:rPr>
          <w:lang w:val="en-GB"/>
        </w:rPr>
      </w:pPr>
      <w:r>
        <w:rPr>
          <w:lang w:val="en-GB"/>
        </w:rPr>
        <w:t xml:space="preserve">The number of antenna elements at the UE is 4 and at the TRP is 256. </w:t>
      </w:r>
    </w:p>
    <w:p w14:paraId="0E55647A" w14:textId="77777777" w:rsidR="00077340" w:rsidRDefault="00BE0555" w:rsidP="00332380">
      <w:pPr>
        <w:jc w:val="both"/>
        <w:rPr>
          <w:lang w:val="en-GB"/>
        </w:rPr>
      </w:pPr>
      <w:r w:rsidRPr="00BE0555">
        <w:rPr>
          <w:lang w:val="en-GB"/>
        </w:rPr>
        <w:t xml:space="preserve">Uplink power for the data transmission of the UEs is controlled using open-loop power control. The </w:t>
      </w:r>
      <w:r>
        <w:rPr>
          <w:lang w:val="en-GB"/>
        </w:rPr>
        <w:t xml:space="preserve">power control parameter </w:t>
      </w:r>
      <w:r w:rsidRPr="00BE0555">
        <w:rPr>
          <w:lang w:val="en-GB"/>
        </w:rPr>
        <w:t>P</w:t>
      </w:r>
      <w:r w:rsidRPr="00BE0555">
        <w:rPr>
          <w:vertAlign w:val="subscript"/>
          <w:lang w:val="en-GB"/>
        </w:rPr>
        <w:t>o</w:t>
      </w:r>
      <w:r w:rsidRPr="00BE0555">
        <w:rPr>
          <w:lang w:val="en-GB"/>
        </w:rPr>
        <w:t xml:space="preserve"> </w:t>
      </w:r>
      <w:r>
        <w:rPr>
          <w:lang w:val="en-GB"/>
        </w:rPr>
        <w:t xml:space="preserve">is </w:t>
      </w:r>
      <w:r w:rsidRPr="00BE0555">
        <w:rPr>
          <w:lang w:val="en-GB"/>
        </w:rPr>
        <w:t xml:space="preserve">set at 20 dB above noise floor. The fractional </w:t>
      </w:r>
      <w:proofErr w:type="spellStart"/>
      <w:r w:rsidRPr="00BE0555">
        <w:rPr>
          <w:lang w:val="en-GB"/>
        </w:rPr>
        <w:t>pathloss</w:t>
      </w:r>
      <w:proofErr w:type="spellEnd"/>
      <w:r w:rsidRPr="00BE0555">
        <w:rPr>
          <w:lang w:val="en-GB"/>
        </w:rPr>
        <w:t xml:space="preserve"> compensation factor α is set to 0.8.</w:t>
      </w:r>
      <w:r>
        <w:rPr>
          <w:lang w:val="en-GB"/>
        </w:rPr>
        <w:t xml:space="preserve"> </w:t>
      </w:r>
    </w:p>
    <w:p w14:paraId="5FF1EF91" w14:textId="0F631563" w:rsidR="00BE0555" w:rsidRPr="00BE0555" w:rsidRDefault="00077340" w:rsidP="00332380">
      <w:pPr>
        <w:jc w:val="both"/>
        <w:rPr>
          <w:lang w:val="en-GB"/>
        </w:rPr>
      </w:pPr>
      <w:r w:rsidRPr="00BE0555">
        <w:rPr>
          <w:lang w:val="en-GB"/>
        </w:rPr>
        <w:t xml:space="preserve">The results correspond to a simulation bandwidth of 20 MHz and a system bandwidth of 80 </w:t>
      </w:r>
      <w:proofErr w:type="spellStart"/>
      <w:r w:rsidRPr="00BE0555">
        <w:rPr>
          <w:lang w:val="en-GB"/>
        </w:rPr>
        <w:t>MHz.</w:t>
      </w:r>
      <w:proofErr w:type="spellEnd"/>
      <w:r w:rsidRPr="00077340">
        <w:rPr>
          <w:lang w:val="en-GB"/>
        </w:rPr>
        <w:t xml:space="preserve"> </w:t>
      </w:r>
      <w:r>
        <w:rPr>
          <w:lang w:val="en-GB"/>
        </w:rPr>
        <w:t xml:space="preserve">The UE transmit power limit has also been scaled appropriately to account for the difference between the simulation bandwidth and system bandwidth. For example, the maximum UE transmit power is set to 17 </w:t>
      </w:r>
      <w:proofErr w:type="spellStart"/>
      <w:r>
        <w:rPr>
          <w:lang w:val="en-GB"/>
        </w:rPr>
        <w:t>dBm</w:t>
      </w:r>
      <w:proofErr w:type="spellEnd"/>
      <w:r>
        <w:rPr>
          <w:lang w:val="en-GB"/>
        </w:rPr>
        <w:t xml:space="preserve"> corresponding to a simulation bandwidth of 20 </w:t>
      </w:r>
      <w:proofErr w:type="spellStart"/>
      <w:r>
        <w:rPr>
          <w:lang w:val="en-GB"/>
        </w:rPr>
        <w:t>MHz.</w:t>
      </w:r>
      <w:proofErr w:type="spellEnd"/>
    </w:p>
    <w:p w14:paraId="60995060" w14:textId="478F7D43" w:rsidR="00BE0555" w:rsidRPr="00BE0555" w:rsidRDefault="00BE0555" w:rsidP="00332380">
      <w:pPr>
        <w:jc w:val="both"/>
        <w:rPr>
          <w:lang w:val="en-GB"/>
        </w:rPr>
      </w:pPr>
      <w:r w:rsidRPr="00BE0555">
        <w:rPr>
          <w:lang w:val="en-GB"/>
        </w:rPr>
        <w:t xml:space="preserve">The uplink scheduler makes use of MU-MIMO as well as sub-band scheduling techniques to select the scheduled set. Channel estimation errors </w:t>
      </w:r>
      <w:r w:rsidR="005B1B9C">
        <w:rPr>
          <w:lang w:val="en-GB"/>
        </w:rPr>
        <w:t>have been</w:t>
      </w:r>
      <w:r w:rsidRPr="00BE0555">
        <w:rPr>
          <w:lang w:val="en-GB"/>
        </w:rPr>
        <w:t xml:space="preserve"> </w:t>
      </w:r>
      <w:proofErr w:type="spellStart"/>
      <w:r w:rsidRPr="00BE0555">
        <w:rPr>
          <w:lang w:val="en-GB"/>
        </w:rPr>
        <w:t>modeled</w:t>
      </w:r>
      <w:proofErr w:type="spellEnd"/>
      <w:r w:rsidRPr="00BE0555">
        <w:rPr>
          <w:lang w:val="en-GB"/>
        </w:rPr>
        <w:t xml:space="preserve"> on the scheduler-side and </w:t>
      </w:r>
      <w:proofErr w:type="spellStart"/>
      <w:r w:rsidRPr="00BE0555">
        <w:rPr>
          <w:lang w:val="en-GB"/>
        </w:rPr>
        <w:t>demod</w:t>
      </w:r>
      <w:proofErr w:type="spellEnd"/>
      <w:r w:rsidRPr="00BE0555">
        <w:rPr>
          <w:lang w:val="en-GB"/>
        </w:rPr>
        <w:t>-side.</w:t>
      </w:r>
      <w:r>
        <w:rPr>
          <w:lang w:val="en-GB"/>
        </w:rPr>
        <w:t xml:space="preserve"> MMSE receiver is assumed for the </w:t>
      </w:r>
      <w:proofErr w:type="spellStart"/>
      <w:r>
        <w:rPr>
          <w:lang w:val="en-GB"/>
        </w:rPr>
        <w:t>demod</w:t>
      </w:r>
      <w:proofErr w:type="spellEnd"/>
      <w:r>
        <w:rPr>
          <w:lang w:val="en-GB"/>
        </w:rPr>
        <w:t>.</w:t>
      </w:r>
    </w:p>
    <w:p w14:paraId="56B4BC60" w14:textId="31D8BC73" w:rsidR="005B1B9C" w:rsidRDefault="005B1B9C" w:rsidP="00332380">
      <w:pPr>
        <w:jc w:val="both"/>
        <w:rPr>
          <w:lang w:val="en-GB"/>
        </w:rPr>
      </w:pPr>
      <w:r>
        <w:rPr>
          <w:lang w:val="en-GB"/>
        </w:rPr>
        <w:t>In this simulation scenario, t</w:t>
      </w:r>
      <w:r w:rsidR="00BE0555" w:rsidRPr="00BE0555">
        <w:rPr>
          <w:lang w:val="en-GB"/>
        </w:rPr>
        <w:t xml:space="preserve">he plot </w:t>
      </w:r>
      <w:r w:rsidR="00BE0555">
        <w:rPr>
          <w:lang w:val="en-GB"/>
        </w:rPr>
        <w:t xml:space="preserve">in </w:t>
      </w:r>
      <w:r w:rsidR="00BE0555">
        <w:rPr>
          <w:lang w:val="en-GB"/>
        </w:rPr>
        <w:fldChar w:fldCharType="begin"/>
      </w:r>
      <w:r w:rsidR="00BE0555">
        <w:rPr>
          <w:lang w:val="en-GB"/>
        </w:rPr>
        <w:instrText xml:space="preserve"> REF _Ref458521514 \h </w:instrText>
      </w:r>
      <w:r w:rsidR="00332380">
        <w:rPr>
          <w:lang w:val="en-GB"/>
        </w:rPr>
        <w:instrText xml:space="preserve"> \* MERGEFORMAT </w:instrText>
      </w:r>
      <w:r w:rsidR="00BE0555">
        <w:rPr>
          <w:lang w:val="en-GB"/>
        </w:rPr>
      </w:r>
      <w:r w:rsidR="00BE0555">
        <w:rPr>
          <w:lang w:val="en-GB"/>
        </w:rPr>
        <w:fldChar w:fldCharType="separate"/>
      </w:r>
      <w:r w:rsidR="00BE0555">
        <w:t xml:space="preserve">Figure </w:t>
      </w:r>
      <w:r w:rsidR="00BE0555">
        <w:rPr>
          <w:noProof/>
        </w:rPr>
        <w:t>3</w:t>
      </w:r>
      <w:r w:rsidR="00BE0555">
        <w:rPr>
          <w:lang w:val="en-GB"/>
        </w:rPr>
        <w:fldChar w:fldCharType="end"/>
      </w:r>
      <w:r w:rsidR="00BE0555" w:rsidRPr="00BE0555">
        <w:rPr>
          <w:lang w:val="en-GB"/>
        </w:rPr>
        <w:t xml:space="preserve"> shows the complementary CDF of the total rise-over-thermal (</w:t>
      </w:r>
      <w:proofErr w:type="spellStart"/>
      <w:r w:rsidR="00BE0555" w:rsidRPr="00BE0555">
        <w:rPr>
          <w:lang w:val="en-GB"/>
        </w:rPr>
        <w:t>RoT</w:t>
      </w:r>
      <w:proofErr w:type="spellEnd"/>
      <w:r w:rsidR="00BE0555" w:rsidRPr="00BE0555">
        <w:rPr>
          <w:lang w:val="en-GB"/>
        </w:rPr>
        <w:t>)</w:t>
      </w:r>
      <w:r>
        <w:rPr>
          <w:lang w:val="en-GB"/>
        </w:rPr>
        <w:t xml:space="preserve">. To generate this CCDF, </w:t>
      </w:r>
      <w:proofErr w:type="spellStart"/>
      <w:r>
        <w:rPr>
          <w:lang w:val="en-GB"/>
        </w:rPr>
        <w:t>RoT</w:t>
      </w:r>
      <w:proofErr w:type="spellEnd"/>
      <w:r>
        <w:rPr>
          <w:lang w:val="en-GB"/>
        </w:rPr>
        <w:t xml:space="preserve"> samples are recorded</w:t>
      </w:r>
      <w:r w:rsidR="00BE0555" w:rsidRPr="00BE0555">
        <w:rPr>
          <w:lang w:val="en-GB"/>
        </w:rPr>
        <w:t xml:space="preserve"> at each TRP on a per-RB basis, averaged across the antennas.</w:t>
      </w:r>
      <w:r w:rsidR="00BE0555">
        <w:rPr>
          <w:lang w:val="en-GB"/>
        </w:rPr>
        <w:t xml:space="preserve"> Note that the </w:t>
      </w:r>
      <w:proofErr w:type="spellStart"/>
      <w:r w:rsidR="00BE0555">
        <w:rPr>
          <w:lang w:val="en-GB"/>
        </w:rPr>
        <w:t>RoT</w:t>
      </w:r>
      <w:proofErr w:type="spellEnd"/>
      <w:r w:rsidR="00BE0555">
        <w:rPr>
          <w:lang w:val="en-GB"/>
        </w:rPr>
        <w:t xml:space="preserve"> is computed by calculating the ratio of the total received power (including thermal noise) to the thermal noise power before applying any MMSE receiver processing. </w:t>
      </w:r>
    </w:p>
    <w:p w14:paraId="3AC8F319" w14:textId="6EAB9466" w:rsidR="00BE0555" w:rsidRPr="00BE0555" w:rsidRDefault="00BE0555" w:rsidP="00332380">
      <w:pPr>
        <w:jc w:val="both"/>
        <w:rPr>
          <w:lang w:val="en-GB"/>
        </w:rPr>
      </w:pPr>
      <w:r>
        <w:rPr>
          <w:lang w:val="en-GB"/>
        </w:rPr>
        <w:t xml:space="preserve">From the plot, one can infer that </w:t>
      </w:r>
      <w:r w:rsidRPr="00BE0555">
        <w:rPr>
          <w:lang w:val="en-GB"/>
        </w:rPr>
        <w:t xml:space="preserve">the likelihood of the total </w:t>
      </w:r>
      <w:proofErr w:type="spellStart"/>
      <w:r w:rsidRPr="00BE0555">
        <w:rPr>
          <w:lang w:val="en-GB"/>
        </w:rPr>
        <w:t>RoT</w:t>
      </w:r>
      <w:proofErr w:type="spellEnd"/>
      <w:r w:rsidRPr="00BE0555">
        <w:rPr>
          <w:lang w:val="en-GB"/>
        </w:rPr>
        <w:t xml:space="preserve"> exceeding 1</w:t>
      </w:r>
      <w:r>
        <w:rPr>
          <w:lang w:val="en-GB"/>
        </w:rPr>
        <w:t>6.5</w:t>
      </w:r>
      <w:r w:rsidRPr="00BE0555">
        <w:rPr>
          <w:lang w:val="en-GB"/>
        </w:rPr>
        <w:t xml:space="preserve"> dB </w:t>
      </w:r>
      <w:r>
        <w:rPr>
          <w:lang w:val="en-GB"/>
        </w:rPr>
        <w:t xml:space="preserve">is less than </w:t>
      </w:r>
      <w:r w:rsidRPr="00BE0555">
        <w:rPr>
          <w:lang w:val="en-GB"/>
        </w:rPr>
        <w:t xml:space="preserve">1%. </w:t>
      </w:r>
    </w:p>
    <w:p w14:paraId="345A5069" w14:textId="77777777" w:rsidR="00BE0555" w:rsidRPr="00BE0555" w:rsidRDefault="00BE0555" w:rsidP="00332380">
      <w:pPr>
        <w:jc w:val="both"/>
        <w:rPr>
          <w:lang w:val="en-GB"/>
        </w:rPr>
      </w:pPr>
      <w:r w:rsidRPr="00BE0555">
        <w:rPr>
          <w:lang w:val="en-GB"/>
        </w:rPr>
        <w:t>The spectral efficiency achieved in this simulation setup meets the 3x IMT-Advanced spectral efficiency requirements.</w:t>
      </w:r>
    </w:p>
    <w:p w14:paraId="14428DF3" w14:textId="4D3880D7" w:rsidR="00BE0555" w:rsidRPr="00BE0555" w:rsidRDefault="00BE0555" w:rsidP="00332380">
      <w:pPr>
        <w:jc w:val="both"/>
        <w:rPr>
          <w:lang w:val="en-GB"/>
        </w:rPr>
      </w:pPr>
      <w:r w:rsidRPr="00E94419">
        <w:rPr>
          <w:b/>
          <w:i/>
          <w:u w:val="single"/>
          <w:lang w:val="en-GB"/>
        </w:rPr>
        <w:t>Proposal</w:t>
      </w:r>
      <w:r w:rsidR="005B1B9C" w:rsidRPr="00E94419">
        <w:rPr>
          <w:b/>
          <w:i/>
          <w:u w:val="single"/>
          <w:lang w:val="en-GB"/>
        </w:rPr>
        <w:t xml:space="preserve"> </w:t>
      </w:r>
      <w:r w:rsidR="00E94419">
        <w:rPr>
          <w:b/>
          <w:i/>
          <w:u w:val="single"/>
          <w:lang w:val="en-GB"/>
        </w:rPr>
        <w:t>2</w:t>
      </w:r>
      <w:r w:rsidRPr="00E94419">
        <w:rPr>
          <w:b/>
          <w:i/>
          <w:lang w:val="en-GB"/>
        </w:rPr>
        <w:t xml:space="preserve">: </w:t>
      </w:r>
      <w:r w:rsidR="00AC5B17">
        <w:rPr>
          <w:b/>
          <w:i/>
          <w:lang w:val="en-GB"/>
        </w:rPr>
        <w:t>I</w:t>
      </w:r>
      <w:r w:rsidR="00E94419" w:rsidRPr="00E94419">
        <w:rPr>
          <w:b/>
          <w:i/>
          <w:lang w:val="en-GB"/>
        </w:rPr>
        <w:t xml:space="preserve">mposing a realistic </w:t>
      </w:r>
      <w:r w:rsidRPr="00E94419">
        <w:rPr>
          <w:b/>
          <w:i/>
          <w:lang w:val="en-GB"/>
        </w:rPr>
        <w:t>upper-bound on the absolute rise-over-thermal</w:t>
      </w:r>
      <w:r w:rsidR="00E94419" w:rsidRPr="00E94419">
        <w:rPr>
          <w:b/>
          <w:i/>
          <w:lang w:val="en-GB"/>
        </w:rPr>
        <w:t xml:space="preserve"> </w:t>
      </w:r>
      <w:r w:rsidR="00E94419">
        <w:rPr>
          <w:b/>
          <w:i/>
          <w:lang w:val="en-GB"/>
        </w:rPr>
        <w:t xml:space="preserve">(e.g. 20dB) </w:t>
      </w:r>
      <w:r w:rsidR="00E94419" w:rsidRPr="00E94419">
        <w:rPr>
          <w:b/>
          <w:i/>
          <w:lang w:val="en-GB"/>
        </w:rPr>
        <w:t>from the interferer</w:t>
      </w:r>
      <w:r w:rsidR="005B1B9C" w:rsidRPr="00E94419">
        <w:rPr>
          <w:b/>
          <w:i/>
          <w:lang w:val="en-GB"/>
        </w:rPr>
        <w:t xml:space="preserve"> </w:t>
      </w:r>
      <w:r w:rsidR="00E94419">
        <w:rPr>
          <w:b/>
          <w:i/>
          <w:lang w:val="en-GB"/>
        </w:rPr>
        <w:t>for test cases targeting uplink scenarios (e.g. test cases 3 &amp; 4)</w:t>
      </w:r>
      <w:r>
        <w:rPr>
          <w:lang w:val="en-GB"/>
        </w:rPr>
        <w:t xml:space="preserve">. </w:t>
      </w:r>
    </w:p>
    <w:p w14:paraId="2ECA1C32" w14:textId="77777777" w:rsidR="00BE0555" w:rsidRDefault="00BE0555" w:rsidP="00BE0555">
      <w:pPr>
        <w:pStyle w:val="Heading3"/>
        <w:numPr>
          <w:ilvl w:val="0"/>
          <w:numId w:val="0"/>
        </w:numPr>
        <w:ind w:left="720"/>
        <w:jc w:val="center"/>
      </w:pPr>
      <w:r w:rsidRPr="00BE0555">
        <w:rPr>
          <w:rFonts w:ascii="Times New Roman" w:hAnsi="Times New Roman"/>
          <w:noProof/>
          <w:sz w:val="20"/>
          <w:lang w:val="en-US"/>
        </w:rPr>
        <w:lastRenderedPageBreak/>
        <w:drawing>
          <wp:inline distT="0" distB="0" distL="0" distR="0" wp14:anchorId="7FE0BF3D" wp14:editId="05727D6E">
            <wp:extent cx="4905375" cy="37700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1718" cy="3774972"/>
                    </a:xfrm>
                    <a:prstGeom prst="rect">
                      <a:avLst/>
                    </a:prstGeom>
                    <a:noFill/>
                    <a:ln>
                      <a:noFill/>
                    </a:ln>
                  </pic:spPr>
                </pic:pic>
              </a:graphicData>
            </a:graphic>
          </wp:inline>
        </w:drawing>
      </w:r>
    </w:p>
    <w:p w14:paraId="5769EA18" w14:textId="5DC50DF3" w:rsidR="00BE0555" w:rsidRDefault="00BE0555" w:rsidP="00BE0555">
      <w:pPr>
        <w:pStyle w:val="Caption"/>
        <w:jc w:val="center"/>
      </w:pPr>
      <w:bookmarkStart w:id="6" w:name="_Ref458521514"/>
      <w:r>
        <w:t xml:space="preserve">Figure </w:t>
      </w:r>
      <w:r w:rsidR="00FB030B">
        <w:fldChar w:fldCharType="begin"/>
      </w:r>
      <w:r w:rsidR="00FB030B">
        <w:instrText xml:space="preserve"> SEQ Figure \* ARABIC </w:instrText>
      </w:r>
      <w:r w:rsidR="00FB030B">
        <w:fldChar w:fldCharType="separate"/>
      </w:r>
      <w:r w:rsidR="001A4301">
        <w:rPr>
          <w:noProof/>
        </w:rPr>
        <w:t>3</w:t>
      </w:r>
      <w:r w:rsidR="00FB030B">
        <w:rPr>
          <w:noProof/>
        </w:rPr>
        <w:fldChar w:fldCharType="end"/>
      </w:r>
      <w:bookmarkEnd w:id="6"/>
      <w:r>
        <w:t>: CCDF of rise-over-thermal</w:t>
      </w:r>
    </w:p>
    <w:p w14:paraId="541B5259" w14:textId="4AEE3092" w:rsidR="00BE0555" w:rsidRPr="00BE0555" w:rsidRDefault="00BE0555" w:rsidP="00BE0555">
      <w:pPr>
        <w:pStyle w:val="Heading3"/>
        <w:numPr>
          <w:ilvl w:val="0"/>
          <w:numId w:val="0"/>
        </w:numPr>
        <w:ind w:left="720"/>
        <w:jc w:val="center"/>
      </w:pPr>
    </w:p>
    <w:p w14:paraId="72D598D6" w14:textId="5B1FE31D" w:rsidR="000452A9" w:rsidRDefault="000452A9" w:rsidP="000452A9">
      <w:pPr>
        <w:pStyle w:val="Heading3"/>
      </w:pPr>
      <w:bookmarkStart w:id="7" w:name="_Toc424303267"/>
      <w:bookmarkStart w:id="8" w:name="_Toc425248865"/>
      <w:bookmarkStart w:id="9" w:name="_Toc425344835"/>
      <w:bookmarkStart w:id="10" w:name="_Toc425350726"/>
      <w:bookmarkStart w:id="11" w:name="_Toc425501584"/>
      <w:bookmarkStart w:id="12" w:name="_Toc425504168"/>
      <w:r>
        <w:t xml:space="preserve">Statistics of </w:t>
      </w:r>
      <w:proofErr w:type="spellStart"/>
      <w:r>
        <w:t>neighboring</w:t>
      </w:r>
      <w:proofErr w:type="spellEnd"/>
      <w:r>
        <w:t xml:space="preserve"> users relative offset</w:t>
      </w:r>
    </w:p>
    <w:p w14:paraId="0C69220E" w14:textId="41A0283A" w:rsidR="000452A9" w:rsidRDefault="000452A9" w:rsidP="00332380">
      <w:pPr>
        <w:jc w:val="both"/>
        <w:rPr>
          <w:lang w:val="en-GB"/>
        </w:rPr>
      </w:pPr>
      <w:r>
        <w:rPr>
          <w:lang w:val="en-GB"/>
        </w:rPr>
        <w:t xml:space="preserve">The simulation settings </w:t>
      </w:r>
      <w:r w:rsidR="00A82113">
        <w:rPr>
          <w:lang w:val="en-GB"/>
        </w:rPr>
        <w:t xml:space="preserve">for the results of the current section </w:t>
      </w:r>
      <w:r>
        <w:rPr>
          <w:lang w:val="en-GB"/>
        </w:rPr>
        <w:t xml:space="preserve">are the same as in Section </w:t>
      </w:r>
      <w:r>
        <w:rPr>
          <w:lang w:val="en-GB"/>
        </w:rPr>
        <w:fldChar w:fldCharType="begin"/>
      </w:r>
      <w:r>
        <w:rPr>
          <w:lang w:val="en-GB"/>
        </w:rPr>
        <w:instrText xml:space="preserve"> REF _Ref458697889 \r \h </w:instrText>
      </w:r>
      <w:r w:rsidR="00332380">
        <w:rPr>
          <w:lang w:val="en-GB"/>
        </w:rPr>
        <w:instrText xml:space="preserve"> \* MERGEFORMAT </w:instrText>
      </w:r>
      <w:r>
        <w:rPr>
          <w:lang w:val="en-GB"/>
        </w:rPr>
      </w:r>
      <w:r>
        <w:rPr>
          <w:lang w:val="en-GB"/>
        </w:rPr>
        <w:fldChar w:fldCharType="separate"/>
      </w:r>
      <w:r>
        <w:rPr>
          <w:lang w:val="en-GB"/>
        </w:rPr>
        <w:t>3.2.1</w:t>
      </w:r>
      <w:r>
        <w:rPr>
          <w:lang w:val="en-GB"/>
        </w:rPr>
        <w:fldChar w:fldCharType="end"/>
      </w:r>
      <w:r>
        <w:rPr>
          <w:lang w:val="en-GB"/>
        </w:rPr>
        <w:t>. In order to understand the</w:t>
      </w:r>
      <w:r w:rsidR="00A82113">
        <w:rPr>
          <w:lang w:val="en-GB"/>
        </w:rPr>
        <w:t xml:space="preserve"> statistics of the relative offset between two users allocated to </w:t>
      </w:r>
      <w:proofErr w:type="spellStart"/>
      <w:r w:rsidR="00A82113">
        <w:rPr>
          <w:lang w:val="en-GB"/>
        </w:rPr>
        <w:t>neighboring</w:t>
      </w:r>
      <w:proofErr w:type="spellEnd"/>
      <w:r w:rsidR="00A82113">
        <w:rPr>
          <w:lang w:val="en-GB"/>
        </w:rPr>
        <w:t xml:space="preserve"> frequency resources, the following methodology was used. At every TRP, i</w:t>
      </w:r>
      <w:r>
        <w:rPr>
          <w:lang w:val="en-GB"/>
        </w:rPr>
        <w:t>n every sub-frame, over every RB, and for every UE that was assigned a modulation of 64-QAM or higher order, two quantities are recorded:</w:t>
      </w:r>
    </w:p>
    <w:p w14:paraId="1F5654F3" w14:textId="49BCCD63" w:rsidR="000452A9" w:rsidRDefault="000452A9" w:rsidP="00332380">
      <w:pPr>
        <w:pStyle w:val="ListParagraph"/>
        <w:numPr>
          <w:ilvl w:val="0"/>
          <w:numId w:val="28"/>
        </w:numPr>
        <w:jc w:val="both"/>
        <w:rPr>
          <w:rFonts w:ascii="Times New Roman" w:hAnsi="Times New Roman"/>
          <w:sz w:val="20"/>
          <w:lang w:val="en-GB"/>
        </w:rPr>
      </w:pPr>
      <w:r w:rsidRPr="001A4301">
        <w:rPr>
          <w:rFonts w:ascii="Times New Roman" w:hAnsi="Times New Roman"/>
          <w:sz w:val="20"/>
          <w:lang w:val="en-GB"/>
        </w:rPr>
        <w:t>The power received from that UE</w:t>
      </w:r>
      <w:r w:rsidR="00A82113" w:rsidRPr="001A4301">
        <w:rPr>
          <w:rFonts w:ascii="Times New Roman" w:hAnsi="Times New Roman"/>
          <w:sz w:val="20"/>
          <w:lang w:val="en-GB"/>
        </w:rPr>
        <w:t xml:space="preserve"> on that RB</w:t>
      </w:r>
      <w:r w:rsidRPr="001A4301">
        <w:rPr>
          <w:rFonts w:ascii="Times New Roman" w:hAnsi="Times New Roman"/>
          <w:sz w:val="20"/>
          <w:lang w:val="en-GB"/>
        </w:rPr>
        <w:t>, relative to thermal noise</w:t>
      </w:r>
      <w:r w:rsidR="00A82113" w:rsidRPr="001A4301">
        <w:rPr>
          <w:rFonts w:ascii="Times New Roman" w:hAnsi="Times New Roman"/>
          <w:sz w:val="20"/>
          <w:lang w:val="en-GB"/>
        </w:rPr>
        <w:t xml:space="preserve"> (in dB)</w:t>
      </w:r>
    </w:p>
    <w:p w14:paraId="6478DC17" w14:textId="77777777" w:rsidR="001A4301" w:rsidRPr="001A4301" w:rsidRDefault="001A4301" w:rsidP="00332380">
      <w:pPr>
        <w:pStyle w:val="ListParagraph"/>
        <w:jc w:val="both"/>
        <w:rPr>
          <w:rFonts w:ascii="Times New Roman" w:hAnsi="Times New Roman"/>
          <w:sz w:val="20"/>
          <w:lang w:val="en-GB"/>
        </w:rPr>
      </w:pPr>
    </w:p>
    <w:p w14:paraId="6D259DF1" w14:textId="4EEE2A6E" w:rsidR="000452A9" w:rsidRDefault="000452A9" w:rsidP="00332380">
      <w:pPr>
        <w:pStyle w:val="ListParagraph"/>
        <w:numPr>
          <w:ilvl w:val="0"/>
          <w:numId w:val="28"/>
        </w:numPr>
        <w:jc w:val="both"/>
        <w:rPr>
          <w:rFonts w:ascii="Times New Roman" w:hAnsi="Times New Roman"/>
          <w:sz w:val="20"/>
          <w:lang w:val="en-GB"/>
        </w:rPr>
      </w:pPr>
      <w:r w:rsidRPr="001A4301">
        <w:rPr>
          <w:rFonts w:ascii="Times New Roman" w:hAnsi="Times New Roman"/>
          <w:sz w:val="20"/>
          <w:lang w:val="en-GB"/>
        </w:rPr>
        <w:t xml:space="preserve">All power received on the adjacent RB, excluding </w:t>
      </w:r>
      <w:r w:rsidR="00A82113" w:rsidRPr="001A4301">
        <w:rPr>
          <w:rFonts w:ascii="Times New Roman" w:hAnsi="Times New Roman"/>
          <w:sz w:val="20"/>
          <w:lang w:val="en-GB"/>
        </w:rPr>
        <w:t>the contribution</w:t>
      </w:r>
      <w:r w:rsidR="001A4301" w:rsidRPr="001A4301">
        <w:rPr>
          <w:rFonts w:ascii="Times New Roman" w:hAnsi="Times New Roman"/>
          <w:sz w:val="20"/>
          <w:lang w:val="en-GB"/>
        </w:rPr>
        <w:t>, if any,</w:t>
      </w:r>
      <w:r w:rsidR="00A82113" w:rsidRPr="001A4301">
        <w:rPr>
          <w:rFonts w:ascii="Times New Roman" w:hAnsi="Times New Roman"/>
          <w:sz w:val="20"/>
          <w:lang w:val="en-GB"/>
        </w:rPr>
        <w:t xml:space="preserve"> of the UE considered in item 1 above, relative to thermal noise (in dB)</w:t>
      </w:r>
    </w:p>
    <w:p w14:paraId="0BA0551F" w14:textId="77777777" w:rsidR="001A4301" w:rsidRPr="001A4301" w:rsidRDefault="001A4301" w:rsidP="00332380">
      <w:pPr>
        <w:jc w:val="both"/>
        <w:rPr>
          <w:lang w:val="en-GB"/>
        </w:rPr>
      </w:pPr>
    </w:p>
    <w:p w14:paraId="4BBEB906" w14:textId="3833FF6E" w:rsidR="00A82113" w:rsidRPr="00A82113" w:rsidRDefault="00A82113" w:rsidP="00332380">
      <w:pPr>
        <w:jc w:val="both"/>
        <w:rPr>
          <w:lang w:val="en-GB"/>
        </w:rPr>
      </w:pPr>
      <w:r>
        <w:rPr>
          <w:lang w:val="en-GB"/>
        </w:rPr>
        <w:t xml:space="preserve">The plot in </w:t>
      </w:r>
      <w:r w:rsidR="002548FC">
        <w:rPr>
          <w:lang w:val="en-GB"/>
        </w:rPr>
        <w:fldChar w:fldCharType="begin"/>
      </w:r>
      <w:r w:rsidR="002548FC">
        <w:rPr>
          <w:lang w:val="en-GB"/>
        </w:rPr>
        <w:instrText xml:space="preserve"> REF _Ref458700365 \h </w:instrText>
      </w:r>
      <w:r w:rsidR="00332380">
        <w:rPr>
          <w:lang w:val="en-GB"/>
        </w:rPr>
        <w:instrText xml:space="preserve"> \* MERGEFORMAT </w:instrText>
      </w:r>
      <w:r w:rsidR="002548FC">
        <w:rPr>
          <w:lang w:val="en-GB"/>
        </w:rPr>
      </w:r>
      <w:r w:rsidR="002548FC">
        <w:rPr>
          <w:lang w:val="en-GB"/>
        </w:rPr>
        <w:fldChar w:fldCharType="separate"/>
      </w:r>
      <w:r w:rsidR="002548FC">
        <w:t xml:space="preserve">Figure </w:t>
      </w:r>
      <w:r w:rsidR="002548FC">
        <w:rPr>
          <w:noProof/>
        </w:rPr>
        <w:t>4</w:t>
      </w:r>
      <w:r w:rsidR="002548FC">
        <w:rPr>
          <w:lang w:val="en-GB"/>
        </w:rPr>
        <w:fldChar w:fldCharType="end"/>
      </w:r>
      <w:r w:rsidR="002548FC">
        <w:rPr>
          <w:lang w:val="en-GB"/>
        </w:rPr>
        <w:t xml:space="preserve"> </w:t>
      </w:r>
      <w:r>
        <w:rPr>
          <w:lang w:val="en-GB"/>
        </w:rPr>
        <w:t xml:space="preserve">shows the complementary CDF of the difference </w:t>
      </w:r>
      <w:r w:rsidR="001A4301">
        <w:rPr>
          <w:lang w:val="en-GB"/>
        </w:rPr>
        <w:t xml:space="preserve">(in units of dB) </w:t>
      </w:r>
      <w:r>
        <w:rPr>
          <w:lang w:val="en-GB"/>
        </w:rPr>
        <w:t xml:space="preserve">between quantity 2 and quantity </w:t>
      </w:r>
      <w:r w:rsidR="001A4301">
        <w:rPr>
          <w:lang w:val="en-GB"/>
        </w:rPr>
        <w:t>1 above:</w:t>
      </w:r>
    </w:p>
    <w:p w14:paraId="13BF4B7B" w14:textId="77777777" w:rsidR="001A4301" w:rsidRDefault="001A4301" w:rsidP="001A4301">
      <w:pPr>
        <w:keepNext/>
        <w:jc w:val="center"/>
      </w:pPr>
      <w:r w:rsidRPr="001A4301">
        <w:rPr>
          <w:noProof/>
        </w:rPr>
        <w:lastRenderedPageBreak/>
        <w:drawing>
          <wp:inline distT="0" distB="0" distL="0" distR="0" wp14:anchorId="2E6D0658" wp14:editId="6AD31830">
            <wp:extent cx="4357816" cy="358282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0745" cy="3585236"/>
                    </a:xfrm>
                    <a:prstGeom prst="rect">
                      <a:avLst/>
                    </a:prstGeom>
                    <a:noFill/>
                    <a:ln>
                      <a:noFill/>
                    </a:ln>
                  </pic:spPr>
                </pic:pic>
              </a:graphicData>
            </a:graphic>
          </wp:inline>
        </w:drawing>
      </w:r>
    </w:p>
    <w:p w14:paraId="2CBF6B0D" w14:textId="3AA84557" w:rsidR="001A4301" w:rsidRDefault="001A4301" w:rsidP="001A4301">
      <w:pPr>
        <w:pStyle w:val="Caption"/>
        <w:jc w:val="center"/>
      </w:pPr>
      <w:bookmarkStart w:id="13" w:name="_Ref458700365"/>
      <w:r>
        <w:t xml:space="preserve">Figure </w:t>
      </w:r>
      <w:r w:rsidR="00FB030B">
        <w:fldChar w:fldCharType="begin"/>
      </w:r>
      <w:r w:rsidR="00FB030B">
        <w:instrText xml:space="preserve"> SEQ Figure \* ARABIC </w:instrText>
      </w:r>
      <w:r w:rsidR="00FB030B">
        <w:fldChar w:fldCharType="separate"/>
      </w:r>
      <w:r>
        <w:rPr>
          <w:noProof/>
        </w:rPr>
        <w:t>4</w:t>
      </w:r>
      <w:r w:rsidR="00FB030B">
        <w:rPr>
          <w:noProof/>
        </w:rPr>
        <w:fldChar w:fldCharType="end"/>
      </w:r>
      <w:bookmarkEnd w:id="13"/>
      <w:r>
        <w:t>: CCDF of relative offset between adjacent allocations</w:t>
      </w:r>
    </w:p>
    <w:p w14:paraId="5E0858C1" w14:textId="5E8E4A25" w:rsidR="00A82113" w:rsidRDefault="00A82113" w:rsidP="001A4301">
      <w:pPr>
        <w:jc w:val="center"/>
        <w:rPr>
          <w:lang w:val="en-GB"/>
        </w:rPr>
      </w:pPr>
    </w:p>
    <w:p w14:paraId="130A289D" w14:textId="38569ED3" w:rsidR="00E168E5" w:rsidRDefault="006341FE" w:rsidP="00E168E5">
      <w:pPr>
        <w:pStyle w:val="Heading1"/>
      </w:pPr>
      <w:r>
        <w:t>Conclusions</w:t>
      </w:r>
    </w:p>
    <w:bookmarkEnd w:id="7"/>
    <w:bookmarkEnd w:id="8"/>
    <w:bookmarkEnd w:id="9"/>
    <w:bookmarkEnd w:id="10"/>
    <w:bookmarkEnd w:id="11"/>
    <w:bookmarkEnd w:id="12"/>
    <w:p w14:paraId="72B95BD9" w14:textId="54851FB1" w:rsidR="00B04451" w:rsidRPr="00DF34C9" w:rsidRDefault="00AB472F" w:rsidP="00332380">
      <w:pPr>
        <w:jc w:val="both"/>
        <w:rPr>
          <w:lang w:val="en-GB"/>
        </w:rPr>
      </w:pPr>
      <w:r>
        <w:rPr>
          <w:lang w:val="en-GB"/>
        </w:rPr>
        <w:t>In this contribution, we provided some further thoughts on the simulation assumptions for the waveform test cases 3 and 4</w:t>
      </w:r>
      <w:r w:rsidR="00B04451" w:rsidRPr="00DF34C9">
        <w:t>.</w:t>
      </w:r>
      <w:r>
        <w:t xml:space="preserve"> We argued that some setup and specific parameter combinations are not realistic (or typical) under practical deployment. We also proposed a few adjustments to the existing assumptions to better evaluate the different waveform candidates.</w:t>
      </w:r>
    </w:p>
    <w:p w14:paraId="6475529F" w14:textId="77777777" w:rsidR="007A53EA" w:rsidRDefault="007A53EA" w:rsidP="007A53EA">
      <w:pPr>
        <w:rPr>
          <w:b/>
          <w:i/>
          <w:lang w:val="en-GB"/>
        </w:rPr>
      </w:pPr>
      <w:r w:rsidRPr="00E94419">
        <w:rPr>
          <w:b/>
          <w:i/>
          <w:u w:val="single"/>
          <w:lang w:val="en-GB"/>
        </w:rPr>
        <w:t>Proposal 1</w:t>
      </w:r>
      <w:r w:rsidRPr="00E94419">
        <w:rPr>
          <w:b/>
          <w:i/>
          <w:lang w:val="en-GB"/>
        </w:rPr>
        <w:t xml:space="preserve">: </w:t>
      </w:r>
      <w:r>
        <w:rPr>
          <w:b/>
          <w:i/>
          <w:lang w:val="en-GB"/>
        </w:rPr>
        <w:t>Set</w:t>
      </w:r>
      <w:r w:rsidRPr="00E94419">
        <w:rPr>
          <w:b/>
          <w:i/>
          <w:lang w:val="en-GB"/>
        </w:rPr>
        <w:t xml:space="preserve"> the number of receive antenna to 4 as default for test cases targeting uplink scenario (</w:t>
      </w:r>
      <w:r>
        <w:rPr>
          <w:b/>
          <w:i/>
          <w:lang w:val="en-GB"/>
        </w:rPr>
        <w:t xml:space="preserve">e.g. </w:t>
      </w:r>
      <w:r w:rsidRPr="00E94419">
        <w:rPr>
          <w:b/>
          <w:i/>
          <w:lang w:val="en-GB"/>
        </w:rPr>
        <w:t>test case 3 &amp; 4)</w:t>
      </w:r>
    </w:p>
    <w:p w14:paraId="17A63FC5" w14:textId="77777777" w:rsidR="007A53EA" w:rsidRPr="00BE0555" w:rsidRDefault="007A53EA" w:rsidP="007A53EA">
      <w:pPr>
        <w:jc w:val="both"/>
        <w:rPr>
          <w:lang w:val="en-GB"/>
        </w:rPr>
      </w:pPr>
      <w:r w:rsidRPr="00E94419">
        <w:rPr>
          <w:b/>
          <w:i/>
          <w:u w:val="single"/>
          <w:lang w:val="en-GB"/>
        </w:rPr>
        <w:t xml:space="preserve">Proposal </w:t>
      </w:r>
      <w:r>
        <w:rPr>
          <w:b/>
          <w:i/>
          <w:u w:val="single"/>
          <w:lang w:val="en-GB"/>
        </w:rPr>
        <w:t>2</w:t>
      </w:r>
      <w:r w:rsidRPr="00E94419">
        <w:rPr>
          <w:b/>
          <w:i/>
          <w:lang w:val="en-GB"/>
        </w:rPr>
        <w:t xml:space="preserve">: </w:t>
      </w:r>
      <w:r>
        <w:rPr>
          <w:b/>
          <w:i/>
          <w:lang w:val="en-GB"/>
        </w:rPr>
        <w:t>I</w:t>
      </w:r>
      <w:r w:rsidRPr="00E94419">
        <w:rPr>
          <w:b/>
          <w:i/>
          <w:lang w:val="en-GB"/>
        </w:rPr>
        <w:t xml:space="preserve">mposing a realistic upper-bound on the absolute rise-over-thermal </w:t>
      </w:r>
      <w:r>
        <w:rPr>
          <w:b/>
          <w:i/>
          <w:lang w:val="en-GB"/>
        </w:rPr>
        <w:t xml:space="preserve">(e.g. 20dB) </w:t>
      </w:r>
      <w:r w:rsidRPr="00E94419">
        <w:rPr>
          <w:b/>
          <w:i/>
          <w:lang w:val="en-GB"/>
        </w:rPr>
        <w:t xml:space="preserve">from the interferer </w:t>
      </w:r>
      <w:r>
        <w:rPr>
          <w:b/>
          <w:i/>
          <w:lang w:val="en-GB"/>
        </w:rPr>
        <w:t>for test cases targeting uplink scenarios (e.g. test cases 3 &amp; 4)</w:t>
      </w:r>
      <w:r>
        <w:rPr>
          <w:lang w:val="en-GB"/>
        </w:rPr>
        <w:t xml:space="preserve">. </w:t>
      </w:r>
    </w:p>
    <w:p w14:paraId="7F9137E8" w14:textId="77777777" w:rsidR="00A1636F" w:rsidRPr="00A1636F" w:rsidRDefault="00A1636F" w:rsidP="00A1636F">
      <w:pPr>
        <w:rPr>
          <w:lang w:val="en-GB" w:eastAsia="zh-CN"/>
        </w:rPr>
      </w:pPr>
      <w:bookmarkStart w:id="14" w:name="_GoBack"/>
      <w:bookmarkEnd w:id="14"/>
    </w:p>
    <w:p w14:paraId="26881B4C" w14:textId="77777777" w:rsidR="00E523F3" w:rsidRPr="000A64D8" w:rsidRDefault="00E523F3" w:rsidP="00E523F3">
      <w:pPr>
        <w:pStyle w:val="Heading1"/>
        <w:rPr>
          <w:lang w:val="en-US"/>
        </w:rPr>
      </w:pPr>
      <w:r w:rsidRPr="000A64D8">
        <w:rPr>
          <w:lang w:val="en-US"/>
        </w:rPr>
        <w:t>References</w:t>
      </w:r>
    </w:p>
    <w:p w14:paraId="14A47C31" w14:textId="7DE4BC86" w:rsidR="00FC20A0" w:rsidRPr="00132440" w:rsidRDefault="00FC20A0" w:rsidP="00FC20A0">
      <w:pPr>
        <w:pStyle w:val="ListParagraph"/>
        <w:numPr>
          <w:ilvl w:val="0"/>
          <w:numId w:val="2"/>
        </w:numPr>
        <w:rPr>
          <w:rFonts w:ascii="Times New Roman" w:eastAsia="SimSun" w:hAnsi="Times New Roman"/>
          <w:sz w:val="20"/>
        </w:rPr>
      </w:pPr>
      <w:bookmarkStart w:id="15" w:name="_Ref450735844"/>
      <w:bookmarkStart w:id="16" w:name="_Ref450342757"/>
      <w:r w:rsidRPr="00132440">
        <w:rPr>
          <w:rFonts w:ascii="Times New Roman" w:eastAsia="SimSun" w:hAnsi="Times New Roman"/>
          <w:sz w:val="20"/>
        </w:rPr>
        <w:t>3GPP R1-162199 “Waveform candidates”.</w:t>
      </w:r>
      <w:bookmarkEnd w:id="15"/>
    </w:p>
    <w:p w14:paraId="5AA7E33E" w14:textId="46E336CF" w:rsidR="00633A29" w:rsidRPr="00132440" w:rsidRDefault="00633A29" w:rsidP="00B65D2F">
      <w:pPr>
        <w:pStyle w:val="ListParagraph"/>
        <w:numPr>
          <w:ilvl w:val="0"/>
          <w:numId w:val="2"/>
        </w:numPr>
        <w:rPr>
          <w:rFonts w:ascii="Times New Roman" w:eastAsia="SimSun" w:hAnsi="Times New Roman"/>
          <w:sz w:val="20"/>
        </w:rPr>
      </w:pPr>
      <w:bookmarkStart w:id="17" w:name="_Ref450736090"/>
      <w:r w:rsidRPr="00132440">
        <w:rPr>
          <w:rFonts w:ascii="Times New Roman" w:eastAsia="SimSun" w:hAnsi="Times New Roman"/>
          <w:sz w:val="20"/>
        </w:rPr>
        <w:t>3GPP R1-163</w:t>
      </w:r>
      <w:r w:rsidR="00B65D2F" w:rsidRPr="00132440">
        <w:rPr>
          <w:rFonts w:ascii="Times New Roman" w:eastAsia="SimSun" w:hAnsi="Times New Roman"/>
          <w:sz w:val="20"/>
        </w:rPr>
        <w:t>558</w:t>
      </w:r>
      <w:r w:rsidRPr="00132440">
        <w:rPr>
          <w:rFonts w:ascii="Times New Roman" w:eastAsia="SimSun" w:hAnsi="Times New Roman"/>
          <w:sz w:val="20"/>
        </w:rPr>
        <w:t xml:space="preserve"> “</w:t>
      </w:r>
      <w:r w:rsidR="00B65D2F" w:rsidRPr="00132440">
        <w:rPr>
          <w:rFonts w:ascii="Times New Roman" w:eastAsia="SimSun" w:hAnsi="Times New Roman"/>
          <w:sz w:val="20"/>
        </w:rPr>
        <w:t>Way forward on assumptions for waveform evaluation”</w:t>
      </w:r>
      <w:r w:rsidRPr="00132440">
        <w:rPr>
          <w:rFonts w:ascii="Times New Roman" w:eastAsia="SimSun" w:hAnsi="Times New Roman"/>
          <w:sz w:val="20"/>
        </w:rPr>
        <w:t>.</w:t>
      </w:r>
      <w:bookmarkEnd w:id="16"/>
      <w:bookmarkEnd w:id="17"/>
    </w:p>
    <w:p w14:paraId="4AB9CEE5" w14:textId="276818D4" w:rsidR="00992AFB" w:rsidRPr="00132440" w:rsidRDefault="005474C6" w:rsidP="006D1863">
      <w:pPr>
        <w:pStyle w:val="ListParagraph"/>
        <w:numPr>
          <w:ilvl w:val="0"/>
          <w:numId w:val="2"/>
        </w:numPr>
        <w:rPr>
          <w:rFonts w:ascii="Times New Roman" w:eastAsia="SimSun" w:hAnsi="Times New Roman"/>
          <w:sz w:val="20"/>
        </w:rPr>
      </w:pPr>
      <w:bookmarkStart w:id="18" w:name="_Ref450342762"/>
      <w:r w:rsidRPr="00132440">
        <w:rPr>
          <w:rFonts w:ascii="Times New Roman" w:eastAsia="SimSun" w:hAnsi="Times New Roman"/>
          <w:sz w:val="20"/>
        </w:rPr>
        <w:t>3GPP R1-16</w:t>
      </w:r>
      <w:r w:rsidR="005805D7" w:rsidRPr="00132440">
        <w:rPr>
          <w:rFonts w:ascii="Times New Roman" w:eastAsia="SimSun" w:hAnsi="Times New Roman"/>
          <w:sz w:val="20"/>
        </w:rPr>
        <w:t>xxxx</w:t>
      </w:r>
      <w:r w:rsidRPr="00132440">
        <w:rPr>
          <w:rFonts w:ascii="Times New Roman" w:eastAsia="SimSun" w:hAnsi="Times New Roman"/>
          <w:sz w:val="20"/>
        </w:rPr>
        <w:t xml:space="preserve"> “</w:t>
      </w:r>
      <w:r w:rsidR="00DA46E3" w:rsidRPr="00132440">
        <w:rPr>
          <w:rFonts w:ascii="Times New Roman" w:eastAsia="SimSun" w:hAnsi="Times New Roman"/>
          <w:sz w:val="20"/>
        </w:rPr>
        <w:t>Way forward on evaluation assumptions for NR waveform</w:t>
      </w:r>
      <w:r w:rsidR="005805D7" w:rsidRPr="00132440">
        <w:rPr>
          <w:rFonts w:ascii="Times New Roman" w:eastAsia="SimSun" w:hAnsi="Times New Roman"/>
          <w:sz w:val="20"/>
        </w:rPr>
        <w:t xml:space="preserve"> [v10]</w:t>
      </w:r>
      <w:r w:rsidR="00DA46E3" w:rsidRPr="00132440">
        <w:rPr>
          <w:rFonts w:ascii="Times New Roman" w:eastAsia="SimSun" w:hAnsi="Times New Roman"/>
          <w:sz w:val="20"/>
        </w:rPr>
        <w:t>”</w:t>
      </w:r>
      <w:r w:rsidRPr="00132440">
        <w:rPr>
          <w:rFonts w:ascii="Times New Roman" w:eastAsia="SimSun" w:hAnsi="Times New Roman"/>
          <w:sz w:val="20"/>
        </w:rPr>
        <w:t>.</w:t>
      </w:r>
      <w:bookmarkEnd w:id="18"/>
    </w:p>
    <w:p w14:paraId="5D2372EE" w14:textId="225F9123" w:rsidR="0039287E" w:rsidRDefault="0039287E" w:rsidP="0039287E">
      <w:pPr>
        <w:pStyle w:val="ListParagraph"/>
        <w:numPr>
          <w:ilvl w:val="0"/>
          <w:numId w:val="2"/>
        </w:numPr>
        <w:rPr>
          <w:rFonts w:ascii="Times New Roman" w:hAnsi="Times New Roman"/>
          <w:sz w:val="20"/>
        </w:rPr>
      </w:pPr>
      <w:bookmarkStart w:id="19" w:name="_Ref458415953"/>
      <w:bookmarkStart w:id="20" w:name="_Ref450877691"/>
      <w:r>
        <w:rPr>
          <w:rFonts w:ascii="Times New Roman" w:hAnsi="Times New Roman"/>
          <w:sz w:val="20"/>
        </w:rPr>
        <w:t>3GPP R1-166355 “</w:t>
      </w:r>
      <w:r w:rsidRPr="0039287E">
        <w:rPr>
          <w:rFonts w:ascii="Times New Roman" w:hAnsi="Times New Roman"/>
          <w:sz w:val="20"/>
        </w:rPr>
        <w:t>WOLA and filtered-OFDM comparison beyond link level performance</w:t>
      </w:r>
      <w:r>
        <w:rPr>
          <w:rFonts w:ascii="Times New Roman" w:hAnsi="Times New Roman"/>
          <w:sz w:val="20"/>
        </w:rPr>
        <w:t>”.</w:t>
      </w:r>
      <w:bookmarkEnd w:id="19"/>
    </w:p>
    <w:p w14:paraId="6EEBECA5" w14:textId="5BFD6BDC" w:rsidR="00132440" w:rsidRPr="00132440" w:rsidRDefault="00B8389C" w:rsidP="00132440">
      <w:pPr>
        <w:pStyle w:val="ListParagraph"/>
        <w:numPr>
          <w:ilvl w:val="0"/>
          <w:numId w:val="2"/>
        </w:numPr>
        <w:rPr>
          <w:rFonts w:ascii="Times New Roman" w:hAnsi="Times New Roman"/>
          <w:sz w:val="20"/>
        </w:rPr>
      </w:pPr>
      <w:r>
        <w:rPr>
          <w:rFonts w:ascii="Times New Roman" w:hAnsi="Times New Roman"/>
          <w:sz w:val="20"/>
        </w:rPr>
        <w:t>3GPP R1-</w:t>
      </w:r>
      <w:r w:rsidR="00332380">
        <w:rPr>
          <w:rFonts w:ascii="Times New Roman" w:hAnsi="Times New Roman"/>
          <w:sz w:val="20"/>
        </w:rPr>
        <w:t>166352</w:t>
      </w:r>
      <w:bookmarkEnd w:id="20"/>
      <w:r>
        <w:rPr>
          <w:rFonts w:ascii="Times New Roman" w:hAnsi="Times New Roman"/>
          <w:sz w:val="20"/>
        </w:rPr>
        <w:t xml:space="preserve"> </w:t>
      </w:r>
      <w:r w:rsidR="00332380">
        <w:rPr>
          <w:rFonts w:ascii="Times New Roman" w:hAnsi="Times New Roman"/>
          <w:sz w:val="20"/>
        </w:rPr>
        <w:t>“</w:t>
      </w:r>
      <w:r w:rsidR="00332380" w:rsidRPr="00641ECD">
        <w:rPr>
          <w:rFonts w:ascii="Times New Roman" w:hAnsi="Times New Roman"/>
          <w:sz w:val="20"/>
        </w:rPr>
        <w:t>Simulation results for Cases 3 and 4</w:t>
      </w:r>
      <w:r w:rsidR="00332380">
        <w:rPr>
          <w:rFonts w:ascii="Times New Roman" w:hAnsi="Times New Roman"/>
          <w:sz w:val="20"/>
        </w:rPr>
        <w:t>”, Qualcomm, RAN1-86, Gothenburg, Aug 2016</w:t>
      </w:r>
      <w:r>
        <w:rPr>
          <w:rFonts w:ascii="Times New Roman" w:hAnsi="Times New Roman"/>
          <w:sz w:val="20"/>
        </w:rPr>
        <w:t>.</w:t>
      </w:r>
    </w:p>
    <w:sectPr w:rsidR="00132440" w:rsidRPr="00132440"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933C0" w14:textId="77777777" w:rsidR="00FB030B" w:rsidRDefault="00FB030B">
      <w:r>
        <w:separator/>
      </w:r>
    </w:p>
  </w:endnote>
  <w:endnote w:type="continuationSeparator" w:id="0">
    <w:p w14:paraId="2D5A4F03" w14:textId="77777777" w:rsidR="00FB030B" w:rsidRDefault="00FB030B">
      <w:r>
        <w:continuationSeparator/>
      </w:r>
    </w:p>
  </w:endnote>
  <w:endnote w:type="continuationNotice" w:id="1">
    <w:p w14:paraId="21AA9D95" w14:textId="77777777" w:rsidR="00FB030B" w:rsidRDefault="00FB0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Fangsong">
    <w:altName w:val="Arial Unicode MS"/>
    <w:panose1 w:val="00000000000000000000"/>
    <w:charset w:val="86"/>
    <w:family w:val="roman"/>
    <w:notTrueType/>
    <w:pitch w:val="default"/>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236443" w:rsidRDefault="002364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6443" w:rsidRDefault="0023644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236443" w:rsidRDefault="002364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A53E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53EA">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4ECEC" w14:textId="77777777" w:rsidR="00FB030B" w:rsidRDefault="00FB030B">
      <w:r>
        <w:separator/>
      </w:r>
    </w:p>
  </w:footnote>
  <w:footnote w:type="continuationSeparator" w:id="0">
    <w:p w14:paraId="46C4ED90" w14:textId="77777777" w:rsidR="00FB030B" w:rsidRDefault="00FB030B">
      <w:r>
        <w:continuationSeparator/>
      </w:r>
    </w:p>
  </w:footnote>
  <w:footnote w:type="continuationNotice" w:id="1">
    <w:p w14:paraId="5B1222BC" w14:textId="77777777" w:rsidR="00FB030B" w:rsidRDefault="00FB03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236443" w:rsidRDefault="002364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BE5E67"/>
    <w:multiLevelType w:val="hybridMultilevel"/>
    <w:tmpl w:val="95BA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9612C"/>
    <w:multiLevelType w:val="hybridMultilevel"/>
    <w:tmpl w:val="215AE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142434"/>
    <w:multiLevelType w:val="hybridMultilevel"/>
    <w:tmpl w:val="13B44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55E46"/>
    <w:multiLevelType w:val="hybridMultilevel"/>
    <w:tmpl w:val="CD2E0098"/>
    <w:lvl w:ilvl="0" w:tplc="8A823E3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20CFC"/>
    <w:multiLevelType w:val="hybridMultilevel"/>
    <w:tmpl w:val="A9464FBE"/>
    <w:lvl w:ilvl="0" w:tplc="92EAB368">
      <w:start w:val="1"/>
      <w:numFmt w:val="bullet"/>
      <w:lvlText w:val="−"/>
      <w:lvlJc w:val="left"/>
      <w:pPr>
        <w:tabs>
          <w:tab w:val="num" w:pos="720"/>
        </w:tabs>
        <w:ind w:left="720" w:hanging="360"/>
      </w:pPr>
      <w:rPr>
        <w:rFonts w:ascii="STFangsong" w:hAnsi="STFangsong" w:hint="default"/>
      </w:rPr>
    </w:lvl>
    <w:lvl w:ilvl="1" w:tplc="24449C18" w:tentative="1">
      <w:start w:val="1"/>
      <w:numFmt w:val="bullet"/>
      <w:lvlText w:val="−"/>
      <w:lvlJc w:val="left"/>
      <w:pPr>
        <w:tabs>
          <w:tab w:val="num" w:pos="1440"/>
        </w:tabs>
        <w:ind w:left="1440" w:hanging="360"/>
      </w:pPr>
      <w:rPr>
        <w:rFonts w:ascii="STFangsong" w:hAnsi="STFangsong" w:hint="default"/>
      </w:rPr>
    </w:lvl>
    <w:lvl w:ilvl="2" w:tplc="E7CE7862" w:tentative="1">
      <w:start w:val="1"/>
      <w:numFmt w:val="bullet"/>
      <w:lvlText w:val="−"/>
      <w:lvlJc w:val="left"/>
      <w:pPr>
        <w:tabs>
          <w:tab w:val="num" w:pos="2160"/>
        </w:tabs>
        <w:ind w:left="2160" w:hanging="360"/>
      </w:pPr>
      <w:rPr>
        <w:rFonts w:ascii="STFangsong" w:hAnsi="STFangsong" w:hint="default"/>
      </w:rPr>
    </w:lvl>
    <w:lvl w:ilvl="3" w:tplc="DF068918" w:tentative="1">
      <w:start w:val="1"/>
      <w:numFmt w:val="bullet"/>
      <w:lvlText w:val="−"/>
      <w:lvlJc w:val="left"/>
      <w:pPr>
        <w:tabs>
          <w:tab w:val="num" w:pos="2880"/>
        </w:tabs>
        <w:ind w:left="2880" w:hanging="360"/>
      </w:pPr>
      <w:rPr>
        <w:rFonts w:ascii="STFangsong" w:hAnsi="STFangsong" w:hint="default"/>
      </w:rPr>
    </w:lvl>
    <w:lvl w:ilvl="4" w:tplc="E1366066" w:tentative="1">
      <w:start w:val="1"/>
      <w:numFmt w:val="bullet"/>
      <w:lvlText w:val="−"/>
      <w:lvlJc w:val="left"/>
      <w:pPr>
        <w:tabs>
          <w:tab w:val="num" w:pos="3600"/>
        </w:tabs>
        <w:ind w:left="3600" w:hanging="360"/>
      </w:pPr>
      <w:rPr>
        <w:rFonts w:ascii="STFangsong" w:hAnsi="STFangsong" w:hint="default"/>
      </w:rPr>
    </w:lvl>
    <w:lvl w:ilvl="5" w:tplc="AA02BCCC" w:tentative="1">
      <w:start w:val="1"/>
      <w:numFmt w:val="bullet"/>
      <w:lvlText w:val="−"/>
      <w:lvlJc w:val="left"/>
      <w:pPr>
        <w:tabs>
          <w:tab w:val="num" w:pos="4320"/>
        </w:tabs>
        <w:ind w:left="4320" w:hanging="360"/>
      </w:pPr>
      <w:rPr>
        <w:rFonts w:ascii="STFangsong" w:hAnsi="STFangsong" w:hint="default"/>
      </w:rPr>
    </w:lvl>
    <w:lvl w:ilvl="6" w:tplc="93025D02" w:tentative="1">
      <w:start w:val="1"/>
      <w:numFmt w:val="bullet"/>
      <w:lvlText w:val="−"/>
      <w:lvlJc w:val="left"/>
      <w:pPr>
        <w:tabs>
          <w:tab w:val="num" w:pos="5040"/>
        </w:tabs>
        <w:ind w:left="5040" w:hanging="360"/>
      </w:pPr>
      <w:rPr>
        <w:rFonts w:ascii="STFangsong" w:hAnsi="STFangsong" w:hint="default"/>
      </w:rPr>
    </w:lvl>
    <w:lvl w:ilvl="7" w:tplc="680CF120" w:tentative="1">
      <w:start w:val="1"/>
      <w:numFmt w:val="bullet"/>
      <w:lvlText w:val="−"/>
      <w:lvlJc w:val="left"/>
      <w:pPr>
        <w:tabs>
          <w:tab w:val="num" w:pos="5760"/>
        </w:tabs>
        <w:ind w:left="5760" w:hanging="360"/>
      </w:pPr>
      <w:rPr>
        <w:rFonts w:ascii="STFangsong" w:hAnsi="STFangsong" w:hint="default"/>
      </w:rPr>
    </w:lvl>
    <w:lvl w:ilvl="8" w:tplc="FDCC3A68" w:tentative="1">
      <w:start w:val="1"/>
      <w:numFmt w:val="bullet"/>
      <w:lvlText w:val="−"/>
      <w:lvlJc w:val="left"/>
      <w:pPr>
        <w:tabs>
          <w:tab w:val="num" w:pos="6480"/>
        </w:tabs>
        <w:ind w:left="6480" w:hanging="360"/>
      </w:pPr>
      <w:rPr>
        <w:rFonts w:ascii="STFangsong" w:hAnsi="STFangsong" w:hint="default"/>
      </w:rPr>
    </w:lvl>
  </w:abstractNum>
  <w:abstractNum w:abstractNumId="20"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64CDC"/>
    <w:multiLevelType w:val="hybridMultilevel"/>
    <w:tmpl w:val="A1782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2"/>
  </w:num>
  <w:num w:numId="2">
    <w:abstractNumId w:val="0"/>
  </w:num>
  <w:num w:numId="3">
    <w:abstractNumId w:val="3"/>
  </w:num>
  <w:num w:numId="4">
    <w:abstractNumId w:val="15"/>
  </w:num>
  <w:num w:numId="5">
    <w:abstractNumId w:val="4"/>
  </w:num>
  <w:num w:numId="6">
    <w:abstractNumId w:val="7"/>
  </w:num>
  <w:num w:numId="7">
    <w:abstractNumId w:val="9"/>
  </w:num>
  <w:num w:numId="8">
    <w:abstractNumId w:val="1"/>
  </w:num>
  <w:num w:numId="9">
    <w:abstractNumId w:val="8"/>
  </w:num>
  <w:num w:numId="10">
    <w:abstractNumId w:val="13"/>
  </w:num>
  <w:num w:numId="11">
    <w:abstractNumId w:val="6"/>
  </w:num>
  <w:num w:numId="12">
    <w:abstractNumId w:val="22"/>
  </w:num>
  <w:num w:numId="13">
    <w:abstractNumId w:val="25"/>
  </w:num>
  <w:num w:numId="14">
    <w:abstractNumId w:val="11"/>
  </w:num>
  <w:num w:numId="15">
    <w:abstractNumId w:val="2"/>
  </w:num>
  <w:num w:numId="16">
    <w:abstractNumId w:val="18"/>
  </w:num>
  <w:num w:numId="17">
    <w:abstractNumId w:val="26"/>
  </w:num>
  <w:num w:numId="18">
    <w:abstractNumId w:val="23"/>
  </w:num>
  <w:num w:numId="19">
    <w:abstractNumId w:val="27"/>
  </w:num>
  <w:num w:numId="20">
    <w:abstractNumId w:val="21"/>
  </w:num>
  <w:num w:numId="21">
    <w:abstractNumId w:val="14"/>
  </w:num>
  <w:num w:numId="22">
    <w:abstractNumId w:val="20"/>
  </w:num>
  <w:num w:numId="23">
    <w:abstractNumId w:val="19"/>
  </w:num>
  <w:num w:numId="24">
    <w:abstractNumId w:val="24"/>
  </w:num>
  <w:num w:numId="25">
    <w:abstractNumId w:val="16"/>
  </w:num>
  <w:num w:numId="26">
    <w:abstractNumId w:val="17"/>
  </w:num>
  <w:num w:numId="27">
    <w:abstractNumId w:val="10"/>
  </w:num>
  <w:num w:numId="2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24D1"/>
    <w:rsid w:val="0001291E"/>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4C1"/>
    <w:rsid w:val="00044576"/>
    <w:rsid w:val="00044872"/>
    <w:rsid w:val="00044F4F"/>
    <w:rsid w:val="00044FC4"/>
    <w:rsid w:val="000451E5"/>
    <w:rsid w:val="000452A9"/>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36B"/>
    <w:rsid w:val="0007162A"/>
    <w:rsid w:val="000716FB"/>
    <w:rsid w:val="00071740"/>
    <w:rsid w:val="00072E75"/>
    <w:rsid w:val="00072EFA"/>
    <w:rsid w:val="00072FF7"/>
    <w:rsid w:val="0007337F"/>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340"/>
    <w:rsid w:val="0008022A"/>
    <w:rsid w:val="00080418"/>
    <w:rsid w:val="000805B2"/>
    <w:rsid w:val="00080D74"/>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63B"/>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301"/>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143"/>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48FC"/>
    <w:rsid w:val="00256B22"/>
    <w:rsid w:val="00256D51"/>
    <w:rsid w:val="00256F02"/>
    <w:rsid w:val="002571C8"/>
    <w:rsid w:val="002572F1"/>
    <w:rsid w:val="00257A62"/>
    <w:rsid w:val="00260156"/>
    <w:rsid w:val="0026075E"/>
    <w:rsid w:val="002608BD"/>
    <w:rsid w:val="00260FAD"/>
    <w:rsid w:val="002617F6"/>
    <w:rsid w:val="00261D05"/>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380"/>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87E"/>
    <w:rsid w:val="003929BE"/>
    <w:rsid w:val="00392A1F"/>
    <w:rsid w:val="00392DB8"/>
    <w:rsid w:val="00393A68"/>
    <w:rsid w:val="00393B78"/>
    <w:rsid w:val="003946B1"/>
    <w:rsid w:val="00394775"/>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2F93"/>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E58"/>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7D"/>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4E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56F"/>
    <w:rsid w:val="005456AD"/>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1B9C"/>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D0"/>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67F6"/>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F0E"/>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0D55"/>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885"/>
    <w:rsid w:val="00714065"/>
    <w:rsid w:val="00714186"/>
    <w:rsid w:val="00714312"/>
    <w:rsid w:val="00714796"/>
    <w:rsid w:val="00714D6A"/>
    <w:rsid w:val="007154FD"/>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120"/>
    <w:rsid w:val="007A32E9"/>
    <w:rsid w:val="007A3395"/>
    <w:rsid w:val="007A3505"/>
    <w:rsid w:val="007A3BF2"/>
    <w:rsid w:val="007A4338"/>
    <w:rsid w:val="007A4AF1"/>
    <w:rsid w:val="007A5288"/>
    <w:rsid w:val="007A53EA"/>
    <w:rsid w:val="007A5C80"/>
    <w:rsid w:val="007A5F87"/>
    <w:rsid w:val="007A6053"/>
    <w:rsid w:val="007A618D"/>
    <w:rsid w:val="007A6256"/>
    <w:rsid w:val="007A6333"/>
    <w:rsid w:val="007A6477"/>
    <w:rsid w:val="007A650C"/>
    <w:rsid w:val="007A6909"/>
    <w:rsid w:val="007A6A76"/>
    <w:rsid w:val="007A6D83"/>
    <w:rsid w:val="007A6EC4"/>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4BC"/>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644"/>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16F"/>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266"/>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DB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113"/>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472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B17"/>
    <w:rsid w:val="00AC5C2A"/>
    <w:rsid w:val="00AC61B3"/>
    <w:rsid w:val="00AC63F4"/>
    <w:rsid w:val="00AC6490"/>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7E"/>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89C"/>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555"/>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0E"/>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0FF"/>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917"/>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4ED"/>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6B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7C4"/>
    <w:rsid w:val="00E00A07"/>
    <w:rsid w:val="00E00A92"/>
    <w:rsid w:val="00E01395"/>
    <w:rsid w:val="00E019EA"/>
    <w:rsid w:val="00E01A5C"/>
    <w:rsid w:val="00E028E6"/>
    <w:rsid w:val="00E02C20"/>
    <w:rsid w:val="00E0324B"/>
    <w:rsid w:val="00E0345F"/>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479"/>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419"/>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5F9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30B"/>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00FF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HR33RHYHUWRF-13-111048</_dlc_DocId>
    <_dlc_DocIdUrl xmlns="c06861ca-3f08-4d07-bff7-bb15bac121f4">
      <Url>https://projects.qualcomm.com/sites/pentari/_layouts/15/DocIdRedir.aspx?ID=HR33RHYHUWRF-13-111048</Url>
      <Description>HR33RHYHUWRF-13-111048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280BFF8-D7E1-4505-A5C3-AB3244B10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1658</Words>
  <Characters>9455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5</cp:revision>
  <cp:lastPrinted>2014-11-07T05:38:00Z</cp:lastPrinted>
  <dcterms:created xsi:type="dcterms:W3CDTF">2016-08-13T03:17:00Z</dcterms:created>
  <dcterms:modified xsi:type="dcterms:W3CDTF">2016-08-13T04:38:00Z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0812e49c-41f4-496e-a5ed-c8a9ca835f4f</vt:lpwstr>
  </property>
</Properties>
</file>