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E5799" w:rsidRPr="00446F9D" w:rsidRDefault="00FE5799" w:rsidP="00FE5799">
      <w:pPr>
        <w:pStyle w:val="Header"/>
        <w:tabs>
          <w:tab w:val="clear" w:pos="4536"/>
        </w:tabs>
        <w:rPr>
          <w:i/>
        </w:rPr>
      </w:pPr>
      <w:r w:rsidRPr="00446F9D">
        <w:t>TSG-RAN WG1 #</w:t>
      </w:r>
      <w:r w:rsidR="008F6929">
        <w:t>85</w:t>
      </w:r>
      <w:r w:rsidRPr="00446F9D">
        <w:tab/>
        <w:t>R1-</w:t>
      </w:r>
      <w:r w:rsidR="00AA58FF">
        <w:t>164672</w:t>
      </w:r>
    </w:p>
    <w:p w:rsidR="00FE5799" w:rsidRPr="000833FA" w:rsidRDefault="008F6929" w:rsidP="00FE5799">
      <w:pPr>
        <w:pStyle w:val="Header"/>
        <w:rPr>
          <w:color w:val="000000"/>
        </w:rPr>
      </w:pPr>
      <w:r>
        <w:t>Nanjing, China</w:t>
      </w:r>
      <w:r w:rsidR="00FE5799" w:rsidRPr="000833FA">
        <w:t>,</w:t>
      </w:r>
      <w:r>
        <w:t xml:space="preserve"> May 23 – 27</w:t>
      </w:r>
      <w:r w:rsidR="00FE5799">
        <w:t>, 2016</w:t>
      </w:r>
    </w:p>
    <w:p w:rsidR="00FE5799" w:rsidRPr="000833FA" w:rsidRDefault="00FE5799" w:rsidP="00FE5799">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p>
    <w:p w:rsidR="00FE5799" w:rsidRPr="00F64D4A" w:rsidRDefault="00FE5799" w:rsidP="00FE5799">
      <w:pPr>
        <w:pStyle w:val="Header"/>
        <w:tabs>
          <w:tab w:val="clear" w:pos="4536"/>
          <w:tab w:val="left" w:pos="1800"/>
        </w:tabs>
      </w:pPr>
      <w:r w:rsidRPr="0003368D">
        <w:t>Title:</w:t>
      </w:r>
      <w:bookmarkStart w:id="0" w:name="Title"/>
      <w:bookmarkEnd w:id="0"/>
      <w:r w:rsidRPr="0003368D">
        <w:tab/>
      </w:r>
      <w:r w:rsidR="001C434E">
        <w:t>NR multiple access</w:t>
      </w:r>
    </w:p>
    <w:p w:rsidR="00FE5799" w:rsidRPr="0003368D" w:rsidRDefault="00FE5799" w:rsidP="00FE5799">
      <w:pPr>
        <w:pStyle w:val="Header"/>
        <w:tabs>
          <w:tab w:val="left" w:pos="1800"/>
        </w:tabs>
      </w:pPr>
      <w:r w:rsidRPr="0003368D">
        <w:t>Agenda Item:</w:t>
      </w:r>
      <w:bookmarkStart w:id="1" w:name="Source"/>
      <w:bookmarkEnd w:id="1"/>
      <w:r w:rsidRPr="0003368D">
        <w:tab/>
      </w:r>
      <w:r w:rsidR="00AA58FF">
        <w:t>7.1.3.2</w:t>
      </w:r>
    </w:p>
    <w:p w:rsidR="00FE5799" w:rsidRPr="0003368D" w:rsidRDefault="00FE5799" w:rsidP="00FE5799">
      <w:pPr>
        <w:pStyle w:val="Header"/>
        <w:tabs>
          <w:tab w:val="left" w:pos="1800"/>
        </w:tabs>
      </w:pPr>
      <w:r w:rsidRPr="0003368D">
        <w:t>Document for:</w:t>
      </w:r>
      <w:r w:rsidRPr="0003368D">
        <w:tab/>
      </w:r>
      <w:bookmarkStart w:id="2" w:name="DocumentFor"/>
      <w:bookmarkEnd w:id="2"/>
      <w:r w:rsidRPr="0003368D">
        <w:t xml:space="preserve">Discussion </w:t>
      </w:r>
      <w:r>
        <w:t>and Decision</w:t>
      </w:r>
    </w:p>
    <w:p w:rsidR="00FE5799" w:rsidRPr="002100D2" w:rsidRDefault="00FE5799" w:rsidP="00FE5799">
      <w:pPr>
        <w:pBdr>
          <w:bottom w:val="single" w:sz="4" w:space="1" w:color="auto"/>
        </w:pBdr>
        <w:tabs>
          <w:tab w:val="left" w:pos="2552"/>
        </w:tabs>
      </w:pPr>
    </w:p>
    <w:p w:rsidR="00FE5799" w:rsidRDefault="00582543" w:rsidP="00FE5799">
      <w:pPr>
        <w:pStyle w:val="Heading1"/>
      </w:pPr>
      <w:r>
        <w:t>Background</w:t>
      </w:r>
    </w:p>
    <w:p w:rsidR="001C434E" w:rsidRDefault="005406BC" w:rsidP="00582543">
      <w:pPr>
        <w:pStyle w:val="BodyText"/>
      </w:pPr>
      <w:r>
        <w:t>At RAN1 #84b it was concluded</w:t>
      </w:r>
      <w:r w:rsidR="001C434E">
        <w:t xml:space="preserve"> that NR </w:t>
      </w:r>
      <w:r>
        <w:t xml:space="preserve">waveform is </w:t>
      </w:r>
      <w:r w:rsidR="001C434E">
        <w:t xml:space="preserve">based on OFDM transmission </w:t>
      </w:r>
      <w:r>
        <w:t>[</w:t>
      </w:r>
      <w:r w:rsidR="001C434E">
        <w:t>for both base station and device transmission</w:t>
      </w:r>
      <w:r>
        <w:t>]</w:t>
      </w:r>
      <w:r w:rsidR="001C434E">
        <w:t xml:space="preserve">, </w:t>
      </w:r>
      <w:r w:rsidR="00867424">
        <w:t>with</w:t>
      </w:r>
      <w:r w:rsidR="001C434E">
        <w:t xml:space="preserve"> additiona</w:t>
      </w:r>
      <w:r w:rsidR="00867424">
        <w:t xml:space="preserve">l functionality </w:t>
      </w:r>
      <w:r>
        <w:t>added on top</w:t>
      </w:r>
      <w:r w:rsidR="001C434E">
        <w:t xml:space="preserve"> of OFDM</w:t>
      </w:r>
      <w:r w:rsidR="00867424">
        <w:t xml:space="preserve"> to be further </w:t>
      </w:r>
      <w:r>
        <w:t>considered. Thus,</w:t>
      </w:r>
      <w:r w:rsidR="001C434E">
        <w:t xml:space="preserve"> the basic </w:t>
      </w:r>
      <w:r w:rsidR="00867424">
        <w:t xml:space="preserve">NR transmission </w:t>
      </w:r>
      <w:r w:rsidR="001C434E">
        <w:t xml:space="preserve">resource consists of </w:t>
      </w:r>
      <w:r w:rsidR="00867424">
        <w:t xml:space="preserve">a set of </w:t>
      </w:r>
      <w:r w:rsidR="001C434E" w:rsidRPr="00867424">
        <w:rPr>
          <w:i/>
        </w:rPr>
        <w:t>resource elements</w:t>
      </w:r>
      <w:r w:rsidR="001C434E">
        <w:t xml:space="preserve"> within </w:t>
      </w:r>
      <w:r>
        <w:t xml:space="preserve">an overall </w:t>
      </w:r>
      <w:r w:rsidR="00867424">
        <w:t xml:space="preserve">OFDM </w:t>
      </w:r>
      <w:r>
        <w:t xml:space="preserve">time/frequency </w:t>
      </w:r>
      <w:r w:rsidR="00867424">
        <w:t xml:space="preserve">resource </w:t>
      </w:r>
      <w:r>
        <w:t xml:space="preserve">grid. </w:t>
      </w:r>
      <w:r w:rsidR="001C434E">
        <w:t>Multiplexing and multiple access deals with the question how different transmissions to be carried o</w:t>
      </w:r>
      <w:r>
        <w:t>ut in parallel are jointly mapped to this overall time/frequency resource</w:t>
      </w:r>
      <w:r w:rsidR="001C434E">
        <w:t xml:space="preserve">. </w:t>
      </w:r>
    </w:p>
    <w:p w:rsidR="001C434E" w:rsidRDefault="001C434E" w:rsidP="005406BC">
      <w:pPr>
        <w:pStyle w:val="Heading1"/>
      </w:pPr>
      <w:r>
        <w:t xml:space="preserve">Downlink multiplexing </w:t>
      </w:r>
    </w:p>
    <w:p w:rsidR="001C434E" w:rsidRDefault="001C434E" w:rsidP="00582543">
      <w:pPr>
        <w:pStyle w:val="BodyText"/>
      </w:pPr>
      <w:r>
        <w:t>On the downlink, LTE is mainly relying on orthogonal</w:t>
      </w:r>
      <w:r w:rsidR="005406BC">
        <w:t xml:space="preserve"> multiplexing of </w:t>
      </w:r>
      <w:r>
        <w:t>data transmissions</w:t>
      </w:r>
      <w:r w:rsidR="00867424">
        <w:t xml:space="preserve"> within a cell. Thus, </w:t>
      </w:r>
      <w:r>
        <w:t xml:space="preserve">different transmissions are carried out on different non-overlapping sets of </w:t>
      </w:r>
      <w:r w:rsidR="005406BC">
        <w:t xml:space="preserve">the overall </w:t>
      </w:r>
      <w:r>
        <w:t xml:space="preserve">time/frequency resources. As a consequence there is no mutual interference between the transmissions at the receiver side. </w:t>
      </w:r>
    </w:p>
    <w:p w:rsidR="00867424" w:rsidRDefault="001C434E" w:rsidP="00582543">
      <w:pPr>
        <w:pStyle w:val="BodyText"/>
      </w:pPr>
      <w:r>
        <w:t>At least in theory, higher overall capacity c</w:t>
      </w:r>
      <w:r w:rsidR="005406BC">
        <w:t>an be achieved by extending to non-orthogonal multiplexing, implying that different transmissions are carried out on at least partly overlapping time/frequency resources. However, to realize th</w:t>
      </w:r>
      <w:r w:rsidR="00867424">
        <w:t>is gain</w:t>
      </w:r>
      <w:r w:rsidR="005406BC">
        <w:t xml:space="preserve"> of non-orthogonal multiplexing there is a need for </w:t>
      </w:r>
      <w:r w:rsidR="00867424">
        <w:t>more advanced receiver structures at the device side, with the device having to be aware of not only the structure of its own transmission but also the structure of the other parallel non-orthogonal transmissions</w:t>
      </w:r>
      <w:r w:rsidR="005406BC">
        <w:t xml:space="preserve">. </w:t>
      </w:r>
      <w:r w:rsidR="00391796">
        <w:t xml:space="preserve">This </w:t>
      </w:r>
      <w:r w:rsidR="00246FA2">
        <w:t>implies a</w:t>
      </w:r>
      <w:r w:rsidR="00867424">
        <w:t xml:space="preserve"> relatively</w:t>
      </w:r>
      <w:r w:rsidR="00391796">
        <w:t xml:space="preserve"> complicated signaling problem and it is uncl</w:t>
      </w:r>
      <w:r w:rsidR="00867424">
        <w:t>ear if such functionality needs to</w:t>
      </w:r>
      <w:r w:rsidR="00391796">
        <w:t xml:space="preserve"> be included in NR from the first releases. </w:t>
      </w:r>
      <w:r w:rsidR="00867424">
        <w:t>Especially decisions to include such f</w:t>
      </w:r>
      <w:r w:rsidR="00246FA2">
        <w:t>unctionality should not be taken</w:t>
      </w:r>
      <w:r w:rsidR="00867424">
        <w:t xml:space="preserve"> without coordination with other decisions related to for example MIMO transmission and multipoint transmission. </w:t>
      </w:r>
    </w:p>
    <w:p w:rsidR="00AA58FF" w:rsidRDefault="00867424" w:rsidP="00582543">
      <w:pPr>
        <w:pStyle w:val="BodyText"/>
      </w:pPr>
      <w:r>
        <w:t>Future-proof design is one of the key requirements of the early phases of the NR radio-access technology. Future introduction of non-orthogonal multiplexing on the downlink would require that resources w</w:t>
      </w:r>
      <w:r w:rsidR="00246FA2">
        <w:t>here non-orthogonal multiplexing</w:t>
      </w:r>
      <w:r>
        <w:t xml:space="preserve"> is used can be separated from resources on which there is no non-orthogonal multiplexing. However, this is al</w:t>
      </w:r>
      <w:r w:rsidR="00AA58FF">
        <w:t xml:space="preserve">ready covered by the decisions on NR design principles taken at RAN1 84b, especially </w:t>
      </w:r>
    </w:p>
    <w:p w:rsidR="00AA58FF" w:rsidRPr="00AA58FF" w:rsidRDefault="00AA58FF" w:rsidP="00AA58FF">
      <w:pPr>
        <w:numPr>
          <w:ilvl w:val="2"/>
          <w:numId w:val="11"/>
        </w:numPr>
        <w:tabs>
          <w:tab w:val="clear" w:pos="2160"/>
          <w:tab w:val="num" w:pos="360"/>
        </w:tabs>
        <w:ind w:left="360"/>
        <w:rPr>
          <w:rFonts w:eastAsia="MS Mincho"/>
          <w:i/>
          <w:lang w:eastAsia="ja-JP"/>
        </w:rPr>
      </w:pPr>
      <w:r w:rsidRPr="00AA58FF">
        <w:rPr>
          <w:rFonts w:eastAsia="MS Mincho"/>
          <w:i/>
          <w:lang w:eastAsia="ja-JP"/>
        </w:rPr>
        <w:t xml:space="preserve">Maximizing the amount of time and freq. resources that can be flexibly utilized or that can be left blanked without causing backward compatibility issues in the future </w:t>
      </w:r>
    </w:p>
    <w:p w:rsidR="00AA58FF" w:rsidRPr="00AA58FF" w:rsidRDefault="00AA58FF" w:rsidP="00AA58FF">
      <w:pPr>
        <w:numPr>
          <w:ilvl w:val="2"/>
          <w:numId w:val="11"/>
        </w:numPr>
        <w:ind w:left="360"/>
        <w:rPr>
          <w:rFonts w:eastAsia="MS Mincho"/>
          <w:i/>
          <w:lang w:eastAsia="ja-JP"/>
        </w:rPr>
      </w:pPr>
      <w:r w:rsidRPr="00AA58FF">
        <w:rPr>
          <w:rFonts w:eastAsia="MS Mincho"/>
          <w:i/>
          <w:lang w:eastAsia="ja-JP"/>
        </w:rPr>
        <w:t>Confining signals and channels for physical layer functionalities (signals, channels, signaling) within a configurable/allocable time/freq. resource</w:t>
      </w:r>
    </w:p>
    <w:p w:rsidR="00AA58FF" w:rsidRDefault="00AA58FF" w:rsidP="00AA58FF">
      <w:pPr>
        <w:pStyle w:val="BodyText"/>
      </w:pPr>
    </w:p>
    <w:p w:rsidR="001C434E" w:rsidRDefault="00391796" w:rsidP="00391796">
      <w:pPr>
        <w:pStyle w:val="Heading1"/>
      </w:pPr>
      <w:r>
        <w:t>Uplink multiple access</w:t>
      </w:r>
    </w:p>
    <w:p w:rsidR="00391796" w:rsidRDefault="00391796" w:rsidP="00582543">
      <w:pPr>
        <w:pStyle w:val="BodyText"/>
      </w:pPr>
      <w:r>
        <w:t xml:space="preserve">Similar to the downlink, the LTE uplink mainly relies </w:t>
      </w:r>
      <w:r w:rsidR="00AA58FF">
        <w:t xml:space="preserve">on orthogonal multiple </w:t>
      </w:r>
      <w:r>
        <w:t xml:space="preserve">access within a cell, i.e. simultaneous (within the same subframe) uplink transmissions </w:t>
      </w:r>
      <w:r w:rsidR="00AA58FF">
        <w:t>from different devices are</w:t>
      </w:r>
      <w:r>
        <w:t xml:space="preserve"> carried out on different non-overlapp</w:t>
      </w:r>
      <w:r w:rsidR="00AA58FF">
        <w:t xml:space="preserve">ing sets of </w:t>
      </w:r>
      <w:r>
        <w:t xml:space="preserve">time/frequency resources. This is </w:t>
      </w:r>
      <w:r w:rsidR="00AA58FF">
        <w:t xml:space="preserve">enabled </w:t>
      </w:r>
      <w:r>
        <w:t xml:space="preserve">by </w:t>
      </w:r>
      <w:r w:rsidR="00AA58FF">
        <w:t>explicit and dynamic</w:t>
      </w:r>
      <w:r>
        <w:t xml:space="preserve"> time alignment</w:t>
      </w:r>
      <w:r w:rsidR="00AA58FF">
        <w:t xml:space="preserve"> of uplink transmissions</w:t>
      </w:r>
      <w:r>
        <w:t>, ensuring that transmissions from different devices are received relatively well time aligned at the base station, in combination</w:t>
      </w:r>
      <w:r w:rsidR="00AA58FF">
        <w:t xml:space="preserve"> with dynamic </w:t>
      </w:r>
      <w:r>
        <w:t xml:space="preserve">scheduling of the resources to use for an uplink transmission by means of </w:t>
      </w:r>
      <w:r w:rsidR="00AA58FF">
        <w:t xml:space="preserve">uplink scheduling requests and corresponding explicit </w:t>
      </w:r>
      <w:r>
        <w:t>scheduling grants</w:t>
      </w:r>
      <w:r w:rsidR="00AA58FF">
        <w:t xml:space="preserve"> provided on the downlink</w:t>
      </w:r>
      <w:r>
        <w:t>.</w:t>
      </w:r>
    </w:p>
    <w:p w:rsidR="00AA58FF" w:rsidRDefault="00391796" w:rsidP="00582543">
      <w:pPr>
        <w:pStyle w:val="BodyText"/>
      </w:pPr>
      <w:r>
        <w:t xml:space="preserve">It is expected that the same approach, i.e. </w:t>
      </w:r>
      <w:r w:rsidR="00AA58FF">
        <w:t xml:space="preserve">explicit and dynamic </w:t>
      </w:r>
      <w:r>
        <w:t>time alignment in combination with explicit</w:t>
      </w:r>
      <w:r w:rsidR="00AA58FF">
        <w:t xml:space="preserve"> and dynamic</w:t>
      </w:r>
      <w:r>
        <w:t xml:space="preserve"> scheduling of orthogonal resources will be a</w:t>
      </w:r>
      <w:r w:rsidR="00C202E0">
        <w:t xml:space="preserve"> main mode of operation also for NR device transmissions. How</w:t>
      </w:r>
      <w:r w:rsidR="00AA58FF">
        <w:t>ever, for the uplink it is important</w:t>
      </w:r>
      <w:r w:rsidR="00C202E0">
        <w:t xml:space="preserve"> to </w:t>
      </w:r>
      <w:r w:rsidR="00AA58FF">
        <w:t xml:space="preserve">also </w:t>
      </w:r>
      <w:r w:rsidR="00C202E0">
        <w:t xml:space="preserve">consider </w:t>
      </w:r>
      <w:r w:rsidR="00AA58FF">
        <w:t xml:space="preserve">the support for </w:t>
      </w:r>
      <w:r w:rsidR="00C202E0" w:rsidRPr="00AA58FF">
        <w:rPr>
          <w:i/>
        </w:rPr>
        <w:t>complementa</w:t>
      </w:r>
      <w:r w:rsidR="00C202E0" w:rsidRPr="00AA58FF">
        <w:t>ry</w:t>
      </w:r>
      <w:r w:rsidR="00C202E0">
        <w:t xml:space="preserve"> non-orthogonal </w:t>
      </w:r>
      <w:r w:rsidR="00AA58FF">
        <w:t xml:space="preserve">device </w:t>
      </w:r>
      <w:r w:rsidR="00C202E0">
        <w:t>transmission</w:t>
      </w:r>
      <w:r w:rsidR="00AA58FF">
        <w:t>s</w:t>
      </w:r>
      <w:r w:rsidR="00C202E0">
        <w:t>. Specifically, it makes sense to consider complementary transmission not requiring devices to be provided with explicit dedicated scheduling grants and requiring tight time a</w:t>
      </w:r>
      <w:r w:rsidR="00AA58FF">
        <w:t>lignment between transmissions.</w:t>
      </w:r>
    </w:p>
    <w:p w:rsidR="00C202E0" w:rsidRDefault="00AA58FF" w:rsidP="00582543">
      <w:pPr>
        <w:pStyle w:val="BodyText"/>
      </w:pPr>
      <w:r>
        <w:t xml:space="preserve">The support for non-orthogonal device transmissions </w:t>
      </w:r>
      <w:r w:rsidR="00C202E0">
        <w:t xml:space="preserve">is </w:t>
      </w:r>
      <w:r>
        <w:t xml:space="preserve">specifically </w:t>
      </w:r>
      <w:r w:rsidR="00C202E0">
        <w:t>relevant for</w:t>
      </w:r>
    </w:p>
    <w:p w:rsidR="00C202E0" w:rsidRDefault="00C202E0" w:rsidP="00C202E0">
      <w:pPr>
        <w:pStyle w:val="BodyText"/>
        <w:numPr>
          <w:ilvl w:val="0"/>
          <w:numId w:val="10"/>
        </w:numPr>
      </w:pPr>
      <w:r>
        <w:t>Transmission of very small data payloads for which the signaling to request scheduling and providing scheduling grants would lead to a substantial overhead</w:t>
      </w:r>
    </w:p>
    <w:p w:rsidR="00C202E0" w:rsidRDefault="00AA58FF" w:rsidP="00C202E0">
      <w:pPr>
        <w:pStyle w:val="BodyText"/>
        <w:numPr>
          <w:ilvl w:val="0"/>
          <w:numId w:val="10"/>
        </w:numPr>
      </w:pPr>
      <w:r>
        <w:lastRenderedPageBreak/>
        <w:t>Transmissi</w:t>
      </w:r>
      <w:r w:rsidR="00C202E0">
        <w:t xml:space="preserve">on of </w:t>
      </w:r>
      <w:r>
        <w:t>delay-critical payloads for which the latency to request scheduling and providing scheduling grants is not acceptable and f</w:t>
      </w:r>
      <w:r w:rsidR="003B6CED">
        <w:t xml:space="preserve">or which, at the same time, </w:t>
      </w:r>
      <w:r>
        <w:t>semi-static assignment of a dedicated resource cannot be justified.</w:t>
      </w:r>
    </w:p>
    <w:p w:rsidR="00C202E0" w:rsidRDefault="00C202E0" w:rsidP="00C202E0">
      <w:pPr>
        <w:pStyle w:val="BodyText"/>
      </w:pPr>
      <w:r>
        <w:t xml:space="preserve">Uplink non-orthogonal transmissions can be supported in different ways. </w:t>
      </w:r>
    </w:p>
    <w:p w:rsidR="00621DB8" w:rsidRDefault="00C202E0" w:rsidP="00C202E0">
      <w:pPr>
        <w:pStyle w:val="BodyText"/>
      </w:pPr>
      <w:r>
        <w:t xml:space="preserve">In the </w:t>
      </w:r>
      <w:proofErr w:type="gramStart"/>
      <w:r>
        <w:t>most simple</w:t>
      </w:r>
      <w:proofErr w:type="gramEnd"/>
      <w:r>
        <w:t xml:space="preserve"> case, devices are simply </w:t>
      </w:r>
      <w:r w:rsidR="003B6CED">
        <w:t xml:space="preserve">semi-statically </w:t>
      </w:r>
      <w:r>
        <w:t xml:space="preserve">provided with </w:t>
      </w:r>
      <w:r w:rsidR="000606B1">
        <w:t xml:space="preserve">non-dedicated </w:t>
      </w:r>
      <w:r w:rsidR="003B6CED">
        <w:t>resource</w:t>
      </w:r>
      <w:r w:rsidR="000606B1">
        <w:t>s that can be used on a per need basis</w:t>
      </w:r>
      <w:r>
        <w:t xml:space="preserve">. If multiple devices use the </w:t>
      </w:r>
      <w:r w:rsidR="000606B1">
        <w:t>same resource there will be a collision</w:t>
      </w:r>
      <w:r>
        <w:t xml:space="preserve"> that</w:t>
      </w:r>
      <w:r w:rsidR="000606B1">
        <w:t xml:space="preserve">, in the </w:t>
      </w:r>
      <w:proofErr w:type="gramStart"/>
      <w:r w:rsidR="000606B1">
        <w:t>most simple</w:t>
      </w:r>
      <w:proofErr w:type="gramEnd"/>
      <w:r w:rsidR="000606B1">
        <w:t xml:space="preserve"> case, can </w:t>
      </w:r>
      <w:r>
        <w:t xml:space="preserve">be resolved by retransmission. </w:t>
      </w:r>
      <w:r w:rsidR="000606B1">
        <w:t>However, this approach will not work properly as soon as the load is such that the number of collisions starts to become substantial.</w:t>
      </w:r>
      <w:r>
        <w:t xml:space="preserve"> </w:t>
      </w:r>
    </w:p>
    <w:p w:rsidR="00621DB8" w:rsidRDefault="00621DB8" w:rsidP="00C202E0">
      <w:pPr>
        <w:pStyle w:val="BodyText"/>
      </w:pPr>
      <w:r>
        <w:t>To allow for multiple non-orthogonal transmissions to be properly decoded without any specific joint-detection functionality at the receiver</w:t>
      </w:r>
      <w:r w:rsidR="000606B1">
        <w:t xml:space="preserve"> side</w:t>
      </w:r>
      <w:r>
        <w:t>,</w:t>
      </w:r>
      <w:r w:rsidR="00246FA2">
        <w:t xml:space="preserve"> the transmissions sh</w:t>
      </w:r>
      <w:r w:rsidR="000606B1">
        <w:t xml:space="preserve">ould </w:t>
      </w:r>
      <w:r>
        <w:t xml:space="preserve">be configured </w:t>
      </w:r>
      <w:r w:rsidR="000606B1">
        <w:t xml:space="preserve">to provide </w:t>
      </w:r>
      <w:r>
        <w:t>sufficient processing gain</w:t>
      </w:r>
      <w:r w:rsidR="000606B1">
        <w:t xml:space="preserve"> to</w:t>
      </w:r>
      <w:bookmarkStart w:id="3" w:name="_GoBack"/>
      <w:bookmarkEnd w:id="3"/>
      <w:r w:rsidR="000606B1">
        <w:t xml:space="preserve"> allow for decoding also in presence of the interference from the non-orthogonal transmissions</w:t>
      </w:r>
      <w:r>
        <w:t>. Note that this is very much the principle app</w:t>
      </w:r>
      <w:r w:rsidR="000606B1">
        <w:t>lied for</w:t>
      </w:r>
      <w:r>
        <w:t xml:space="preserve"> the WCDMA/HSPA uplink. Processing gain can be provided by means of direct-sequence spreading (in the time/frequency-domain in case of OFDM based transmission) or by explicit FEC. In practice, a c</w:t>
      </w:r>
      <w:r w:rsidR="000606B1">
        <w:t xml:space="preserve">ombination of these will </w:t>
      </w:r>
      <w:r>
        <w:t xml:space="preserve">be used where explicit FEC is used down to a certain code rate (up to a certain processing gain) </w:t>
      </w:r>
      <w:r w:rsidR="00246FA2">
        <w:t>and repetition coding (equivalent to</w:t>
      </w:r>
      <w:r>
        <w:t xml:space="preserve"> direct-sequence spreading) is applied to further increase the processing g</w:t>
      </w:r>
      <w:r w:rsidR="00246FA2">
        <w:t xml:space="preserve">ain. Our understanding is that, for example, </w:t>
      </w:r>
      <w:r>
        <w:t>RSMA [1] falls under this approach.</w:t>
      </w:r>
    </w:p>
    <w:p w:rsidR="00391796" w:rsidRDefault="00621DB8" w:rsidP="00C202E0">
      <w:pPr>
        <w:pStyle w:val="BodyText"/>
      </w:pPr>
      <w:r>
        <w:t>It should be noted that the use of processing gain to receive multiple non-orthogonal transmis</w:t>
      </w:r>
      <w:r w:rsidR="000606B1">
        <w:t>sions require that the transmis</w:t>
      </w:r>
      <w:r>
        <w:t>s</w:t>
      </w:r>
      <w:r w:rsidR="000606B1">
        <w:t>i</w:t>
      </w:r>
      <w:r>
        <w:t>ons are received by approximately the same power assuming the processing gain is the same</w:t>
      </w:r>
      <w:r>
        <w:rPr>
          <w:rStyle w:val="FootnoteReference"/>
        </w:rPr>
        <w:footnoteReference w:id="1"/>
      </w:r>
      <w:r>
        <w:t>. This requires at least some degree of power control of the device transmissions, som</w:t>
      </w:r>
      <w:r w:rsidR="00246FA2">
        <w:t>ething that may not always be possible if low overhead or very low latency is required.</w:t>
      </w:r>
    </w:p>
    <w:p w:rsidR="00621DB8" w:rsidRDefault="00246FA2" w:rsidP="00C202E0">
      <w:pPr>
        <w:pStyle w:val="BodyText"/>
      </w:pPr>
      <w:r>
        <w:t>If power control can</w:t>
      </w:r>
      <w:r w:rsidR="00621DB8">
        <w:t>not be achieved, more advanced “joint-detection” approaches, such as successive interference cancellation is needed</w:t>
      </w:r>
      <w:r>
        <w:t xml:space="preserve">. </w:t>
      </w:r>
    </w:p>
    <w:p w:rsidR="003B6CED" w:rsidRDefault="00621DB8" w:rsidP="00C202E0">
      <w:pPr>
        <w:pStyle w:val="BodyText"/>
      </w:pPr>
      <w:r>
        <w:t xml:space="preserve">Alternatively, to support non-orthogonal device transmissions within a cell, one </w:t>
      </w:r>
      <w:r w:rsidR="00246FA2">
        <w:t xml:space="preserve">can </w:t>
      </w:r>
      <w:r>
        <w:t xml:space="preserve">use specific transmission formats that are </w:t>
      </w:r>
      <w:r w:rsidR="00693213">
        <w:t xml:space="preserve">specifically designed to enable “better” joint detection. </w:t>
      </w:r>
      <w:r w:rsidR="00246FA2">
        <w:t>Our understanding is that MUSA</w:t>
      </w:r>
      <w:r w:rsidR="003B6CED">
        <w:t xml:space="preserve"> [2]</w:t>
      </w:r>
      <w:r w:rsidR="00246FA2">
        <w:t>, SCMA</w:t>
      </w:r>
      <w:r w:rsidR="003B6CED">
        <w:t xml:space="preserve"> [3]</w:t>
      </w:r>
      <w:r w:rsidR="00246FA2">
        <w:t>, and</w:t>
      </w:r>
      <w:r w:rsidR="003B6CED">
        <w:t xml:space="preserve"> PDMA [4] are examples of this approach.</w:t>
      </w:r>
    </w:p>
    <w:p w:rsidR="00621DB8" w:rsidRDefault="003B6CED" w:rsidP="00C202E0">
      <w:pPr>
        <w:pStyle w:val="BodyText"/>
      </w:pPr>
      <w:r>
        <w:t>It is important to ensure that a non-orthogonal transmission scheme for the NR uplink should enable operation without the need for explicit and dynamic scheduling. It should also allow for asynchronous uplink transmissions.</w:t>
      </w:r>
      <w:r w:rsidR="00246FA2">
        <w:t xml:space="preserve"> </w:t>
      </w:r>
    </w:p>
    <w:p w:rsidR="00246FA2" w:rsidRDefault="003B6CED" w:rsidP="003B6CED">
      <w:pPr>
        <w:pStyle w:val="Heading1"/>
      </w:pPr>
      <w:r>
        <w:t>Recommendations</w:t>
      </w:r>
    </w:p>
    <w:p w:rsidR="003B6CED" w:rsidRPr="00AA58FF" w:rsidRDefault="003B6CED" w:rsidP="003B6CED">
      <w:pPr>
        <w:pStyle w:val="BodyText"/>
        <w:numPr>
          <w:ilvl w:val="0"/>
          <w:numId w:val="10"/>
        </w:numPr>
        <w:rPr>
          <w:i/>
        </w:rPr>
      </w:pPr>
      <w:r w:rsidRPr="00AA58FF">
        <w:rPr>
          <w:i/>
        </w:rPr>
        <w:t>Do not make a decision to introduce downlink non-orthogonal transmissions at this stage. Esp</w:t>
      </w:r>
      <w:r>
        <w:rPr>
          <w:i/>
        </w:rPr>
        <w:t>ecially, decisions to include su</w:t>
      </w:r>
      <w:r w:rsidRPr="00AA58FF">
        <w:rPr>
          <w:i/>
        </w:rPr>
        <w:t>ch functionality should not be taken without coordination with other decisions related to for example MIMO transmission and multipoint transmission.</w:t>
      </w:r>
    </w:p>
    <w:p w:rsidR="00693213" w:rsidRPr="003B6CED" w:rsidRDefault="00693213" w:rsidP="003B6CED">
      <w:pPr>
        <w:pStyle w:val="BodyText"/>
        <w:numPr>
          <w:ilvl w:val="0"/>
          <w:numId w:val="10"/>
        </w:numPr>
        <w:rPr>
          <w:i/>
        </w:rPr>
      </w:pPr>
      <w:r w:rsidRPr="003B6CED">
        <w:rPr>
          <w:i/>
        </w:rPr>
        <w:t xml:space="preserve">NR uplink should support non-orthogonal uplink transmission, at least for small payloads and highly delay-critical transmissions. Such non-orthogonal uplink transmissions should </w:t>
      </w:r>
      <w:r w:rsidR="003B6CED" w:rsidRPr="003B6CED">
        <w:rPr>
          <w:i/>
        </w:rPr>
        <w:t xml:space="preserve">enable operation </w:t>
      </w:r>
      <w:proofErr w:type="gramStart"/>
      <w:r w:rsidR="003B6CED" w:rsidRPr="003B6CED">
        <w:rPr>
          <w:i/>
        </w:rPr>
        <w:t>without</w:t>
      </w:r>
      <w:proofErr w:type="gramEnd"/>
      <w:r w:rsidR="003B6CED" w:rsidRPr="003B6CED">
        <w:rPr>
          <w:i/>
        </w:rPr>
        <w:t xml:space="preserve"> the need for explicit and dynamic scheduling. It should also allow for asynchronous uplink transmission. </w:t>
      </w:r>
    </w:p>
    <w:p w:rsidR="003B6CED" w:rsidRDefault="003B6CED" w:rsidP="003B6CED">
      <w:pPr>
        <w:pStyle w:val="Heading1"/>
      </w:pPr>
      <w:r>
        <w:t>References</w:t>
      </w:r>
    </w:p>
    <w:p w:rsidR="00246FA2" w:rsidRPr="003B6CED" w:rsidRDefault="00246FA2" w:rsidP="003B6CED">
      <w:pPr>
        <w:pStyle w:val="BodyText"/>
      </w:pPr>
      <w:r>
        <w:t>[1] R1-163510 “</w:t>
      </w:r>
      <w:r w:rsidR="003B6CED" w:rsidRPr="003B6CED">
        <w:t>Candidate NR multiple access schemes</w:t>
      </w:r>
      <w:r w:rsidR="003B6CED">
        <w:t>,” Qualcomm</w:t>
      </w:r>
    </w:p>
    <w:p w:rsidR="00C202E0" w:rsidRPr="00246FA2" w:rsidRDefault="00246FA2" w:rsidP="003B6CED">
      <w:pPr>
        <w:pStyle w:val="BodyText"/>
        <w:tabs>
          <w:tab w:val="left" w:pos="6660"/>
        </w:tabs>
      </w:pPr>
      <w:r>
        <w:t xml:space="preserve">[2] </w:t>
      </w:r>
      <w:r>
        <w:rPr>
          <w:lang w:eastAsia="ja-JP"/>
        </w:rPr>
        <w:t>R1-162226</w:t>
      </w:r>
      <w:r>
        <w:rPr>
          <w:lang w:eastAsia="ja-JP"/>
        </w:rPr>
        <w:t xml:space="preserve"> “</w:t>
      </w:r>
      <w:r w:rsidRPr="00246FA2">
        <w:t xml:space="preserve">Discussion on multiple </w:t>
      </w:r>
      <w:proofErr w:type="gramStart"/>
      <w:r w:rsidRPr="00246FA2">
        <w:t>access</w:t>
      </w:r>
      <w:proofErr w:type="gramEnd"/>
      <w:r w:rsidRPr="00246FA2">
        <w:t xml:space="preserve"> for new radio interface</w:t>
      </w:r>
      <w:r>
        <w:t>,” ZTE</w:t>
      </w:r>
      <w:r w:rsidR="003B6CED">
        <w:tab/>
      </w:r>
    </w:p>
    <w:p w:rsidR="00246FA2" w:rsidRDefault="00246FA2" w:rsidP="003B6CED">
      <w:pPr>
        <w:pStyle w:val="BodyText"/>
      </w:pPr>
      <w:r>
        <w:t>[3] R1-162153</w:t>
      </w:r>
      <w:r w:rsidRPr="00246FA2">
        <w:t xml:space="preserve"> </w:t>
      </w:r>
      <w:r>
        <w:t>“</w:t>
      </w:r>
      <w:r w:rsidRPr="00246FA2">
        <w:t>Overview of non-orthogonal mu</w:t>
      </w:r>
      <w:r w:rsidR="003B6CED">
        <w:t>lt</w:t>
      </w:r>
      <w:r w:rsidRPr="00246FA2">
        <w:t>iple access for 5G</w:t>
      </w:r>
      <w:r>
        <w:t xml:space="preserve">,” Huawei, </w:t>
      </w:r>
      <w:proofErr w:type="spellStart"/>
      <w:r>
        <w:t>HiSilicon</w:t>
      </w:r>
      <w:proofErr w:type="spellEnd"/>
    </w:p>
    <w:p w:rsidR="00246FA2" w:rsidRPr="00246FA2" w:rsidRDefault="00246FA2" w:rsidP="003B6CED">
      <w:pPr>
        <w:pStyle w:val="BodyText"/>
      </w:pPr>
      <w:r>
        <w:t>[4] R1-16</w:t>
      </w:r>
      <w:r w:rsidR="003B6CED">
        <w:t>3383 “</w:t>
      </w:r>
      <w:r w:rsidR="003B6CED" w:rsidRPr="003B6CED">
        <w:t>Candidate Solution for New Multiple Access</w:t>
      </w:r>
      <w:r w:rsidR="003B6CED">
        <w:t xml:space="preserve">, </w:t>
      </w:r>
      <w:proofErr w:type="gramStart"/>
      <w:r w:rsidR="003B6CED">
        <w:t>“ CATT</w:t>
      </w:r>
      <w:proofErr w:type="gramEnd"/>
    </w:p>
    <w:p w:rsidR="00C202E0" w:rsidRDefault="00C202E0" w:rsidP="00582543">
      <w:pPr>
        <w:pStyle w:val="BodyText"/>
      </w:pPr>
    </w:p>
    <w:sectPr w:rsidR="00C202E0">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6BAA" w:rsidRDefault="00116BAA">
      <w:r>
        <w:separator/>
      </w:r>
    </w:p>
  </w:endnote>
  <w:endnote w:type="continuationSeparator" w:id="0">
    <w:p w:rsidR="00116BAA" w:rsidRDefault="00116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6BAA" w:rsidRDefault="00116BAA">
      <w:r>
        <w:separator/>
      </w:r>
    </w:p>
  </w:footnote>
  <w:footnote w:type="continuationSeparator" w:id="0">
    <w:p w:rsidR="00116BAA" w:rsidRDefault="00116BAA">
      <w:r>
        <w:continuationSeparator/>
      </w:r>
    </w:p>
  </w:footnote>
  <w:footnote w:id="1">
    <w:p w:rsidR="00621DB8" w:rsidRPr="00621DB8" w:rsidRDefault="00621DB8">
      <w:pPr>
        <w:pStyle w:val="FootnoteText"/>
      </w:pPr>
      <w:r>
        <w:rPr>
          <w:rStyle w:val="FootnoteReference"/>
        </w:rPr>
        <w:footnoteRef/>
      </w:r>
      <w:r>
        <w:t xml:space="preserve"> </w:t>
      </w:r>
      <w:r w:rsidRPr="00621DB8">
        <w:t>In the general case the received powers should match th</w:t>
      </w:r>
      <w:r w:rsidR="003B6CED">
        <w:t>e processing gain of each transmission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rsidP="00417FDA">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34E" w:rsidRDefault="001C434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nsid w:val="1EFB4314"/>
    <w:multiLevelType w:val="hybridMultilevel"/>
    <w:tmpl w:val="4CDAC13A"/>
    <w:lvl w:ilvl="0" w:tplc="6A00F4EC">
      <w:start w:val="1"/>
      <w:numFmt w:val="bullet"/>
      <w:lvlText w:val="•"/>
      <w:lvlJc w:val="left"/>
      <w:pPr>
        <w:tabs>
          <w:tab w:val="num" w:pos="360"/>
        </w:tabs>
        <w:ind w:left="360" w:hanging="360"/>
      </w:pPr>
      <w:rPr>
        <w:rFonts w:ascii="Arial" w:hAnsi="Arial" w:hint="default"/>
      </w:rPr>
    </w:lvl>
    <w:lvl w:ilvl="1" w:tplc="97787356">
      <w:start w:val="3147"/>
      <w:numFmt w:val="bullet"/>
      <w:lvlText w:val="–"/>
      <w:lvlJc w:val="left"/>
      <w:pPr>
        <w:tabs>
          <w:tab w:val="num" w:pos="1080"/>
        </w:tabs>
        <w:ind w:left="1080" w:hanging="360"/>
      </w:pPr>
      <w:rPr>
        <w:rFonts w:ascii="Arial" w:hAnsi="Arial" w:hint="default"/>
      </w:rPr>
    </w:lvl>
    <w:lvl w:ilvl="2" w:tplc="1B6EB37A">
      <w:start w:val="3147"/>
      <w:numFmt w:val="bullet"/>
      <w:lvlText w:val="•"/>
      <w:lvlJc w:val="left"/>
      <w:pPr>
        <w:tabs>
          <w:tab w:val="num" w:pos="1800"/>
        </w:tabs>
        <w:ind w:left="1800" w:hanging="360"/>
      </w:pPr>
      <w:rPr>
        <w:rFonts w:ascii="Arial" w:hAnsi="Arial" w:hint="default"/>
      </w:rPr>
    </w:lvl>
    <w:lvl w:ilvl="3" w:tplc="CA8C02F8">
      <w:start w:val="3147"/>
      <w:numFmt w:val="bullet"/>
      <w:lvlText w:val="–"/>
      <w:lvlJc w:val="left"/>
      <w:pPr>
        <w:tabs>
          <w:tab w:val="num" w:pos="2520"/>
        </w:tabs>
        <w:ind w:left="2520" w:hanging="360"/>
      </w:pPr>
      <w:rPr>
        <w:rFonts w:ascii="Arial" w:hAnsi="Arial" w:hint="default"/>
      </w:rPr>
    </w:lvl>
    <w:lvl w:ilvl="4" w:tplc="35F08C80" w:tentative="1">
      <w:start w:val="1"/>
      <w:numFmt w:val="bullet"/>
      <w:lvlText w:val="•"/>
      <w:lvlJc w:val="left"/>
      <w:pPr>
        <w:tabs>
          <w:tab w:val="num" w:pos="3240"/>
        </w:tabs>
        <w:ind w:left="3240" w:hanging="360"/>
      </w:pPr>
      <w:rPr>
        <w:rFonts w:ascii="Arial" w:hAnsi="Arial" w:hint="default"/>
      </w:rPr>
    </w:lvl>
    <w:lvl w:ilvl="5" w:tplc="B76AF830" w:tentative="1">
      <w:start w:val="1"/>
      <w:numFmt w:val="bullet"/>
      <w:lvlText w:val="•"/>
      <w:lvlJc w:val="left"/>
      <w:pPr>
        <w:tabs>
          <w:tab w:val="num" w:pos="3960"/>
        </w:tabs>
        <w:ind w:left="3960" w:hanging="360"/>
      </w:pPr>
      <w:rPr>
        <w:rFonts w:ascii="Arial" w:hAnsi="Arial" w:hint="default"/>
      </w:rPr>
    </w:lvl>
    <w:lvl w:ilvl="6" w:tplc="D402E6A2" w:tentative="1">
      <w:start w:val="1"/>
      <w:numFmt w:val="bullet"/>
      <w:lvlText w:val="•"/>
      <w:lvlJc w:val="left"/>
      <w:pPr>
        <w:tabs>
          <w:tab w:val="num" w:pos="4680"/>
        </w:tabs>
        <w:ind w:left="4680" w:hanging="360"/>
      </w:pPr>
      <w:rPr>
        <w:rFonts w:ascii="Arial" w:hAnsi="Arial" w:hint="default"/>
      </w:rPr>
    </w:lvl>
    <w:lvl w:ilvl="7" w:tplc="87540C1E" w:tentative="1">
      <w:start w:val="1"/>
      <w:numFmt w:val="bullet"/>
      <w:lvlText w:val="•"/>
      <w:lvlJc w:val="left"/>
      <w:pPr>
        <w:tabs>
          <w:tab w:val="num" w:pos="5400"/>
        </w:tabs>
        <w:ind w:left="5400" w:hanging="360"/>
      </w:pPr>
      <w:rPr>
        <w:rFonts w:ascii="Arial" w:hAnsi="Arial" w:hint="default"/>
      </w:rPr>
    </w:lvl>
    <w:lvl w:ilvl="8" w:tplc="5AC0E88E" w:tentative="1">
      <w:start w:val="1"/>
      <w:numFmt w:val="bullet"/>
      <w:lvlText w:val="•"/>
      <w:lvlJc w:val="left"/>
      <w:pPr>
        <w:tabs>
          <w:tab w:val="num" w:pos="6120"/>
        </w:tabs>
        <w:ind w:left="6120" w:hanging="360"/>
      </w:pPr>
      <w:rPr>
        <w:rFonts w:ascii="Arial" w:hAnsi="Arial" w:hint="default"/>
      </w:rPr>
    </w:lvl>
  </w:abstractNum>
  <w:abstractNum w:abstractNumId="2">
    <w:nsid w:val="1FA24FE8"/>
    <w:multiLevelType w:val="hybridMultilevel"/>
    <w:tmpl w:val="313AE388"/>
    <w:lvl w:ilvl="0" w:tplc="EEC80684">
      <w:start w:val="3"/>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331562A"/>
    <w:multiLevelType w:val="hybridMultilevel"/>
    <w:tmpl w:val="9E6657A2"/>
    <w:lvl w:ilvl="0" w:tplc="5044A3CE">
      <w:start w:val="1"/>
      <w:numFmt w:val="bullet"/>
      <w:lvlText w:val="•"/>
      <w:lvlJc w:val="left"/>
      <w:pPr>
        <w:tabs>
          <w:tab w:val="num" w:pos="720"/>
        </w:tabs>
        <w:ind w:left="720" w:hanging="360"/>
      </w:pPr>
      <w:rPr>
        <w:rFonts w:ascii="Arial" w:hAnsi="Arial" w:hint="default"/>
      </w:rPr>
    </w:lvl>
    <w:lvl w:ilvl="1" w:tplc="BF1AE170">
      <w:start w:val="2628"/>
      <w:numFmt w:val="bullet"/>
      <w:lvlText w:val="–"/>
      <w:lvlJc w:val="left"/>
      <w:pPr>
        <w:tabs>
          <w:tab w:val="num" w:pos="1440"/>
        </w:tabs>
        <w:ind w:left="1440" w:hanging="360"/>
      </w:pPr>
      <w:rPr>
        <w:rFonts w:ascii="Arial" w:hAnsi="Arial" w:hint="default"/>
      </w:rPr>
    </w:lvl>
    <w:lvl w:ilvl="2" w:tplc="116CCEC4">
      <w:start w:val="1"/>
      <w:numFmt w:val="bullet"/>
      <w:lvlText w:val="•"/>
      <w:lvlJc w:val="left"/>
      <w:pPr>
        <w:tabs>
          <w:tab w:val="num" w:pos="2160"/>
        </w:tabs>
        <w:ind w:left="2160" w:hanging="360"/>
      </w:pPr>
      <w:rPr>
        <w:rFonts w:ascii="Arial" w:hAnsi="Arial" w:hint="default"/>
      </w:rPr>
    </w:lvl>
    <w:lvl w:ilvl="3" w:tplc="B78A9E74" w:tentative="1">
      <w:start w:val="1"/>
      <w:numFmt w:val="bullet"/>
      <w:lvlText w:val="•"/>
      <w:lvlJc w:val="left"/>
      <w:pPr>
        <w:tabs>
          <w:tab w:val="num" w:pos="2880"/>
        </w:tabs>
        <w:ind w:left="2880" w:hanging="360"/>
      </w:pPr>
      <w:rPr>
        <w:rFonts w:ascii="Arial" w:hAnsi="Arial" w:hint="default"/>
      </w:rPr>
    </w:lvl>
    <w:lvl w:ilvl="4" w:tplc="4F0C1880" w:tentative="1">
      <w:start w:val="1"/>
      <w:numFmt w:val="bullet"/>
      <w:lvlText w:val="•"/>
      <w:lvlJc w:val="left"/>
      <w:pPr>
        <w:tabs>
          <w:tab w:val="num" w:pos="3600"/>
        </w:tabs>
        <w:ind w:left="3600" w:hanging="360"/>
      </w:pPr>
      <w:rPr>
        <w:rFonts w:ascii="Arial" w:hAnsi="Arial" w:hint="default"/>
      </w:rPr>
    </w:lvl>
    <w:lvl w:ilvl="5" w:tplc="32E024D0" w:tentative="1">
      <w:start w:val="1"/>
      <w:numFmt w:val="bullet"/>
      <w:lvlText w:val="•"/>
      <w:lvlJc w:val="left"/>
      <w:pPr>
        <w:tabs>
          <w:tab w:val="num" w:pos="4320"/>
        </w:tabs>
        <w:ind w:left="4320" w:hanging="360"/>
      </w:pPr>
      <w:rPr>
        <w:rFonts w:ascii="Arial" w:hAnsi="Arial" w:hint="default"/>
      </w:rPr>
    </w:lvl>
    <w:lvl w:ilvl="6" w:tplc="8A660B1C" w:tentative="1">
      <w:start w:val="1"/>
      <w:numFmt w:val="bullet"/>
      <w:lvlText w:val="•"/>
      <w:lvlJc w:val="left"/>
      <w:pPr>
        <w:tabs>
          <w:tab w:val="num" w:pos="5040"/>
        </w:tabs>
        <w:ind w:left="5040" w:hanging="360"/>
      </w:pPr>
      <w:rPr>
        <w:rFonts w:ascii="Arial" w:hAnsi="Arial" w:hint="default"/>
      </w:rPr>
    </w:lvl>
    <w:lvl w:ilvl="7" w:tplc="A5A05BA8" w:tentative="1">
      <w:start w:val="1"/>
      <w:numFmt w:val="bullet"/>
      <w:lvlText w:val="•"/>
      <w:lvlJc w:val="left"/>
      <w:pPr>
        <w:tabs>
          <w:tab w:val="num" w:pos="5760"/>
        </w:tabs>
        <w:ind w:left="5760" w:hanging="360"/>
      </w:pPr>
      <w:rPr>
        <w:rFonts w:ascii="Arial" w:hAnsi="Arial" w:hint="default"/>
      </w:rPr>
    </w:lvl>
    <w:lvl w:ilvl="8" w:tplc="D264C77E" w:tentative="1">
      <w:start w:val="1"/>
      <w:numFmt w:val="bullet"/>
      <w:lvlText w:val="•"/>
      <w:lvlJc w:val="left"/>
      <w:pPr>
        <w:tabs>
          <w:tab w:val="num" w:pos="6480"/>
        </w:tabs>
        <w:ind w:left="6480" w:hanging="360"/>
      </w:pPr>
      <w:rPr>
        <w:rFonts w:ascii="Arial" w:hAnsi="Arial" w:hint="default"/>
      </w:rPr>
    </w:lvl>
  </w:abstractNum>
  <w:abstractNum w:abstractNumId="4">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339B730B"/>
    <w:multiLevelType w:val="hybridMultilevel"/>
    <w:tmpl w:val="46186E32"/>
    <w:lvl w:ilvl="0" w:tplc="DCCE4EF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41EB2911"/>
    <w:multiLevelType w:val="hybridMultilevel"/>
    <w:tmpl w:val="A1DAD792"/>
    <w:lvl w:ilvl="0" w:tplc="CF14DAC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9">
    <w:nsid w:val="55765403"/>
    <w:multiLevelType w:val="hybridMultilevel"/>
    <w:tmpl w:val="8DEAB1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0"/>
  </w:num>
  <w:num w:numId="2">
    <w:abstractNumId w:val="4"/>
  </w:num>
  <w:num w:numId="3">
    <w:abstractNumId w:val="0"/>
  </w:num>
  <w:num w:numId="4">
    <w:abstractNumId w:val="6"/>
  </w:num>
  <w:num w:numId="5">
    <w:abstractNumId w:val="9"/>
  </w:num>
  <w:num w:numId="6">
    <w:abstractNumId w:val="1"/>
  </w:num>
  <w:num w:numId="7">
    <w:abstractNumId w:val="5"/>
  </w:num>
  <w:num w:numId="8">
    <w:abstractNumId w:val="7"/>
  </w:num>
  <w:num w:numId="9">
    <w:abstractNumId w:val="3"/>
  </w:num>
  <w:num w:numId="10">
    <w:abstractNumId w:val="2"/>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606B1"/>
    <w:rsid w:val="000A258F"/>
    <w:rsid w:val="000C6BC2"/>
    <w:rsid w:val="00112E18"/>
    <w:rsid w:val="00116BAA"/>
    <w:rsid w:val="00141448"/>
    <w:rsid w:val="00165AA0"/>
    <w:rsid w:val="001C434E"/>
    <w:rsid w:val="0021013F"/>
    <w:rsid w:val="00246FA2"/>
    <w:rsid w:val="00290099"/>
    <w:rsid w:val="002F3652"/>
    <w:rsid w:val="00303311"/>
    <w:rsid w:val="00337822"/>
    <w:rsid w:val="003875A3"/>
    <w:rsid w:val="00391796"/>
    <w:rsid w:val="003B6CED"/>
    <w:rsid w:val="00417FDA"/>
    <w:rsid w:val="00423EC1"/>
    <w:rsid w:val="00453575"/>
    <w:rsid w:val="005406BC"/>
    <w:rsid w:val="00582543"/>
    <w:rsid w:val="005A6712"/>
    <w:rsid w:val="005C2C75"/>
    <w:rsid w:val="005F584A"/>
    <w:rsid w:val="00621DB8"/>
    <w:rsid w:val="00693213"/>
    <w:rsid w:val="006A286A"/>
    <w:rsid w:val="00794201"/>
    <w:rsid w:val="00834DE7"/>
    <w:rsid w:val="00845E19"/>
    <w:rsid w:val="00867424"/>
    <w:rsid w:val="008A7666"/>
    <w:rsid w:val="008F6929"/>
    <w:rsid w:val="00935D22"/>
    <w:rsid w:val="009A6BB8"/>
    <w:rsid w:val="009B2E48"/>
    <w:rsid w:val="009D5027"/>
    <w:rsid w:val="00A46047"/>
    <w:rsid w:val="00A81AA1"/>
    <w:rsid w:val="00AA13EF"/>
    <w:rsid w:val="00AA58FF"/>
    <w:rsid w:val="00AD5266"/>
    <w:rsid w:val="00B03A33"/>
    <w:rsid w:val="00B368D9"/>
    <w:rsid w:val="00B73B25"/>
    <w:rsid w:val="00BA2CDD"/>
    <w:rsid w:val="00BD11AF"/>
    <w:rsid w:val="00C10B9B"/>
    <w:rsid w:val="00C1560A"/>
    <w:rsid w:val="00C202E0"/>
    <w:rsid w:val="00C61496"/>
    <w:rsid w:val="00C62AEF"/>
    <w:rsid w:val="00C93774"/>
    <w:rsid w:val="00CB6912"/>
    <w:rsid w:val="00CD0DD6"/>
    <w:rsid w:val="00CE28B2"/>
    <w:rsid w:val="00CF67BE"/>
    <w:rsid w:val="00D03119"/>
    <w:rsid w:val="00D64311"/>
    <w:rsid w:val="00D67D13"/>
    <w:rsid w:val="00D7691A"/>
    <w:rsid w:val="00DA110D"/>
    <w:rsid w:val="00E36084"/>
    <w:rsid w:val="00E63D88"/>
    <w:rsid w:val="00E956F8"/>
    <w:rsid w:val="00F403B5"/>
    <w:rsid w:val="00FD43FF"/>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table" w:styleId="TableGrid">
    <w:name w:val="Table Grid"/>
    <w:basedOn w:val="TableNormal"/>
    <w:uiPriority w:val="59"/>
    <w:rsid w:val="00C10B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5F584A"/>
    <w:rPr>
      <w:szCs w:val="20"/>
    </w:rPr>
  </w:style>
  <w:style w:type="character" w:customStyle="1" w:styleId="FootnoteTextChar">
    <w:name w:val="Footnote Text Char"/>
    <w:basedOn w:val="DefaultParagraphFont"/>
    <w:link w:val="FootnoteText"/>
    <w:uiPriority w:val="99"/>
    <w:semiHidden/>
    <w:rsid w:val="005F584A"/>
    <w:rPr>
      <w:rFonts w:ascii="Times New Roman" w:eastAsia="Times New Roman" w:hAnsi="Times New Roman" w:cs="Times New Roman"/>
      <w:sz w:val="20"/>
      <w:szCs w:val="20"/>
      <w:lang w:val="en-US"/>
    </w:rPr>
  </w:style>
  <w:style w:type="character" w:styleId="FootnoteReference">
    <w:name w:val="footnote reference"/>
    <w:basedOn w:val="DefaultParagraphFont"/>
    <w:uiPriority w:val="99"/>
    <w:semiHidden/>
    <w:unhideWhenUsed/>
    <w:rsid w:val="005F584A"/>
    <w:rPr>
      <w:vertAlign w:val="superscript"/>
    </w:rPr>
  </w:style>
  <w:style w:type="character" w:styleId="CommentReference">
    <w:name w:val="annotation reference"/>
    <w:basedOn w:val="DefaultParagraphFont"/>
    <w:uiPriority w:val="99"/>
    <w:semiHidden/>
    <w:unhideWhenUsed/>
    <w:rsid w:val="009D5027"/>
    <w:rPr>
      <w:sz w:val="16"/>
      <w:szCs w:val="16"/>
    </w:rPr>
  </w:style>
  <w:style w:type="paragraph" w:styleId="CommentText">
    <w:name w:val="annotation text"/>
    <w:basedOn w:val="Normal"/>
    <w:link w:val="CommentTextChar"/>
    <w:uiPriority w:val="99"/>
    <w:semiHidden/>
    <w:unhideWhenUsed/>
    <w:rsid w:val="009D5027"/>
    <w:rPr>
      <w:szCs w:val="20"/>
    </w:rPr>
  </w:style>
  <w:style w:type="character" w:customStyle="1" w:styleId="CommentTextChar">
    <w:name w:val="Comment Text Char"/>
    <w:basedOn w:val="DefaultParagraphFont"/>
    <w:link w:val="CommentText"/>
    <w:uiPriority w:val="99"/>
    <w:semiHidden/>
    <w:rsid w:val="009D5027"/>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9D5027"/>
    <w:rPr>
      <w:b/>
      <w:bCs/>
    </w:rPr>
  </w:style>
  <w:style w:type="character" w:customStyle="1" w:styleId="CommentSubjectChar">
    <w:name w:val="Comment Subject Char"/>
    <w:basedOn w:val="CommentTextChar"/>
    <w:link w:val="CommentSubject"/>
    <w:uiPriority w:val="99"/>
    <w:semiHidden/>
    <w:rsid w:val="009D5027"/>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9D5027"/>
    <w:rPr>
      <w:rFonts w:ascii="Tahoma" w:hAnsi="Tahoma" w:cs="Tahoma"/>
      <w:sz w:val="16"/>
      <w:szCs w:val="16"/>
    </w:rPr>
  </w:style>
  <w:style w:type="character" w:customStyle="1" w:styleId="BalloonTextChar">
    <w:name w:val="Balloon Text Char"/>
    <w:basedOn w:val="DefaultParagraphFont"/>
    <w:link w:val="BalloonText"/>
    <w:uiPriority w:val="99"/>
    <w:semiHidden/>
    <w:rsid w:val="009D5027"/>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B8B8CD-D68C-47A1-A8F8-A35EE18F9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1138</Words>
  <Characters>6488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7611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Erik Dahlman</cp:lastModifiedBy>
  <cp:revision>2</cp:revision>
  <cp:lastPrinted>2016-05-04T08:07:00Z</cp:lastPrinted>
  <dcterms:created xsi:type="dcterms:W3CDTF">2016-05-13T14:19:00Z</dcterms:created>
  <dcterms:modified xsi:type="dcterms:W3CDTF">2016-05-13T14:19:00Z</dcterms:modified>
</cp:coreProperties>
</file>