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7F91B895"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891D81">
        <w:rPr>
          <w:rFonts w:ascii="Arial" w:hAnsi="Arial" w:cs="Arial"/>
          <w:lang w:val="en-US"/>
        </w:rPr>
        <w:t xml:space="preserve"> #82</w:t>
      </w:r>
      <w:r w:rsidR="00A5095C">
        <w:rPr>
          <w:rFonts w:ascii="Arial" w:hAnsi="Arial" w:cs="Arial"/>
          <w:lang w:val="en-US"/>
        </w:rPr>
        <w:t>b</w:t>
      </w:r>
      <w:r w:rsidR="00D26C47">
        <w:rPr>
          <w:rFonts w:ascii="Arial" w:hAnsi="Arial" w:cs="Arial"/>
          <w:lang w:val="en-US"/>
        </w:rPr>
        <w:t>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8A4E0A">
        <w:rPr>
          <w:rFonts w:ascii="Arial" w:hAnsi="Arial" w:cs="Arial"/>
          <w:szCs w:val="24"/>
          <w:lang w:val="en-US"/>
        </w:rPr>
        <w:t>5527</w:t>
      </w:r>
    </w:p>
    <w:p w14:paraId="231ECCBD" w14:textId="40CCB3B8" w:rsidR="00FA20F7" w:rsidRPr="00077CF3" w:rsidRDefault="00A5095C" w:rsidP="00FA20F7">
      <w:pPr>
        <w:pStyle w:val="3GPPHeader"/>
        <w:rPr>
          <w:rFonts w:ascii="Arial" w:hAnsi="Arial" w:cs="Arial"/>
          <w:lang w:val="en-US"/>
        </w:rPr>
      </w:pPr>
      <w:r>
        <w:rPr>
          <w:rFonts w:ascii="Arial" w:hAnsi="Arial" w:cs="Arial"/>
          <w:lang w:val="en-US"/>
        </w:rPr>
        <w:t>Malm</w:t>
      </w:r>
      <w:r w:rsidRPr="00A5095C">
        <w:rPr>
          <w:rFonts w:ascii="Arial" w:hAnsi="Arial" w:cs="Arial"/>
          <w:lang w:val="en-US"/>
        </w:rPr>
        <w:t>ö</w:t>
      </w:r>
      <w:r w:rsidR="00891D81">
        <w:rPr>
          <w:rFonts w:ascii="Arial" w:hAnsi="Arial" w:cs="Arial"/>
          <w:lang w:val="en-US"/>
        </w:rPr>
        <w:t xml:space="preserve">, </w:t>
      </w:r>
      <w:r>
        <w:rPr>
          <w:rFonts w:ascii="Arial" w:hAnsi="Arial" w:cs="Arial"/>
          <w:lang w:val="en-US"/>
        </w:rPr>
        <w:t>Sweden</w:t>
      </w:r>
      <w:r w:rsidR="00891D81">
        <w:rPr>
          <w:rFonts w:ascii="Arial" w:hAnsi="Arial" w:cs="Arial"/>
          <w:lang w:val="en-US"/>
        </w:rPr>
        <w:t xml:space="preserve">, </w:t>
      </w:r>
      <w:r>
        <w:rPr>
          <w:rFonts w:ascii="Arial" w:hAnsi="Arial" w:cs="Arial"/>
          <w:lang w:val="en-US"/>
        </w:rPr>
        <w:t>5</w:t>
      </w:r>
      <w:r w:rsidR="00891D81" w:rsidRPr="00891D81">
        <w:rPr>
          <w:rFonts w:ascii="Arial" w:hAnsi="Arial" w:cs="Arial"/>
          <w:vertAlign w:val="superscript"/>
          <w:lang w:val="en-US"/>
        </w:rPr>
        <w:t>th</w:t>
      </w:r>
      <w:r w:rsidR="00891D81">
        <w:rPr>
          <w:rFonts w:ascii="Arial" w:hAnsi="Arial" w:cs="Arial"/>
          <w:lang w:val="en-US"/>
        </w:rPr>
        <w:t xml:space="preserve"> – </w:t>
      </w:r>
      <w:r>
        <w:rPr>
          <w:rFonts w:ascii="Arial" w:hAnsi="Arial" w:cs="Arial"/>
          <w:lang w:val="en-US"/>
        </w:rPr>
        <w:t>9</w:t>
      </w:r>
      <w:r w:rsidR="00891D81" w:rsidRPr="00891D81">
        <w:rPr>
          <w:rFonts w:ascii="Arial" w:hAnsi="Arial" w:cs="Arial"/>
          <w:vertAlign w:val="superscript"/>
          <w:lang w:val="en-US"/>
        </w:rPr>
        <w:t>th</w:t>
      </w:r>
      <w:r w:rsidR="00891D81">
        <w:rPr>
          <w:rFonts w:ascii="Arial" w:hAnsi="Arial" w:cs="Arial"/>
          <w:lang w:val="en-US"/>
        </w:rPr>
        <w:t xml:space="preserve"> </w:t>
      </w:r>
      <w:r>
        <w:rPr>
          <w:rFonts w:ascii="Arial" w:hAnsi="Arial" w:cs="Arial"/>
          <w:lang w:val="en-US"/>
        </w:rPr>
        <w:t>October</w:t>
      </w:r>
      <w:r w:rsidR="00891D81">
        <w:rPr>
          <w:rFonts w:ascii="Arial" w:hAnsi="Arial" w:cs="Arial"/>
          <w:lang w:val="en-US"/>
        </w:rPr>
        <w:t xml:space="preserve"> 2015</w:t>
      </w:r>
    </w:p>
    <w:p w14:paraId="6FA141D4" w14:textId="6F98964C"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891D81">
        <w:rPr>
          <w:rFonts w:cs="Arial"/>
          <w:b/>
          <w:bCs/>
          <w:sz w:val="24"/>
          <w:lang w:val="en-US"/>
        </w:rPr>
        <w:t>7</w:t>
      </w:r>
      <w:r w:rsidR="00380DB0">
        <w:rPr>
          <w:rFonts w:cs="Arial"/>
          <w:b/>
          <w:bCs/>
          <w:sz w:val="24"/>
          <w:lang w:val="en-US"/>
        </w:rPr>
        <w:t>.2.2.1.2</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r>
      <w:proofErr w:type="spellStart"/>
      <w:r w:rsidRPr="00077CF3">
        <w:rPr>
          <w:rFonts w:ascii="Arial" w:hAnsi="Arial" w:cs="Arial"/>
          <w:b/>
          <w:bCs/>
          <w:sz w:val="24"/>
          <w:lang w:val="en-US"/>
        </w:rPr>
        <w:t>InterDigital</w:t>
      </w:r>
      <w:proofErr w:type="spellEnd"/>
      <w:r w:rsidR="00E17A3B" w:rsidRPr="00077CF3">
        <w:rPr>
          <w:rFonts w:ascii="Arial" w:hAnsi="Arial" w:cs="Arial"/>
          <w:b/>
          <w:bCs/>
          <w:sz w:val="24"/>
          <w:lang w:val="en-US"/>
        </w:rPr>
        <w:t xml:space="preserve"> Communications</w:t>
      </w:r>
    </w:p>
    <w:p w14:paraId="4F02292E" w14:textId="55C6A028"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D26C47">
        <w:rPr>
          <w:rFonts w:ascii="Arial" w:hAnsi="Arial" w:cs="Arial"/>
          <w:b/>
          <w:bCs/>
          <w:sz w:val="24"/>
          <w:lang w:val="en-US"/>
        </w:rPr>
        <w:t>HARQ-ACK codebook determination</w:t>
      </w:r>
    </w:p>
    <w:p w14:paraId="20F2A3ED" w14:textId="0A6E086C"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803859">
        <w:rPr>
          <w:rFonts w:ascii="Arial" w:hAnsi="Arial" w:cs="Arial"/>
          <w:b/>
          <w:bCs/>
          <w:sz w:val="24"/>
          <w:lang w:val="en-US"/>
        </w:rPr>
        <w:t xml:space="preserve"> and decision</w:t>
      </w:r>
    </w:p>
    <w:p w14:paraId="45A92109" w14:textId="77777777" w:rsidR="00261A3A" w:rsidRPr="00077CF3" w:rsidRDefault="00A35469" w:rsidP="00076974">
      <w:pPr>
        <w:pStyle w:val="Heading1"/>
        <w:rPr>
          <w:lang w:val="en-US"/>
        </w:rPr>
      </w:pPr>
      <w:r w:rsidRPr="00077CF3">
        <w:rPr>
          <w:lang w:val="en-US"/>
        </w:rPr>
        <w:t>Introduction</w:t>
      </w:r>
    </w:p>
    <w:p w14:paraId="208ADAC8" w14:textId="0D9D7BFB" w:rsidR="00CC2076" w:rsidRDefault="00CC2076" w:rsidP="00CC2076">
      <w:pPr>
        <w:rPr>
          <w:sz w:val="20"/>
          <w:lang w:val="en-US"/>
        </w:rPr>
      </w:pPr>
      <w:r>
        <w:rPr>
          <w:sz w:val="20"/>
          <w:lang w:val="en-US"/>
        </w:rPr>
        <w:t>During RAN1#82 [</w:t>
      </w:r>
      <w:r w:rsidRPr="00BA5AA2">
        <w:rPr>
          <w:sz w:val="20"/>
          <w:lang w:val="en-US"/>
        </w:rPr>
        <w:t>1</w:t>
      </w:r>
      <w:r>
        <w:rPr>
          <w:sz w:val="20"/>
          <w:lang w:val="en-US"/>
        </w:rPr>
        <w:t xml:space="preserve">] an agreement was reached to dynamically </w:t>
      </w:r>
      <w:r w:rsidR="001051FE">
        <w:rPr>
          <w:sz w:val="20"/>
          <w:lang w:val="en-US"/>
        </w:rPr>
        <w:t>determine the HARQ-ACK codebook:</w:t>
      </w:r>
    </w:p>
    <w:p w14:paraId="576BC762" w14:textId="77777777" w:rsidR="00CC2076" w:rsidRPr="00CC2076" w:rsidRDefault="00CC2076" w:rsidP="00CC2076">
      <w:pPr>
        <w:rPr>
          <w:i/>
          <w:color w:val="000000" w:themeColor="text1"/>
          <w:sz w:val="20"/>
          <w:lang w:val="en-US"/>
        </w:rPr>
      </w:pPr>
      <w:r w:rsidRPr="00CC2076">
        <w:rPr>
          <w:i/>
          <w:color w:val="000000" w:themeColor="text1"/>
          <w:sz w:val="20"/>
          <w:lang w:val="en-US"/>
        </w:rPr>
        <w:t>Agreement</w:t>
      </w:r>
    </w:p>
    <w:p w14:paraId="5CCCD62A" w14:textId="77777777" w:rsidR="00CC2076" w:rsidRPr="00CC2076" w:rsidRDefault="00CC2076" w:rsidP="00CC2076">
      <w:pPr>
        <w:pStyle w:val="ListParagraph"/>
        <w:numPr>
          <w:ilvl w:val="0"/>
          <w:numId w:val="47"/>
        </w:numPr>
        <w:rPr>
          <w:i/>
          <w:color w:val="000000" w:themeColor="text1"/>
          <w:sz w:val="20"/>
        </w:rPr>
      </w:pPr>
      <w:r w:rsidRPr="00CC2076">
        <w:rPr>
          <w:rFonts w:ascii="Times New Roman" w:eastAsia="SimSun" w:hAnsi="Times New Roman"/>
          <w:i/>
          <w:color w:val="000000" w:themeColor="text1"/>
          <w:sz w:val="20"/>
          <w:szCs w:val="20"/>
          <w:lang w:eastAsia="zh-CN"/>
        </w:rPr>
        <w:t>HARQ-ACK codebook size is dynamically determined</w:t>
      </w:r>
    </w:p>
    <w:p w14:paraId="3940E1C0" w14:textId="77777777" w:rsidR="00CC2076" w:rsidRPr="00CC2076" w:rsidRDefault="00CC2076" w:rsidP="00CC2076">
      <w:pPr>
        <w:pStyle w:val="ListParagraph"/>
        <w:numPr>
          <w:ilvl w:val="1"/>
          <w:numId w:val="47"/>
        </w:numPr>
        <w:rPr>
          <w:i/>
          <w:color w:val="000000" w:themeColor="text1"/>
          <w:sz w:val="20"/>
        </w:rPr>
      </w:pPr>
      <w:r w:rsidRPr="00CC2076">
        <w:rPr>
          <w:rFonts w:ascii="Times New Roman" w:eastAsia="SimSun" w:hAnsi="Times New Roman"/>
          <w:i/>
          <w:color w:val="000000" w:themeColor="text1"/>
          <w:sz w:val="20"/>
          <w:szCs w:val="20"/>
          <w:lang w:eastAsia="zh-CN"/>
        </w:rPr>
        <w:t xml:space="preserve">To ensure same understanding between </w:t>
      </w:r>
      <w:proofErr w:type="spellStart"/>
      <w:r w:rsidRPr="00CC2076">
        <w:rPr>
          <w:rFonts w:ascii="Times New Roman" w:eastAsia="SimSun" w:hAnsi="Times New Roman"/>
          <w:i/>
          <w:color w:val="000000" w:themeColor="text1"/>
          <w:sz w:val="20"/>
          <w:szCs w:val="20"/>
          <w:lang w:eastAsia="zh-CN"/>
        </w:rPr>
        <w:t>eNB</w:t>
      </w:r>
      <w:proofErr w:type="spellEnd"/>
      <w:r w:rsidRPr="00CC2076">
        <w:rPr>
          <w:rFonts w:ascii="Times New Roman" w:eastAsia="SimSun" w:hAnsi="Times New Roman"/>
          <w:i/>
          <w:color w:val="000000" w:themeColor="text1"/>
          <w:sz w:val="20"/>
          <w:szCs w:val="20"/>
          <w:lang w:eastAsia="zh-CN"/>
        </w:rPr>
        <w:t xml:space="preserve"> and UE regarding the HARQ-ACK codebook (including HARQ-ACK order and size)</w:t>
      </w:r>
    </w:p>
    <w:p w14:paraId="09214A16" w14:textId="77777777" w:rsidR="00CC2076" w:rsidRPr="00CC2076" w:rsidRDefault="00CC2076" w:rsidP="00CC2076">
      <w:pPr>
        <w:pStyle w:val="ListParagraph"/>
        <w:numPr>
          <w:ilvl w:val="1"/>
          <w:numId w:val="47"/>
        </w:numPr>
        <w:rPr>
          <w:i/>
          <w:color w:val="000000" w:themeColor="text1"/>
          <w:sz w:val="20"/>
        </w:rPr>
      </w:pPr>
      <w:r w:rsidRPr="00CC2076">
        <w:rPr>
          <w:rFonts w:ascii="Times New Roman" w:eastAsia="SimSun" w:hAnsi="Times New Roman"/>
          <w:i/>
          <w:color w:val="000000" w:themeColor="text1"/>
          <w:sz w:val="20"/>
          <w:szCs w:val="20"/>
          <w:lang w:eastAsia="zh-CN"/>
        </w:rPr>
        <w:t xml:space="preserve">FFS, </w:t>
      </w:r>
      <w:proofErr w:type="spellStart"/>
      <w:r w:rsidRPr="00CC2076">
        <w:rPr>
          <w:rFonts w:ascii="Times New Roman" w:eastAsia="SimSun" w:hAnsi="Times New Roman"/>
          <w:i/>
          <w:color w:val="000000" w:themeColor="text1"/>
          <w:sz w:val="20"/>
          <w:szCs w:val="20"/>
          <w:lang w:eastAsia="zh-CN"/>
        </w:rPr>
        <w:t>eNB</w:t>
      </w:r>
      <w:proofErr w:type="spellEnd"/>
      <w:r w:rsidRPr="00CC2076">
        <w:rPr>
          <w:rFonts w:ascii="Times New Roman" w:eastAsia="SimSun" w:hAnsi="Times New Roman"/>
          <w:i/>
          <w:color w:val="000000" w:themeColor="text1"/>
          <w:sz w:val="20"/>
          <w:szCs w:val="20"/>
          <w:lang w:eastAsia="zh-CN"/>
        </w:rPr>
        <w:t xml:space="preserve"> transmits signaling in DL assignment:</w:t>
      </w:r>
    </w:p>
    <w:p w14:paraId="5D23DE78" w14:textId="77777777" w:rsidR="00CC2076" w:rsidRPr="00CC2076" w:rsidRDefault="00CC2076" w:rsidP="00CC2076">
      <w:pPr>
        <w:pStyle w:val="ListParagraph"/>
        <w:numPr>
          <w:ilvl w:val="2"/>
          <w:numId w:val="47"/>
        </w:numPr>
        <w:rPr>
          <w:i/>
          <w:color w:val="000000" w:themeColor="text1"/>
          <w:sz w:val="20"/>
        </w:rPr>
      </w:pPr>
      <w:r w:rsidRPr="00CC2076">
        <w:rPr>
          <w:rFonts w:ascii="Times New Roman" w:eastAsia="SimSun" w:hAnsi="Times New Roman"/>
          <w:i/>
          <w:color w:val="000000" w:themeColor="text1"/>
          <w:sz w:val="20"/>
          <w:szCs w:val="20"/>
          <w:lang w:eastAsia="zh-CN"/>
        </w:rPr>
        <w:t>FFS: Detailed signaling, e.g.,</w:t>
      </w:r>
    </w:p>
    <w:p w14:paraId="441A8F70" w14:textId="77777777" w:rsidR="00CC2076" w:rsidRPr="00CC2076" w:rsidRDefault="00CC2076" w:rsidP="00CC2076">
      <w:pPr>
        <w:pStyle w:val="ListParagraph"/>
        <w:numPr>
          <w:ilvl w:val="3"/>
          <w:numId w:val="47"/>
        </w:numPr>
        <w:rPr>
          <w:i/>
          <w:color w:val="000000" w:themeColor="text1"/>
          <w:sz w:val="20"/>
        </w:rPr>
      </w:pPr>
      <w:r w:rsidRPr="00CC2076">
        <w:rPr>
          <w:rFonts w:ascii="Times New Roman" w:eastAsia="SimSun" w:hAnsi="Times New Roman"/>
          <w:i/>
          <w:color w:val="000000" w:themeColor="text1"/>
          <w:sz w:val="20"/>
          <w:szCs w:val="20"/>
          <w:lang w:eastAsia="zh-CN"/>
        </w:rPr>
        <w:t>Counter DAI only</w:t>
      </w:r>
    </w:p>
    <w:p w14:paraId="49FDA077" w14:textId="77777777" w:rsidR="00CC2076" w:rsidRPr="00CC2076" w:rsidRDefault="00CC2076" w:rsidP="00CC2076">
      <w:pPr>
        <w:pStyle w:val="ListParagraph"/>
        <w:numPr>
          <w:ilvl w:val="4"/>
          <w:numId w:val="47"/>
        </w:numPr>
        <w:rPr>
          <w:i/>
          <w:color w:val="000000" w:themeColor="text1"/>
          <w:sz w:val="20"/>
        </w:rPr>
      </w:pPr>
      <w:r w:rsidRPr="00CC2076">
        <w:rPr>
          <w:rFonts w:ascii="Times New Roman" w:eastAsia="SimSun" w:hAnsi="Times New Roman"/>
          <w:i/>
          <w:color w:val="000000" w:themeColor="text1"/>
          <w:sz w:val="20"/>
          <w:szCs w:val="20"/>
          <w:lang w:eastAsia="zh-CN"/>
        </w:rPr>
        <w:t>FFS: Whether DAI can be not consecutive</w:t>
      </w:r>
    </w:p>
    <w:p w14:paraId="2201DAD6" w14:textId="77777777" w:rsidR="00CC2076" w:rsidRPr="00CC2076" w:rsidRDefault="00CC2076" w:rsidP="00CC2076">
      <w:pPr>
        <w:pStyle w:val="ListParagraph"/>
        <w:numPr>
          <w:ilvl w:val="3"/>
          <w:numId w:val="47"/>
        </w:numPr>
        <w:rPr>
          <w:i/>
          <w:color w:val="000000" w:themeColor="text1"/>
          <w:sz w:val="20"/>
        </w:rPr>
      </w:pPr>
      <w:r w:rsidRPr="00CC2076">
        <w:rPr>
          <w:rFonts w:ascii="Times New Roman" w:eastAsia="SimSun" w:hAnsi="Times New Roman"/>
          <w:i/>
          <w:color w:val="000000" w:themeColor="text1"/>
          <w:sz w:val="20"/>
          <w:szCs w:val="20"/>
          <w:lang w:eastAsia="zh-CN"/>
        </w:rPr>
        <w:t>A Counter DAI and a Total DAI</w:t>
      </w:r>
    </w:p>
    <w:p w14:paraId="3C3502E8" w14:textId="77777777" w:rsidR="00CC2076" w:rsidRPr="00CC2076" w:rsidRDefault="00CC2076" w:rsidP="00CC2076">
      <w:pPr>
        <w:pStyle w:val="ListParagraph"/>
        <w:numPr>
          <w:ilvl w:val="3"/>
          <w:numId w:val="47"/>
        </w:numPr>
        <w:rPr>
          <w:i/>
          <w:color w:val="000000" w:themeColor="text1"/>
          <w:sz w:val="20"/>
        </w:rPr>
      </w:pPr>
      <w:r w:rsidRPr="00CC2076">
        <w:rPr>
          <w:rFonts w:ascii="Times New Roman" w:eastAsia="SimSun" w:hAnsi="Times New Roman"/>
          <w:i/>
          <w:color w:val="000000" w:themeColor="text1"/>
          <w:sz w:val="20"/>
          <w:szCs w:val="20"/>
          <w:lang w:eastAsia="zh-CN"/>
        </w:rPr>
        <w:t>Combined DAI carrying either Counter or Total, based on the order of scheduling</w:t>
      </w:r>
    </w:p>
    <w:p w14:paraId="58BD5CD7" w14:textId="77777777" w:rsidR="00CC2076" w:rsidRPr="00CC2076" w:rsidRDefault="00CC2076" w:rsidP="00CC2076">
      <w:pPr>
        <w:pStyle w:val="ListParagraph"/>
        <w:numPr>
          <w:ilvl w:val="3"/>
          <w:numId w:val="47"/>
        </w:numPr>
        <w:rPr>
          <w:i/>
          <w:color w:val="000000" w:themeColor="text1"/>
          <w:sz w:val="20"/>
        </w:rPr>
      </w:pPr>
      <w:r w:rsidRPr="00CC2076">
        <w:rPr>
          <w:rFonts w:ascii="Times New Roman" w:eastAsia="SimSun" w:hAnsi="Times New Roman"/>
          <w:i/>
          <w:color w:val="000000" w:themeColor="text1"/>
          <w:sz w:val="20"/>
          <w:szCs w:val="20"/>
          <w:lang w:eastAsia="zh-CN"/>
        </w:rPr>
        <w:t>HARQ-ACK codebook indicator to indicate the possible carriers</w:t>
      </w:r>
    </w:p>
    <w:p w14:paraId="739F86C9" w14:textId="060F5492" w:rsidR="00CC2076" w:rsidRPr="00CC2076" w:rsidRDefault="00CC2076" w:rsidP="00CC2076">
      <w:pPr>
        <w:pStyle w:val="ListParagraph"/>
        <w:numPr>
          <w:ilvl w:val="1"/>
          <w:numId w:val="47"/>
        </w:numPr>
        <w:rPr>
          <w:i/>
          <w:color w:val="000000" w:themeColor="text1"/>
          <w:sz w:val="20"/>
        </w:rPr>
      </w:pPr>
      <w:r w:rsidRPr="00CC2076">
        <w:rPr>
          <w:rFonts w:ascii="Times New Roman" w:eastAsia="SimSun" w:hAnsi="Times New Roman"/>
          <w:i/>
          <w:color w:val="000000" w:themeColor="text1"/>
          <w:sz w:val="20"/>
          <w:szCs w:val="20"/>
          <w:lang w:eastAsia="zh-CN"/>
        </w:rPr>
        <w:t xml:space="preserve">Note: Other </w:t>
      </w:r>
      <w:r w:rsidR="00B9192B" w:rsidRPr="00CC2076">
        <w:rPr>
          <w:rFonts w:ascii="Times New Roman" w:eastAsia="SimSun" w:hAnsi="Times New Roman"/>
          <w:i/>
          <w:color w:val="000000" w:themeColor="text1"/>
          <w:sz w:val="20"/>
          <w:szCs w:val="20"/>
          <w:lang w:eastAsia="zh-CN"/>
        </w:rPr>
        <w:t>alternatives</w:t>
      </w:r>
      <w:r w:rsidRPr="00CC2076">
        <w:rPr>
          <w:rFonts w:ascii="Times New Roman" w:eastAsia="SimSun" w:hAnsi="Times New Roman"/>
          <w:i/>
          <w:color w:val="000000" w:themeColor="text1"/>
          <w:sz w:val="20"/>
          <w:szCs w:val="20"/>
          <w:lang w:eastAsia="zh-CN"/>
        </w:rPr>
        <w:t xml:space="preserve"> are not precluded</w:t>
      </w:r>
    </w:p>
    <w:p w14:paraId="4A02AF53" w14:textId="77777777" w:rsidR="00CC2076" w:rsidRPr="00CC2076" w:rsidRDefault="00CC2076" w:rsidP="00CC2076">
      <w:pPr>
        <w:pStyle w:val="ListParagraph"/>
        <w:numPr>
          <w:ilvl w:val="1"/>
          <w:numId w:val="47"/>
        </w:numPr>
        <w:rPr>
          <w:i/>
          <w:color w:val="000000" w:themeColor="text1"/>
          <w:sz w:val="20"/>
        </w:rPr>
      </w:pPr>
      <w:r w:rsidRPr="00CC2076">
        <w:rPr>
          <w:rFonts w:ascii="Times New Roman" w:eastAsia="SimSun" w:hAnsi="Times New Roman"/>
          <w:i/>
          <w:color w:val="000000" w:themeColor="text1"/>
          <w:sz w:val="20"/>
          <w:szCs w:val="20"/>
          <w:lang w:eastAsia="zh-CN"/>
        </w:rPr>
        <w:t>FFS: Additional UL signaling to indicate HARQ ACK codebook size</w:t>
      </w:r>
    </w:p>
    <w:p w14:paraId="640CE8FA" w14:textId="77777777" w:rsidR="00CC2076" w:rsidRPr="00CC2076" w:rsidRDefault="00CC2076" w:rsidP="00CC2076">
      <w:pPr>
        <w:pStyle w:val="ListParagraph"/>
        <w:numPr>
          <w:ilvl w:val="0"/>
          <w:numId w:val="47"/>
        </w:numPr>
        <w:rPr>
          <w:i/>
          <w:color w:val="000000" w:themeColor="text1"/>
          <w:sz w:val="20"/>
        </w:rPr>
      </w:pPr>
      <w:r w:rsidRPr="00CC2076">
        <w:rPr>
          <w:rFonts w:ascii="Times New Roman" w:eastAsia="SimSun" w:hAnsi="Times New Roman"/>
          <w:i/>
          <w:color w:val="000000" w:themeColor="text1"/>
          <w:sz w:val="20"/>
          <w:szCs w:val="20"/>
          <w:lang w:eastAsia="zh-CN"/>
        </w:rPr>
        <w:t>FFS: PUCCH format adaptation</w:t>
      </w:r>
    </w:p>
    <w:p w14:paraId="34747262" w14:textId="77777777" w:rsidR="00CC2076" w:rsidRDefault="00CC2076" w:rsidP="00CC2076">
      <w:pPr>
        <w:rPr>
          <w:color w:val="000000" w:themeColor="text1"/>
          <w:sz w:val="20"/>
          <w:lang w:val="en-US"/>
        </w:rPr>
      </w:pPr>
    </w:p>
    <w:p w14:paraId="6DA9FB3C" w14:textId="77777777" w:rsidR="001051FE" w:rsidRDefault="00404270" w:rsidP="00CC2076">
      <w:pPr>
        <w:rPr>
          <w:color w:val="000000" w:themeColor="text1"/>
          <w:sz w:val="20"/>
          <w:lang w:val="en-US"/>
        </w:rPr>
      </w:pPr>
      <w:r>
        <w:rPr>
          <w:color w:val="000000" w:themeColor="text1"/>
          <w:sz w:val="20"/>
          <w:lang w:val="en-US"/>
        </w:rPr>
        <w:t>At RAN1 #82 s</w:t>
      </w:r>
      <w:r w:rsidR="00CC2076">
        <w:rPr>
          <w:color w:val="000000" w:themeColor="text1"/>
          <w:sz w:val="20"/>
          <w:lang w:val="en-US"/>
        </w:rPr>
        <w:t>everal contributions [</w:t>
      </w:r>
      <w:r>
        <w:rPr>
          <w:color w:val="000000" w:themeColor="text1"/>
          <w:sz w:val="20"/>
          <w:lang w:val="en-US"/>
        </w:rPr>
        <w:t>3-11</w:t>
      </w:r>
      <w:r w:rsidR="00CC2076">
        <w:rPr>
          <w:color w:val="000000" w:themeColor="text1"/>
          <w:sz w:val="20"/>
          <w:lang w:val="en-US"/>
        </w:rPr>
        <w:t>] discussed methods to achieve dynamic HARQ-ACK codebook determination.  The views of different companies were further elucidated in an e-mail discussion [</w:t>
      </w:r>
      <w:r w:rsidR="00BA5AA2">
        <w:rPr>
          <w:color w:val="000000" w:themeColor="text1"/>
          <w:sz w:val="20"/>
          <w:lang w:val="en-US"/>
        </w:rPr>
        <w:t>2</w:t>
      </w:r>
      <w:r w:rsidR="00CC2076">
        <w:rPr>
          <w:color w:val="000000" w:themeColor="text1"/>
          <w:sz w:val="20"/>
          <w:lang w:val="en-US"/>
        </w:rPr>
        <w:t xml:space="preserve">], though no consensus was reached.  </w:t>
      </w:r>
    </w:p>
    <w:p w14:paraId="6D2C9A2C" w14:textId="7AF56125" w:rsidR="00F577F9" w:rsidRPr="00B46016" w:rsidRDefault="00CC2076" w:rsidP="00F577F9">
      <w:pPr>
        <w:rPr>
          <w:sz w:val="20"/>
        </w:rPr>
      </w:pPr>
      <w:r>
        <w:rPr>
          <w:color w:val="000000" w:themeColor="text1"/>
          <w:sz w:val="20"/>
          <w:lang w:val="en-US"/>
        </w:rPr>
        <w:lastRenderedPageBreak/>
        <w:t xml:space="preserve">In this contribution we </w:t>
      </w:r>
      <w:r w:rsidR="00855BE6">
        <w:rPr>
          <w:color w:val="000000" w:themeColor="text1"/>
          <w:sz w:val="20"/>
          <w:lang w:val="en-US"/>
        </w:rPr>
        <w:t xml:space="preserve">discuss the </w:t>
      </w:r>
      <w:r w:rsidR="003B6A0C">
        <w:rPr>
          <w:color w:val="000000" w:themeColor="text1"/>
          <w:sz w:val="20"/>
          <w:lang w:val="en-US"/>
        </w:rPr>
        <w:t xml:space="preserve">different </w:t>
      </w:r>
      <w:r w:rsidR="00855BE6">
        <w:rPr>
          <w:color w:val="000000" w:themeColor="text1"/>
          <w:sz w:val="20"/>
          <w:lang w:val="en-US"/>
        </w:rPr>
        <w:t xml:space="preserve">solutions </w:t>
      </w:r>
      <w:r>
        <w:rPr>
          <w:color w:val="000000" w:themeColor="text1"/>
          <w:sz w:val="20"/>
          <w:lang w:val="en-US"/>
        </w:rPr>
        <w:t>in term</w:t>
      </w:r>
      <w:r w:rsidR="00855BE6">
        <w:rPr>
          <w:color w:val="000000" w:themeColor="text1"/>
          <w:sz w:val="20"/>
          <w:lang w:val="en-US"/>
        </w:rPr>
        <w:t xml:space="preserve">s of robustness and performance. We propose to support dynamic codebook determination using an </w:t>
      </w:r>
      <w:r w:rsidR="006157AC">
        <w:rPr>
          <w:color w:val="000000" w:themeColor="text1"/>
          <w:sz w:val="20"/>
          <w:lang w:val="en-US"/>
        </w:rPr>
        <w:t>HARQ-ACK codebook indicator field that indicates</w:t>
      </w:r>
      <w:r w:rsidR="00855BE6">
        <w:rPr>
          <w:color w:val="000000" w:themeColor="text1"/>
          <w:sz w:val="20"/>
          <w:lang w:val="en-US"/>
        </w:rPr>
        <w:t xml:space="preserve"> </w:t>
      </w:r>
      <w:r w:rsidR="00C24E3A">
        <w:rPr>
          <w:color w:val="000000" w:themeColor="text1"/>
          <w:sz w:val="20"/>
          <w:lang w:val="en-US"/>
        </w:rPr>
        <w:t xml:space="preserve">groups of </w:t>
      </w:r>
      <w:r w:rsidR="00855BE6">
        <w:rPr>
          <w:color w:val="000000" w:themeColor="text1"/>
          <w:sz w:val="20"/>
          <w:lang w:val="en-US"/>
        </w:rPr>
        <w:t>carriers where PDSCH may be scheduled. We propose to select between two options</w:t>
      </w:r>
      <w:r w:rsidR="00C24E3A">
        <w:rPr>
          <w:color w:val="000000" w:themeColor="text1"/>
          <w:sz w:val="20"/>
          <w:lang w:val="en-US"/>
        </w:rPr>
        <w:t>:</w:t>
      </w:r>
      <w:r w:rsidR="00855BE6">
        <w:rPr>
          <w:color w:val="000000" w:themeColor="text1"/>
          <w:sz w:val="20"/>
          <w:lang w:val="en-US"/>
        </w:rPr>
        <w:t xml:space="preserve"> (1) including the indication in every DCI containing a downlink assignment</w:t>
      </w:r>
      <w:r w:rsidR="00C24E3A">
        <w:rPr>
          <w:color w:val="000000" w:themeColor="text1"/>
          <w:sz w:val="20"/>
          <w:lang w:val="en-US"/>
        </w:rPr>
        <w:t>;</w:t>
      </w:r>
      <w:r w:rsidR="00855BE6">
        <w:rPr>
          <w:color w:val="000000" w:themeColor="text1"/>
          <w:sz w:val="20"/>
          <w:lang w:val="en-US"/>
        </w:rPr>
        <w:t xml:space="preserve"> </w:t>
      </w:r>
      <w:r w:rsidR="00C24E3A">
        <w:rPr>
          <w:color w:val="000000" w:themeColor="text1"/>
          <w:sz w:val="20"/>
          <w:lang w:val="en-US"/>
        </w:rPr>
        <w:t>or</w:t>
      </w:r>
      <w:r w:rsidR="00855BE6">
        <w:rPr>
          <w:color w:val="000000" w:themeColor="text1"/>
          <w:sz w:val="20"/>
          <w:lang w:val="en-US"/>
        </w:rPr>
        <w:t xml:space="preserve"> (2) including the indication in a new DCI decoded separately. As explained in a companion contribution </w:t>
      </w:r>
      <w:r w:rsidR="003B6A0C">
        <w:rPr>
          <w:color w:val="000000" w:themeColor="text1"/>
          <w:sz w:val="20"/>
          <w:lang w:val="en-US"/>
        </w:rPr>
        <w:fldChar w:fldCharType="begin"/>
      </w:r>
      <w:r w:rsidR="003B6A0C">
        <w:rPr>
          <w:color w:val="000000" w:themeColor="text1"/>
          <w:sz w:val="20"/>
          <w:lang w:val="en-US"/>
        </w:rPr>
        <w:instrText xml:space="preserve"> REF _Ref430942928 \r \h </w:instrText>
      </w:r>
      <w:r w:rsidR="003B6A0C">
        <w:rPr>
          <w:color w:val="000000" w:themeColor="text1"/>
          <w:sz w:val="20"/>
          <w:lang w:val="en-US"/>
        </w:rPr>
      </w:r>
      <w:r w:rsidR="003B6A0C">
        <w:rPr>
          <w:color w:val="000000" w:themeColor="text1"/>
          <w:sz w:val="20"/>
          <w:lang w:val="en-US"/>
        </w:rPr>
        <w:fldChar w:fldCharType="separate"/>
      </w:r>
      <w:r w:rsidR="003B6A0C">
        <w:rPr>
          <w:color w:val="000000" w:themeColor="text1"/>
          <w:sz w:val="20"/>
          <w:lang w:val="en-US"/>
        </w:rPr>
        <w:t>[12]</w:t>
      </w:r>
      <w:r w:rsidR="003B6A0C">
        <w:rPr>
          <w:color w:val="000000" w:themeColor="text1"/>
          <w:sz w:val="20"/>
          <w:lang w:val="en-US"/>
        </w:rPr>
        <w:fldChar w:fldCharType="end"/>
      </w:r>
      <w:r w:rsidR="003B6A0C">
        <w:rPr>
          <w:color w:val="000000" w:themeColor="text1"/>
          <w:sz w:val="20"/>
          <w:lang w:val="en-US"/>
        </w:rPr>
        <w:t>, t</w:t>
      </w:r>
      <w:r w:rsidR="00855BE6">
        <w:rPr>
          <w:color w:val="000000" w:themeColor="text1"/>
          <w:sz w:val="20"/>
          <w:lang w:val="en-US"/>
        </w:rPr>
        <w:t>he latter option has the additional benefit of solving the DCI false detection problem.</w:t>
      </w:r>
    </w:p>
    <w:p w14:paraId="632381F1" w14:textId="4C17E004" w:rsidR="00F577F9" w:rsidRPr="00077CF3" w:rsidRDefault="0029462D" w:rsidP="00F577F9">
      <w:pPr>
        <w:pStyle w:val="Heading1"/>
        <w:rPr>
          <w:lang w:val="en-US"/>
        </w:rPr>
      </w:pPr>
      <w:r>
        <w:rPr>
          <w:lang w:val="en-US"/>
        </w:rPr>
        <w:t>Analysis of the proposed solutions</w:t>
      </w:r>
    </w:p>
    <w:p w14:paraId="4AF9CDD2" w14:textId="0D4F91FF" w:rsidR="0029462D" w:rsidRPr="0029462D" w:rsidRDefault="0029462D" w:rsidP="0029462D">
      <w:pPr>
        <w:pStyle w:val="Heading2"/>
        <w:rPr>
          <w:sz w:val="24"/>
          <w:lang w:val="en-US" w:eastAsia="sv-SE"/>
        </w:rPr>
      </w:pPr>
      <w:r w:rsidRPr="0029462D">
        <w:rPr>
          <w:sz w:val="24"/>
          <w:lang w:val="en-US" w:eastAsia="sv-SE"/>
        </w:rPr>
        <w:t>Extending use of DAI to multiple carriers</w:t>
      </w:r>
    </w:p>
    <w:p w14:paraId="61BDB950" w14:textId="6489C6BE" w:rsidR="008C3C63" w:rsidRDefault="00CC2076" w:rsidP="008C3C63">
      <w:pPr>
        <w:rPr>
          <w:sz w:val="20"/>
          <w:lang w:val="en-US" w:eastAsia="sv-SE"/>
        </w:rPr>
      </w:pPr>
      <w:r>
        <w:rPr>
          <w:sz w:val="20"/>
          <w:lang w:val="en-US" w:eastAsia="sv-SE"/>
        </w:rPr>
        <w:t>Extending the TDD DAI based approach on the carrier dimension has been proposed. One drawback of a solution based on the DAI is that for an indication of size N bits, if a UE misses 2</w:t>
      </w:r>
      <w:r>
        <w:rPr>
          <w:sz w:val="20"/>
          <w:vertAlign w:val="superscript"/>
          <w:lang w:val="en-US" w:eastAsia="sv-SE"/>
        </w:rPr>
        <w:t>N</w:t>
      </w:r>
      <w:r>
        <w:rPr>
          <w:sz w:val="20"/>
          <w:lang w:val="en-US" w:eastAsia="sv-SE"/>
        </w:rPr>
        <w:t xml:space="preserve"> consecutive assignments, the UE will not know that it has missed any assignment and will construct the feedback without adding the appropriate known </w:t>
      </w:r>
      <w:proofErr w:type="spellStart"/>
      <w:r>
        <w:rPr>
          <w:sz w:val="20"/>
          <w:lang w:val="en-US" w:eastAsia="sv-SE"/>
        </w:rPr>
        <w:t>Nacks</w:t>
      </w:r>
      <w:proofErr w:type="spellEnd"/>
      <w:r>
        <w:rPr>
          <w:sz w:val="20"/>
          <w:lang w:val="en-US" w:eastAsia="sv-SE"/>
        </w:rPr>
        <w:t xml:space="preserve">. There is also no protection against missing one or more final assignment. It has been argued that the probability of missing 4 (for N=2) consecutive </w:t>
      </w:r>
      <w:r w:rsidR="00B9192B">
        <w:rPr>
          <w:sz w:val="20"/>
          <w:lang w:val="en-US" w:eastAsia="sv-SE"/>
        </w:rPr>
        <w:t>assignments</w:t>
      </w:r>
      <w:r>
        <w:rPr>
          <w:sz w:val="20"/>
          <w:lang w:val="en-US" w:eastAsia="sv-SE"/>
        </w:rPr>
        <w:t xml:space="preserve"> is low, and therefore not a problem that requires further attention. However, the reality is that ther</w:t>
      </w:r>
      <w:r w:rsidR="00B9192B">
        <w:rPr>
          <w:sz w:val="20"/>
          <w:lang w:val="en-US" w:eastAsia="sv-SE"/>
        </w:rPr>
        <w:t>e may be some correlation betwee</w:t>
      </w:r>
      <w:r>
        <w:rPr>
          <w:sz w:val="20"/>
          <w:lang w:val="en-US" w:eastAsia="sv-SE"/>
        </w:rPr>
        <w:t xml:space="preserve">n the </w:t>
      </w:r>
      <w:r w:rsidR="00B9192B">
        <w:rPr>
          <w:sz w:val="20"/>
          <w:lang w:val="en-US" w:eastAsia="sv-SE"/>
        </w:rPr>
        <w:t>performances</w:t>
      </w:r>
      <w:r>
        <w:rPr>
          <w:sz w:val="20"/>
          <w:lang w:val="en-US" w:eastAsia="sv-SE"/>
        </w:rPr>
        <w:t xml:space="preserve"> of adjacent carriers (for example, switching from LOS to NLOS).</w:t>
      </w:r>
      <w:r w:rsidR="00BB398D">
        <w:rPr>
          <w:sz w:val="20"/>
          <w:lang w:val="en-US" w:eastAsia="sv-SE"/>
        </w:rPr>
        <w:t xml:space="preserve"> </w:t>
      </w:r>
      <w:r>
        <w:rPr>
          <w:sz w:val="20"/>
          <w:lang w:val="en-US" w:eastAsia="sv-SE"/>
        </w:rPr>
        <w:t>Furthermore, even for non-correlated channels, an increase in the total number of carriers increases the probability of missing four consecutive assignments. For example, if a UE is configured with 6 carriers, there are only three ways of missing four consecutive carriers: missing the first four carriers, or missing the 2</w:t>
      </w:r>
      <w:r w:rsidRPr="00CC2076">
        <w:rPr>
          <w:sz w:val="20"/>
          <w:vertAlign w:val="superscript"/>
          <w:lang w:val="en-US" w:eastAsia="sv-SE"/>
        </w:rPr>
        <w:t>nd</w:t>
      </w:r>
      <w:r>
        <w:rPr>
          <w:sz w:val="20"/>
          <w:lang w:val="en-US" w:eastAsia="sv-SE"/>
        </w:rPr>
        <w:t xml:space="preserve"> to 5</w:t>
      </w:r>
      <w:r w:rsidRPr="00CC2076">
        <w:rPr>
          <w:sz w:val="20"/>
          <w:vertAlign w:val="superscript"/>
          <w:lang w:val="en-US" w:eastAsia="sv-SE"/>
        </w:rPr>
        <w:t>th</w:t>
      </w:r>
      <w:r>
        <w:rPr>
          <w:sz w:val="20"/>
          <w:lang w:val="en-US" w:eastAsia="sv-SE"/>
        </w:rPr>
        <w:t xml:space="preserve"> carriers, or missing assignments in the last 4 carriers. On the other hand, with 32 carriers, there are 29 ways to miss 4 consecutive assignments.  Therefore, the number of required retransmissions due to missed detections increases as the number of configured </w:t>
      </w:r>
      <w:proofErr w:type="gramStart"/>
      <w:r>
        <w:rPr>
          <w:sz w:val="20"/>
          <w:lang w:val="en-US" w:eastAsia="sv-SE"/>
        </w:rPr>
        <w:t>carriers</w:t>
      </w:r>
      <w:proofErr w:type="gramEnd"/>
      <w:r>
        <w:rPr>
          <w:sz w:val="20"/>
          <w:lang w:val="en-US" w:eastAsia="sv-SE"/>
        </w:rPr>
        <w:t xml:space="preserve"> increases.</w:t>
      </w:r>
      <w:r w:rsidR="00BB398D">
        <w:rPr>
          <w:sz w:val="20"/>
          <w:lang w:val="en-US" w:eastAsia="sv-SE"/>
        </w:rPr>
        <w:t xml:space="preserve"> </w:t>
      </w:r>
      <w:r>
        <w:rPr>
          <w:sz w:val="20"/>
          <w:lang w:val="en-US" w:eastAsia="sv-SE"/>
        </w:rPr>
        <w:t>Furthermore</w:t>
      </w:r>
      <w:r w:rsidR="009B3558">
        <w:rPr>
          <w:sz w:val="20"/>
          <w:lang w:val="en-US" w:eastAsia="sv-SE"/>
        </w:rPr>
        <w:t xml:space="preserve">, if some of the carriers are operating in the unlicensed band, the probability of missing an assignment may no longer depend solely on the received SINR, but may also be compounded by the probability of the LAA </w:t>
      </w:r>
      <w:proofErr w:type="spellStart"/>
      <w:r w:rsidR="009B3558">
        <w:rPr>
          <w:sz w:val="20"/>
          <w:lang w:val="en-US" w:eastAsia="sv-SE"/>
        </w:rPr>
        <w:t>Scell</w:t>
      </w:r>
      <w:proofErr w:type="spellEnd"/>
      <w:r w:rsidR="009B3558">
        <w:rPr>
          <w:sz w:val="20"/>
          <w:lang w:val="en-US" w:eastAsia="sv-SE"/>
        </w:rPr>
        <w:t xml:space="preserve"> acquiring the channel.</w:t>
      </w:r>
    </w:p>
    <w:p w14:paraId="329CB96F" w14:textId="77777777" w:rsidR="00C24E3A" w:rsidRDefault="00C24E3A" w:rsidP="008C3C63">
      <w:pPr>
        <w:rPr>
          <w:sz w:val="20"/>
          <w:lang w:val="en-US" w:eastAsia="sv-SE"/>
        </w:rPr>
      </w:pPr>
    </w:p>
    <w:p w14:paraId="67715745" w14:textId="140D97EA" w:rsidR="009B3558" w:rsidRDefault="009B3558" w:rsidP="008C3C63">
      <w:pPr>
        <w:rPr>
          <w:sz w:val="20"/>
          <w:lang w:val="en-US" w:eastAsia="sv-SE"/>
        </w:rPr>
      </w:pPr>
      <w:r>
        <w:rPr>
          <w:sz w:val="20"/>
          <w:lang w:val="en-US" w:eastAsia="sv-SE"/>
        </w:rPr>
        <w:t>To address the lack of robustness with the DAI</w:t>
      </w:r>
      <w:r w:rsidR="0029462D">
        <w:rPr>
          <w:sz w:val="20"/>
          <w:lang w:val="en-US" w:eastAsia="sv-SE"/>
        </w:rPr>
        <w:t>-based</w:t>
      </w:r>
      <w:r>
        <w:rPr>
          <w:sz w:val="20"/>
          <w:lang w:val="en-US" w:eastAsia="sv-SE"/>
        </w:rPr>
        <w:t xml:space="preserve"> solution, </w:t>
      </w:r>
      <w:r w:rsidR="0029462D">
        <w:rPr>
          <w:sz w:val="20"/>
          <w:lang w:val="en-US" w:eastAsia="sv-SE"/>
        </w:rPr>
        <w:t>several modifications have been proposed.</w:t>
      </w:r>
    </w:p>
    <w:p w14:paraId="68B87249" w14:textId="7B567092" w:rsidR="00E636A2" w:rsidRDefault="00E636A2" w:rsidP="00E636A2">
      <w:pPr>
        <w:pStyle w:val="ListParagraph"/>
        <w:numPr>
          <w:ilvl w:val="0"/>
          <w:numId w:val="48"/>
        </w:numPr>
        <w:rPr>
          <w:rFonts w:ascii="Times New Roman" w:eastAsia="SimSun" w:hAnsi="Times New Roman"/>
          <w:sz w:val="20"/>
          <w:szCs w:val="20"/>
          <w:lang w:eastAsia="sv-SE"/>
        </w:rPr>
      </w:pPr>
      <w:r w:rsidRPr="00E636A2">
        <w:rPr>
          <w:rFonts w:ascii="Times New Roman" w:eastAsia="SimSun" w:hAnsi="Times New Roman"/>
          <w:sz w:val="20"/>
          <w:szCs w:val="20"/>
          <w:u w:val="single"/>
          <w:lang w:eastAsia="sv-SE"/>
        </w:rPr>
        <w:t>Adding a last downlink assignment indicator</w:t>
      </w:r>
      <w:r w:rsidR="007F5D62">
        <w:rPr>
          <w:rFonts w:ascii="Times New Roman" w:eastAsia="SimSun" w:hAnsi="Times New Roman"/>
          <w:sz w:val="20"/>
          <w:szCs w:val="20"/>
          <w:u w:val="single"/>
          <w:lang w:eastAsia="sv-SE"/>
        </w:rPr>
        <w:t xml:space="preserve"> [</w:t>
      </w:r>
      <w:r w:rsidR="00BA5AA2">
        <w:rPr>
          <w:rFonts w:ascii="Times New Roman" w:eastAsia="SimSun" w:hAnsi="Times New Roman"/>
          <w:sz w:val="20"/>
          <w:szCs w:val="20"/>
          <w:u w:val="single"/>
          <w:lang w:eastAsia="sv-SE"/>
        </w:rPr>
        <w:t>3-5</w:t>
      </w:r>
      <w:proofErr w:type="gramStart"/>
      <w:r w:rsidR="00BA5AA2">
        <w:rPr>
          <w:rFonts w:ascii="Times New Roman" w:eastAsia="SimSun" w:hAnsi="Times New Roman"/>
          <w:sz w:val="20"/>
          <w:szCs w:val="20"/>
          <w:u w:val="single"/>
          <w:lang w:eastAsia="sv-SE"/>
        </w:rPr>
        <w:t>]</w:t>
      </w:r>
      <w:proofErr w:type="gramEnd"/>
      <w:r w:rsidRPr="00E636A2">
        <w:rPr>
          <w:rFonts w:ascii="Times New Roman" w:eastAsia="SimSun" w:hAnsi="Times New Roman"/>
          <w:sz w:val="20"/>
          <w:szCs w:val="20"/>
          <w:u w:val="single"/>
          <w:lang w:eastAsia="sv-SE"/>
        </w:rPr>
        <w:br/>
      </w:r>
      <w:r w:rsidRPr="00E636A2">
        <w:rPr>
          <w:rFonts w:ascii="Times New Roman" w:eastAsia="SimSun" w:hAnsi="Times New Roman"/>
          <w:sz w:val="20"/>
          <w:szCs w:val="20"/>
          <w:lang w:eastAsia="sv-SE"/>
        </w:rPr>
        <w:t xml:space="preserve">In such </w:t>
      </w:r>
      <w:r>
        <w:rPr>
          <w:rFonts w:ascii="Times New Roman" w:eastAsia="SimSun" w:hAnsi="Times New Roman"/>
          <w:sz w:val="20"/>
          <w:szCs w:val="20"/>
          <w:lang w:eastAsia="sv-SE"/>
        </w:rPr>
        <w:t>solutions, 1 or 2 bits are added to the DAI to indicate the last assignment or last 2</w:t>
      </w:r>
      <w:r>
        <w:rPr>
          <w:rFonts w:ascii="Times New Roman" w:eastAsia="SimSun" w:hAnsi="Times New Roman"/>
          <w:sz w:val="20"/>
          <w:szCs w:val="20"/>
          <w:vertAlign w:val="superscript"/>
          <w:lang w:eastAsia="sv-SE"/>
        </w:rPr>
        <w:t>N</w:t>
      </w:r>
      <w:r>
        <w:rPr>
          <w:rFonts w:ascii="Times New Roman" w:eastAsia="SimSun" w:hAnsi="Times New Roman"/>
          <w:sz w:val="20"/>
          <w:szCs w:val="20"/>
          <w:lang w:eastAsia="sv-SE"/>
        </w:rPr>
        <w:t xml:space="preserve"> assignments.  These proposed solutions</w:t>
      </w:r>
      <w:r w:rsidRPr="00E636A2">
        <w:rPr>
          <w:rFonts w:ascii="Times New Roman" w:eastAsia="SimSun" w:hAnsi="Times New Roman"/>
          <w:sz w:val="20"/>
          <w:szCs w:val="20"/>
          <w:lang w:eastAsia="sv-SE"/>
        </w:rPr>
        <w:t xml:space="preserve"> </w:t>
      </w:r>
      <w:r>
        <w:rPr>
          <w:rFonts w:ascii="Times New Roman" w:eastAsia="SimSun" w:hAnsi="Times New Roman"/>
          <w:sz w:val="20"/>
          <w:szCs w:val="20"/>
          <w:lang w:eastAsia="sv-SE"/>
        </w:rPr>
        <w:t>do not address the case of missing 2</w:t>
      </w:r>
      <w:r>
        <w:rPr>
          <w:rFonts w:ascii="Times New Roman" w:eastAsia="SimSun" w:hAnsi="Times New Roman"/>
          <w:sz w:val="20"/>
          <w:szCs w:val="20"/>
          <w:vertAlign w:val="superscript"/>
          <w:lang w:eastAsia="sv-SE"/>
        </w:rPr>
        <w:t>N</w:t>
      </w:r>
      <w:r>
        <w:rPr>
          <w:rFonts w:ascii="Times New Roman" w:eastAsia="SimSun" w:hAnsi="Times New Roman"/>
          <w:sz w:val="20"/>
          <w:szCs w:val="20"/>
          <w:lang w:eastAsia="sv-SE"/>
        </w:rPr>
        <w:t xml:space="preserve"> consecutive assignment in the middle of the over-all set of assignments.</w:t>
      </w:r>
      <w:r w:rsidR="00995967">
        <w:rPr>
          <w:rFonts w:ascii="Times New Roman" w:eastAsia="SimSun" w:hAnsi="Times New Roman"/>
          <w:sz w:val="20"/>
          <w:szCs w:val="20"/>
          <w:lang w:eastAsia="sv-SE"/>
        </w:rPr>
        <w:t xml:space="preserve"> </w:t>
      </w:r>
      <w:r>
        <w:rPr>
          <w:rFonts w:ascii="Times New Roman" w:eastAsia="SimSun" w:hAnsi="Times New Roman"/>
          <w:sz w:val="20"/>
          <w:szCs w:val="20"/>
          <w:lang w:eastAsia="sv-SE"/>
        </w:rPr>
        <w:t>Furthermore, the added overhead is wasted for any downlink assignment that is not the last assignment or last group of assignments.</w:t>
      </w:r>
      <w:r>
        <w:rPr>
          <w:rFonts w:ascii="Times New Roman" w:eastAsia="SimSun" w:hAnsi="Times New Roman"/>
          <w:sz w:val="20"/>
          <w:szCs w:val="20"/>
          <w:lang w:eastAsia="sv-SE"/>
        </w:rPr>
        <w:br/>
      </w:r>
    </w:p>
    <w:p w14:paraId="77833FD3" w14:textId="7526F767" w:rsidR="00E636A2" w:rsidRDefault="007F5D62" w:rsidP="00E636A2">
      <w:pPr>
        <w:pStyle w:val="ListParagraph"/>
        <w:numPr>
          <w:ilvl w:val="0"/>
          <w:numId w:val="48"/>
        </w:numPr>
        <w:rPr>
          <w:rFonts w:ascii="Times New Roman" w:eastAsia="SimSun" w:hAnsi="Times New Roman"/>
          <w:sz w:val="20"/>
          <w:szCs w:val="20"/>
          <w:lang w:eastAsia="sv-SE"/>
        </w:rPr>
      </w:pPr>
      <w:r>
        <w:rPr>
          <w:rFonts w:ascii="Times New Roman" w:eastAsia="SimSun" w:hAnsi="Times New Roman"/>
          <w:sz w:val="20"/>
          <w:szCs w:val="20"/>
          <w:u w:val="single"/>
          <w:lang w:eastAsia="sv-SE"/>
        </w:rPr>
        <w:lastRenderedPageBreak/>
        <w:t>Indicating</w:t>
      </w:r>
      <w:r w:rsidR="00E636A2" w:rsidRPr="007F5D62">
        <w:rPr>
          <w:rFonts w:ascii="Times New Roman" w:eastAsia="SimSun" w:hAnsi="Times New Roman"/>
          <w:sz w:val="20"/>
          <w:szCs w:val="20"/>
          <w:u w:val="single"/>
          <w:lang w:eastAsia="sv-SE"/>
        </w:rPr>
        <w:t xml:space="preserve"> the total DAI</w:t>
      </w:r>
      <w:r>
        <w:rPr>
          <w:rFonts w:ascii="Times New Roman" w:eastAsia="SimSun" w:hAnsi="Times New Roman"/>
          <w:sz w:val="20"/>
          <w:szCs w:val="20"/>
          <w:u w:val="single"/>
          <w:lang w:eastAsia="sv-SE"/>
        </w:rPr>
        <w:t xml:space="preserve"> [</w:t>
      </w:r>
      <w:r w:rsidR="00404270">
        <w:rPr>
          <w:rFonts w:ascii="Times New Roman" w:eastAsia="SimSun" w:hAnsi="Times New Roman"/>
          <w:sz w:val="20"/>
          <w:szCs w:val="20"/>
          <w:u w:val="single"/>
          <w:lang w:eastAsia="sv-SE"/>
        </w:rPr>
        <w:t>6-9</w:t>
      </w:r>
      <w:proofErr w:type="gramStart"/>
      <w:r>
        <w:rPr>
          <w:rFonts w:ascii="Times New Roman" w:eastAsia="SimSun" w:hAnsi="Times New Roman"/>
          <w:sz w:val="20"/>
          <w:szCs w:val="20"/>
          <w:u w:val="single"/>
          <w:lang w:eastAsia="sv-SE"/>
        </w:rPr>
        <w:t>]</w:t>
      </w:r>
      <w:proofErr w:type="gramEnd"/>
      <w:r w:rsidR="00E636A2">
        <w:rPr>
          <w:rFonts w:ascii="Times New Roman" w:eastAsia="SimSun" w:hAnsi="Times New Roman"/>
          <w:sz w:val="20"/>
          <w:szCs w:val="20"/>
          <w:lang w:eastAsia="sv-SE"/>
        </w:rPr>
        <w:br/>
        <w:t xml:space="preserve">Such solutions can indicate the total number of assignments in a </w:t>
      </w:r>
      <w:proofErr w:type="spellStart"/>
      <w:r w:rsidR="00E636A2">
        <w:rPr>
          <w:rFonts w:ascii="Times New Roman" w:eastAsia="SimSun" w:hAnsi="Times New Roman"/>
          <w:sz w:val="20"/>
          <w:szCs w:val="20"/>
          <w:lang w:eastAsia="sv-SE"/>
        </w:rPr>
        <w:t>subframe</w:t>
      </w:r>
      <w:proofErr w:type="spellEnd"/>
      <w:r w:rsidR="00E636A2">
        <w:rPr>
          <w:rFonts w:ascii="Times New Roman" w:eastAsia="SimSun" w:hAnsi="Times New Roman"/>
          <w:sz w:val="20"/>
          <w:szCs w:val="20"/>
          <w:lang w:eastAsia="sv-SE"/>
        </w:rPr>
        <w:t xml:space="preserve"> or a set of </w:t>
      </w:r>
      <w:proofErr w:type="spellStart"/>
      <w:r w:rsidR="00E636A2">
        <w:rPr>
          <w:rFonts w:ascii="Times New Roman" w:eastAsia="SimSun" w:hAnsi="Times New Roman"/>
          <w:sz w:val="20"/>
          <w:szCs w:val="20"/>
          <w:lang w:eastAsia="sv-SE"/>
        </w:rPr>
        <w:t>subframes</w:t>
      </w:r>
      <w:proofErr w:type="spellEnd"/>
      <w:r w:rsidR="00E636A2">
        <w:rPr>
          <w:rFonts w:ascii="Times New Roman" w:eastAsia="SimSun" w:hAnsi="Times New Roman"/>
          <w:sz w:val="20"/>
          <w:szCs w:val="20"/>
          <w:lang w:eastAsia="sv-SE"/>
        </w:rPr>
        <w:t>. The solution can enable a UE to determine whether it missed a set of 2</w:t>
      </w:r>
      <w:r w:rsidR="00E636A2">
        <w:rPr>
          <w:rFonts w:ascii="Times New Roman" w:eastAsia="SimSun" w:hAnsi="Times New Roman"/>
          <w:sz w:val="20"/>
          <w:szCs w:val="20"/>
          <w:vertAlign w:val="superscript"/>
          <w:lang w:eastAsia="sv-SE"/>
        </w:rPr>
        <w:t>N</w:t>
      </w:r>
      <w:r w:rsidR="00E636A2">
        <w:rPr>
          <w:rFonts w:ascii="Times New Roman" w:eastAsia="SimSun" w:hAnsi="Times New Roman"/>
          <w:sz w:val="20"/>
          <w:szCs w:val="20"/>
          <w:lang w:eastAsia="sv-SE"/>
        </w:rPr>
        <w:t xml:space="preserve"> assignments or a </w:t>
      </w:r>
      <w:r w:rsidR="005578DE">
        <w:rPr>
          <w:rFonts w:ascii="Times New Roman" w:eastAsia="SimSun" w:hAnsi="Times New Roman"/>
          <w:sz w:val="20"/>
          <w:szCs w:val="20"/>
          <w:lang w:eastAsia="sv-SE"/>
        </w:rPr>
        <w:t xml:space="preserve">final assignment in a </w:t>
      </w:r>
      <w:proofErr w:type="spellStart"/>
      <w:r w:rsidR="005578DE">
        <w:rPr>
          <w:rFonts w:ascii="Times New Roman" w:eastAsia="SimSun" w:hAnsi="Times New Roman"/>
          <w:sz w:val="20"/>
          <w:szCs w:val="20"/>
          <w:lang w:eastAsia="sv-SE"/>
        </w:rPr>
        <w:t>subframe</w:t>
      </w:r>
      <w:proofErr w:type="spellEnd"/>
      <w:r w:rsidR="005578DE">
        <w:rPr>
          <w:rFonts w:ascii="Times New Roman" w:eastAsia="SimSun" w:hAnsi="Times New Roman"/>
          <w:sz w:val="20"/>
          <w:szCs w:val="20"/>
          <w:lang w:eastAsia="sv-SE"/>
        </w:rPr>
        <w:t>.  However</w:t>
      </w:r>
      <w:r>
        <w:rPr>
          <w:rFonts w:ascii="Times New Roman" w:eastAsia="SimSun" w:hAnsi="Times New Roman"/>
          <w:sz w:val="20"/>
          <w:szCs w:val="20"/>
          <w:lang w:eastAsia="sv-SE"/>
        </w:rPr>
        <w:t>, the total assignment indicator may be N bits, similar to the n</w:t>
      </w:r>
      <w:r w:rsidR="005578DE">
        <w:rPr>
          <w:rFonts w:ascii="Times New Roman" w:eastAsia="SimSun" w:hAnsi="Times New Roman"/>
          <w:sz w:val="20"/>
          <w:szCs w:val="20"/>
          <w:lang w:eastAsia="sv-SE"/>
        </w:rPr>
        <w:t>u</w:t>
      </w:r>
      <w:r>
        <w:rPr>
          <w:rFonts w:ascii="Times New Roman" w:eastAsia="SimSun" w:hAnsi="Times New Roman"/>
          <w:sz w:val="20"/>
          <w:szCs w:val="20"/>
          <w:lang w:eastAsia="sv-SE"/>
        </w:rPr>
        <w:t xml:space="preserve">mber of DAI bits. Therefore, the UE might </w:t>
      </w:r>
      <w:r w:rsidR="005578DE">
        <w:rPr>
          <w:rFonts w:ascii="Times New Roman" w:eastAsia="SimSun" w:hAnsi="Times New Roman"/>
          <w:sz w:val="20"/>
          <w:szCs w:val="20"/>
          <w:lang w:eastAsia="sv-SE"/>
        </w:rPr>
        <w:t xml:space="preserve">still </w:t>
      </w:r>
      <w:r>
        <w:rPr>
          <w:rFonts w:ascii="Times New Roman" w:eastAsia="SimSun" w:hAnsi="Times New Roman"/>
          <w:sz w:val="20"/>
          <w:szCs w:val="20"/>
          <w:lang w:eastAsia="sv-SE"/>
        </w:rPr>
        <w:t>not be able to detect consecutive 2</w:t>
      </w:r>
      <w:r>
        <w:rPr>
          <w:rFonts w:ascii="Times New Roman" w:eastAsia="SimSun" w:hAnsi="Times New Roman"/>
          <w:sz w:val="20"/>
          <w:szCs w:val="20"/>
          <w:vertAlign w:val="superscript"/>
          <w:lang w:eastAsia="sv-SE"/>
        </w:rPr>
        <w:t>N</w:t>
      </w:r>
      <w:r>
        <w:rPr>
          <w:rFonts w:ascii="Times New Roman" w:eastAsia="SimSun" w:hAnsi="Times New Roman"/>
          <w:sz w:val="20"/>
          <w:szCs w:val="20"/>
          <w:lang w:eastAsia="sv-SE"/>
        </w:rPr>
        <w:t xml:space="preserve"> missed assignments. For example, a UE might be indicated </w:t>
      </w:r>
      <w:r w:rsidR="005578DE">
        <w:rPr>
          <w:rFonts w:ascii="Times New Roman" w:eastAsia="SimSun" w:hAnsi="Times New Roman"/>
          <w:sz w:val="20"/>
          <w:szCs w:val="20"/>
          <w:lang w:eastAsia="sv-SE"/>
        </w:rPr>
        <w:t>‘</w:t>
      </w:r>
      <w:r>
        <w:rPr>
          <w:rFonts w:ascii="Times New Roman" w:eastAsia="SimSun" w:hAnsi="Times New Roman"/>
          <w:sz w:val="20"/>
          <w:szCs w:val="20"/>
          <w:lang w:eastAsia="sv-SE"/>
        </w:rPr>
        <w:t>11</w:t>
      </w:r>
      <w:r w:rsidR="005578DE">
        <w:rPr>
          <w:rFonts w:ascii="Times New Roman" w:eastAsia="SimSun" w:hAnsi="Times New Roman"/>
          <w:sz w:val="20"/>
          <w:szCs w:val="20"/>
          <w:lang w:eastAsia="sv-SE"/>
        </w:rPr>
        <w:t>’</w:t>
      </w:r>
      <w:r>
        <w:rPr>
          <w:rFonts w:ascii="Times New Roman" w:eastAsia="SimSun" w:hAnsi="Times New Roman"/>
          <w:sz w:val="20"/>
          <w:szCs w:val="20"/>
          <w:lang w:eastAsia="sv-SE"/>
        </w:rPr>
        <w:t xml:space="preserve"> for total assignments. This may be interpreted by the UE as meaning either 4, 8, 12</w:t>
      </w:r>
      <w:r w:rsidR="00B9192B">
        <w:rPr>
          <w:rFonts w:ascii="Times New Roman" w:eastAsia="SimSun" w:hAnsi="Times New Roman"/>
          <w:sz w:val="20"/>
          <w:szCs w:val="20"/>
          <w:lang w:eastAsia="sv-SE"/>
        </w:rPr>
        <w:t xml:space="preserve">…  </w:t>
      </w:r>
      <w:r>
        <w:rPr>
          <w:rFonts w:ascii="Times New Roman" w:eastAsia="SimSun" w:hAnsi="Times New Roman"/>
          <w:sz w:val="20"/>
          <w:szCs w:val="20"/>
          <w:lang w:eastAsia="sv-SE"/>
        </w:rPr>
        <w:t>If the UE detects 4 assignments, it may think it detected all the assignments, when in reality it may have missed 4 consecutive assignments.</w:t>
      </w:r>
      <w:r>
        <w:rPr>
          <w:rFonts w:ascii="Times New Roman" w:eastAsia="SimSun" w:hAnsi="Times New Roman"/>
          <w:sz w:val="20"/>
          <w:szCs w:val="20"/>
          <w:lang w:eastAsia="sv-SE"/>
        </w:rPr>
        <w:br/>
      </w:r>
      <w:r>
        <w:rPr>
          <w:rFonts w:ascii="Times New Roman" w:eastAsia="SimSun" w:hAnsi="Times New Roman"/>
          <w:sz w:val="20"/>
          <w:szCs w:val="20"/>
          <w:lang w:eastAsia="sv-SE"/>
        </w:rPr>
        <w:br/>
        <w:t>In [</w:t>
      </w:r>
      <w:r w:rsidR="00404270">
        <w:rPr>
          <w:rFonts w:ascii="Times New Roman" w:eastAsia="SimSun" w:hAnsi="Times New Roman"/>
          <w:sz w:val="20"/>
          <w:szCs w:val="20"/>
          <w:lang w:eastAsia="sv-SE"/>
        </w:rPr>
        <w:t>8</w:t>
      </w:r>
      <w:r>
        <w:rPr>
          <w:rFonts w:ascii="Times New Roman" w:eastAsia="SimSun" w:hAnsi="Times New Roman"/>
          <w:sz w:val="20"/>
          <w:szCs w:val="20"/>
          <w:lang w:eastAsia="sv-SE"/>
        </w:rPr>
        <w:t xml:space="preserve">] the total DAI indication is provided in a single DL assignment. A </w:t>
      </w:r>
      <w:r w:rsidR="00E636A2">
        <w:rPr>
          <w:rFonts w:ascii="Times New Roman" w:eastAsia="SimSun" w:hAnsi="Times New Roman"/>
          <w:sz w:val="20"/>
          <w:szCs w:val="20"/>
          <w:lang w:eastAsia="sv-SE"/>
        </w:rPr>
        <w:t>UE may miss the one assignment where the total numb</w:t>
      </w:r>
      <w:r>
        <w:rPr>
          <w:rFonts w:ascii="Times New Roman" w:eastAsia="SimSun" w:hAnsi="Times New Roman"/>
          <w:sz w:val="20"/>
          <w:szCs w:val="20"/>
          <w:lang w:eastAsia="sv-SE"/>
        </w:rPr>
        <w:t>er of assignments is indicated, and may misinterpret another DAI as the total DAI indication.</w:t>
      </w:r>
      <w:r>
        <w:rPr>
          <w:rFonts w:ascii="Times New Roman" w:eastAsia="SimSun" w:hAnsi="Times New Roman"/>
          <w:sz w:val="20"/>
          <w:szCs w:val="20"/>
          <w:lang w:eastAsia="sv-SE"/>
        </w:rPr>
        <w:br/>
      </w:r>
    </w:p>
    <w:p w14:paraId="72759571" w14:textId="2BC8D2F7" w:rsidR="007F5D62" w:rsidRPr="00E636A2" w:rsidRDefault="0065029B" w:rsidP="00E636A2">
      <w:pPr>
        <w:pStyle w:val="ListParagraph"/>
        <w:numPr>
          <w:ilvl w:val="0"/>
          <w:numId w:val="48"/>
        </w:numPr>
        <w:rPr>
          <w:rFonts w:ascii="Times New Roman" w:eastAsia="SimSun" w:hAnsi="Times New Roman"/>
          <w:sz w:val="20"/>
          <w:szCs w:val="20"/>
          <w:lang w:eastAsia="sv-SE"/>
        </w:rPr>
      </w:pPr>
      <w:r w:rsidRPr="0065029B">
        <w:rPr>
          <w:rFonts w:ascii="Times New Roman" w:eastAsia="SimSun" w:hAnsi="Times New Roman"/>
          <w:sz w:val="20"/>
          <w:szCs w:val="20"/>
          <w:u w:val="single"/>
          <w:lang w:eastAsia="sv-SE"/>
        </w:rPr>
        <w:t>The DAI counting rule informs a UE of a set of possible HARQ-ACK codebook sizes [</w:t>
      </w:r>
      <w:r w:rsidR="00404270">
        <w:rPr>
          <w:rFonts w:ascii="Times New Roman" w:eastAsia="SimSun" w:hAnsi="Times New Roman"/>
          <w:sz w:val="20"/>
          <w:szCs w:val="20"/>
          <w:u w:val="single"/>
          <w:lang w:eastAsia="sv-SE"/>
        </w:rPr>
        <w:t>10</w:t>
      </w:r>
      <w:r w:rsidRPr="0065029B">
        <w:rPr>
          <w:rFonts w:ascii="Times New Roman" w:eastAsia="SimSun" w:hAnsi="Times New Roman"/>
          <w:sz w:val="20"/>
          <w:szCs w:val="20"/>
          <w:u w:val="single"/>
          <w:lang w:eastAsia="sv-SE"/>
        </w:rPr>
        <w:t>]</w:t>
      </w:r>
      <w:r>
        <w:rPr>
          <w:rFonts w:ascii="Times New Roman" w:eastAsia="SimSun" w:hAnsi="Times New Roman"/>
          <w:sz w:val="20"/>
          <w:szCs w:val="20"/>
          <w:lang w:eastAsia="sv-SE"/>
        </w:rPr>
        <w:br/>
        <w:t>Such a solution enables the UE to determine a possible codebook size based on the ordering of the DAI (</w:t>
      </w:r>
      <w:r w:rsidR="00AD7895">
        <w:rPr>
          <w:rFonts w:ascii="Times New Roman" w:eastAsia="SimSun" w:hAnsi="Times New Roman"/>
          <w:sz w:val="20"/>
          <w:szCs w:val="20"/>
          <w:lang w:eastAsia="sv-SE"/>
        </w:rPr>
        <w:t>ascending</w:t>
      </w:r>
      <w:r>
        <w:rPr>
          <w:rFonts w:ascii="Times New Roman" w:eastAsia="SimSun" w:hAnsi="Times New Roman"/>
          <w:sz w:val="20"/>
          <w:szCs w:val="20"/>
          <w:lang w:eastAsia="sv-SE"/>
        </w:rPr>
        <w:t xml:space="preserve"> or de</w:t>
      </w:r>
      <w:r w:rsidR="00AD7895">
        <w:rPr>
          <w:rFonts w:ascii="Times New Roman" w:eastAsia="SimSun" w:hAnsi="Times New Roman"/>
          <w:sz w:val="20"/>
          <w:szCs w:val="20"/>
          <w:lang w:eastAsia="sv-SE"/>
        </w:rPr>
        <w:t>scending</w:t>
      </w:r>
      <w:r>
        <w:rPr>
          <w:rFonts w:ascii="Times New Roman" w:eastAsia="SimSun" w:hAnsi="Times New Roman"/>
          <w:sz w:val="20"/>
          <w:szCs w:val="20"/>
          <w:lang w:eastAsia="sv-SE"/>
        </w:rPr>
        <w:t xml:space="preserve"> order</w:t>
      </w:r>
      <w:r w:rsidR="0041407C">
        <w:rPr>
          <w:rFonts w:ascii="Times New Roman" w:eastAsia="SimSun" w:hAnsi="Times New Roman"/>
          <w:sz w:val="20"/>
          <w:szCs w:val="20"/>
          <w:lang w:eastAsia="sv-SE"/>
        </w:rPr>
        <w:t xml:space="preserve"> implicitly</w:t>
      </w:r>
      <w:r>
        <w:rPr>
          <w:rFonts w:ascii="Times New Roman" w:eastAsia="SimSun" w:hAnsi="Times New Roman"/>
          <w:sz w:val="20"/>
          <w:szCs w:val="20"/>
          <w:lang w:eastAsia="sv-SE"/>
        </w:rPr>
        <w:t xml:space="preserve"> indicates different sets). Some flexibility is lost given that a </w:t>
      </w:r>
      <w:r w:rsidR="00AD7895">
        <w:rPr>
          <w:rFonts w:ascii="Times New Roman" w:eastAsia="SimSun" w:hAnsi="Times New Roman"/>
          <w:sz w:val="20"/>
          <w:szCs w:val="20"/>
          <w:lang w:eastAsia="sv-SE"/>
        </w:rPr>
        <w:t>fix</w:t>
      </w:r>
      <w:r>
        <w:rPr>
          <w:rFonts w:ascii="Times New Roman" w:eastAsia="SimSun" w:hAnsi="Times New Roman"/>
          <w:sz w:val="20"/>
          <w:szCs w:val="20"/>
          <w:lang w:eastAsia="sv-SE"/>
        </w:rPr>
        <w:t xml:space="preserve">ed set of possible codebook sizes is used. A UE should always use a codebook that is bigger than its needs determined by the number of DL assignments. Padded known </w:t>
      </w:r>
      <w:proofErr w:type="spellStart"/>
      <w:r>
        <w:rPr>
          <w:rFonts w:ascii="Times New Roman" w:eastAsia="SimSun" w:hAnsi="Times New Roman"/>
          <w:sz w:val="20"/>
          <w:szCs w:val="20"/>
          <w:lang w:eastAsia="sv-SE"/>
        </w:rPr>
        <w:t>Nac</w:t>
      </w:r>
      <w:r w:rsidR="00AD7895">
        <w:rPr>
          <w:rFonts w:ascii="Times New Roman" w:eastAsia="SimSun" w:hAnsi="Times New Roman"/>
          <w:sz w:val="20"/>
          <w:szCs w:val="20"/>
          <w:lang w:eastAsia="sv-SE"/>
        </w:rPr>
        <w:t>ks</w:t>
      </w:r>
      <w:proofErr w:type="spellEnd"/>
      <w:r w:rsidR="00AD7895">
        <w:rPr>
          <w:rFonts w:ascii="Times New Roman" w:eastAsia="SimSun" w:hAnsi="Times New Roman"/>
          <w:sz w:val="20"/>
          <w:szCs w:val="20"/>
          <w:lang w:eastAsia="sv-SE"/>
        </w:rPr>
        <w:t xml:space="preserve"> can be appended at the end.</w:t>
      </w:r>
      <w:r w:rsidR="00AD7895">
        <w:rPr>
          <w:rFonts w:ascii="Times New Roman" w:eastAsia="SimSun" w:hAnsi="Times New Roman"/>
          <w:sz w:val="20"/>
          <w:szCs w:val="20"/>
          <w:lang w:eastAsia="sv-SE"/>
        </w:rPr>
        <w:br/>
      </w:r>
      <w:r w:rsidR="00AD7895">
        <w:rPr>
          <w:rFonts w:ascii="Times New Roman" w:eastAsia="SimSun" w:hAnsi="Times New Roman"/>
          <w:sz w:val="20"/>
          <w:szCs w:val="20"/>
          <w:lang w:eastAsia="sv-SE"/>
        </w:rPr>
        <w:br/>
        <w:t xml:space="preserve">An error event may occur if the UE is incapable of determining the order of the DAI due to missed detection.  For example, a UE may detect 3 DAIs 00, 11, 01.  It may have to determine if the order is ascending and the assignments were really </w:t>
      </w:r>
      <w:r w:rsidR="00AD7895" w:rsidRPr="00AD7895">
        <w:rPr>
          <w:rFonts w:ascii="Times New Roman" w:eastAsia="SimSun" w:hAnsi="Times New Roman"/>
          <w:sz w:val="20"/>
          <w:szCs w:val="20"/>
          <w:u w:val="single"/>
          <w:lang w:eastAsia="sv-SE"/>
        </w:rPr>
        <w:t>00</w:t>
      </w:r>
      <w:r w:rsidR="00AD7895">
        <w:rPr>
          <w:rFonts w:ascii="Times New Roman" w:eastAsia="SimSun" w:hAnsi="Times New Roman"/>
          <w:sz w:val="20"/>
          <w:szCs w:val="20"/>
          <w:lang w:eastAsia="sv-SE"/>
        </w:rPr>
        <w:t xml:space="preserve">, </w:t>
      </w:r>
      <w:r w:rsidR="00AD7895" w:rsidRPr="00AD7895">
        <w:rPr>
          <w:rFonts w:ascii="Times New Roman" w:eastAsia="SimSun" w:hAnsi="Times New Roman"/>
          <w:sz w:val="20"/>
          <w:szCs w:val="20"/>
          <w:u w:val="single"/>
          <w:lang w:eastAsia="sv-SE"/>
        </w:rPr>
        <w:t>01</w:t>
      </w:r>
      <w:r w:rsidR="00AD7895">
        <w:rPr>
          <w:rFonts w:ascii="Times New Roman" w:eastAsia="SimSun" w:hAnsi="Times New Roman"/>
          <w:sz w:val="20"/>
          <w:szCs w:val="20"/>
          <w:lang w:eastAsia="sv-SE"/>
        </w:rPr>
        <w:t xml:space="preserve">, 10, 11, 00, </w:t>
      </w:r>
      <w:r w:rsidR="00AD7895" w:rsidRPr="00AD7895">
        <w:rPr>
          <w:rFonts w:ascii="Times New Roman" w:eastAsia="SimSun" w:hAnsi="Times New Roman"/>
          <w:sz w:val="20"/>
          <w:szCs w:val="20"/>
          <w:u w:val="single"/>
          <w:lang w:eastAsia="sv-SE"/>
        </w:rPr>
        <w:t>01</w:t>
      </w:r>
      <w:r w:rsidR="00AD7895">
        <w:rPr>
          <w:rFonts w:ascii="Times New Roman" w:eastAsia="SimSun" w:hAnsi="Times New Roman"/>
          <w:sz w:val="20"/>
          <w:szCs w:val="20"/>
          <w:lang w:eastAsia="sv-SE"/>
        </w:rPr>
        <w:t xml:space="preserve"> (where underline indicates detected assignments); or if the order was descending and the assignments were really </w:t>
      </w:r>
      <w:r w:rsidR="00AD7895" w:rsidRPr="00AD7895">
        <w:rPr>
          <w:rFonts w:ascii="Times New Roman" w:eastAsia="SimSun" w:hAnsi="Times New Roman"/>
          <w:sz w:val="20"/>
          <w:szCs w:val="20"/>
          <w:u w:val="single"/>
          <w:lang w:eastAsia="sv-SE"/>
        </w:rPr>
        <w:t>00</w:t>
      </w:r>
      <w:r w:rsidR="00AD7895">
        <w:rPr>
          <w:rFonts w:ascii="Times New Roman" w:eastAsia="SimSun" w:hAnsi="Times New Roman"/>
          <w:sz w:val="20"/>
          <w:szCs w:val="20"/>
          <w:lang w:eastAsia="sv-SE"/>
        </w:rPr>
        <w:t xml:space="preserve">, 11, 10, </w:t>
      </w:r>
      <w:r w:rsidR="00AD7895" w:rsidRPr="00AD7895">
        <w:rPr>
          <w:rFonts w:ascii="Times New Roman" w:eastAsia="SimSun" w:hAnsi="Times New Roman"/>
          <w:sz w:val="20"/>
          <w:szCs w:val="20"/>
          <w:u w:val="single"/>
          <w:lang w:eastAsia="sv-SE"/>
        </w:rPr>
        <w:t>01</w:t>
      </w:r>
      <w:r w:rsidR="00AD7895">
        <w:rPr>
          <w:rFonts w:ascii="Times New Roman" w:eastAsia="SimSun" w:hAnsi="Times New Roman"/>
          <w:sz w:val="20"/>
          <w:szCs w:val="20"/>
          <w:lang w:eastAsia="sv-SE"/>
        </w:rPr>
        <w:t xml:space="preserve">, 00, 11, </w:t>
      </w:r>
      <w:r w:rsidR="00AD7895" w:rsidRPr="00AD7895">
        <w:rPr>
          <w:rFonts w:ascii="Times New Roman" w:eastAsia="SimSun" w:hAnsi="Times New Roman"/>
          <w:sz w:val="20"/>
          <w:szCs w:val="20"/>
          <w:u w:val="single"/>
          <w:lang w:eastAsia="sv-SE"/>
        </w:rPr>
        <w:t>10</w:t>
      </w:r>
      <w:r w:rsidR="00AD7895">
        <w:rPr>
          <w:rFonts w:ascii="Times New Roman" w:eastAsia="SimSun" w:hAnsi="Times New Roman"/>
          <w:sz w:val="20"/>
          <w:szCs w:val="20"/>
          <w:lang w:eastAsia="sv-SE"/>
        </w:rPr>
        <w:t>.</w:t>
      </w:r>
      <w:r w:rsidR="00B06014">
        <w:rPr>
          <w:rFonts w:ascii="Times New Roman" w:eastAsia="SimSun" w:hAnsi="Times New Roman"/>
          <w:sz w:val="20"/>
          <w:szCs w:val="20"/>
          <w:lang w:eastAsia="sv-SE"/>
        </w:rPr>
        <w:br/>
      </w:r>
      <w:r w:rsidR="00B06014">
        <w:rPr>
          <w:rFonts w:ascii="Times New Roman" w:eastAsia="SimSun" w:hAnsi="Times New Roman"/>
          <w:sz w:val="20"/>
          <w:szCs w:val="20"/>
          <w:lang w:eastAsia="sv-SE"/>
        </w:rPr>
        <w:br/>
        <w:t xml:space="preserve">Even if the order is determined, there are cases where a UE misses assignments and it selects the wrong codebook size from the list of codebook sizes tied to the order. For example, we assume the codebooks in one direction are separated by X (for example if codebooks tied to ascending order are 24, 40, 56, then X=16).  In such a case if a UE misses </w:t>
      </w:r>
      <m:oMath>
        <m:d>
          <m:dPr>
            <m:begChr m:val="⌈"/>
            <m:endChr m:val="⌉"/>
            <m:ctrlPr>
              <w:rPr>
                <w:rFonts w:ascii="Cambria Math" w:eastAsia="SimSun" w:hAnsi="Cambria Math"/>
                <w:i/>
                <w:sz w:val="20"/>
                <w:szCs w:val="20"/>
                <w:lang w:eastAsia="sv-SE"/>
              </w:rPr>
            </m:ctrlPr>
          </m:dPr>
          <m:e>
            <m:f>
              <m:fPr>
                <m:type m:val="skw"/>
                <m:ctrlPr>
                  <w:rPr>
                    <w:rFonts w:ascii="Cambria Math" w:eastAsia="SimSun" w:hAnsi="Cambria Math"/>
                    <w:i/>
                    <w:sz w:val="20"/>
                    <w:szCs w:val="20"/>
                    <w:lang w:eastAsia="sv-SE"/>
                  </w:rPr>
                </m:ctrlPr>
              </m:fPr>
              <m:num>
                <m:d>
                  <m:dPr>
                    <m:ctrlPr>
                      <w:rPr>
                        <w:rFonts w:ascii="Cambria Math" w:eastAsia="SimSun" w:hAnsi="Cambria Math"/>
                        <w:i/>
                        <w:sz w:val="20"/>
                        <w:szCs w:val="20"/>
                        <w:lang w:eastAsia="sv-SE"/>
                      </w:rPr>
                    </m:ctrlPr>
                  </m:dPr>
                  <m:e>
                    <m:box>
                      <m:boxPr>
                        <m:ctrlPr>
                          <w:rPr>
                            <w:rFonts w:ascii="Cambria Math" w:eastAsia="SimSun" w:hAnsi="Cambria Math"/>
                            <w:i/>
                            <w:sz w:val="20"/>
                            <w:szCs w:val="20"/>
                            <w:lang w:eastAsia="sv-SE"/>
                          </w:rPr>
                        </m:ctrlPr>
                      </m:boxPr>
                      <m:e>
                        <m:argPr>
                          <m:argSz m:val="-1"/>
                        </m:argPr>
                        <m:f>
                          <m:fPr>
                            <m:ctrlPr>
                              <w:rPr>
                                <w:rFonts w:ascii="Cambria Math" w:eastAsia="SimSun" w:hAnsi="Cambria Math"/>
                                <w:i/>
                                <w:sz w:val="20"/>
                                <w:szCs w:val="20"/>
                                <w:lang w:eastAsia="sv-SE"/>
                              </w:rPr>
                            </m:ctrlPr>
                          </m:fPr>
                          <m:num>
                            <m:r>
                              <w:rPr>
                                <w:rFonts w:ascii="Cambria Math" w:eastAsia="SimSun" w:hAnsi="Cambria Math"/>
                                <w:sz w:val="20"/>
                                <w:szCs w:val="20"/>
                                <w:lang w:eastAsia="sv-SE"/>
                              </w:rPr>
                              <m:t>X</m:t>
                            </m:r>
                          </m:num>
                          <m:den>
                            <m:r>
                              <w:rPr>
                                <w:rFonts w:ascii="Cambria Math" w:eastAsia="SimSun" w:hAnsi="Cambria Math"/>
                                <w:sz w:val="20"/>
                                <w:szCs w:val="20"/>
                                <w:lang w:eastAsia="sv-SE"/>
                              </w:rPr>
                              <m:t>2</m:t>
                            </m:r>
                          </m:den>
                        </m:f>
                        <m:r>
                          <w:rPr>
                            <w:rFonts w:ascii="Cambria Math" w:eastAsia="SimSun" w:hAnsi="Cambria Math"/>
                            <w:sz w:val="20"/>
                            <w:szCs w:val="20"/>
                            <w:lang w:eastAsia="sv-SE"/>
                          </w:rPr>
                          <m:t>-1</m:t>
                        </m:r>
                      </m:e>
                    </m:box>
                  </m:e>
                </m:d>
              </m:num>
              <m:den>
                <m:sSup>
                  <m:sSupPr>
                    <m:ctrlPr>
                      <w:rPr>
                        <w:rFonts w:ascii="Cambria Math" w:eastAsia="SimSun" w:hAnsi="Cambria Math"/>
                        <w:i/>
                        <w:sz w:val="20"/>
                        <w:szCs w:val="20"/>
                        <w:lang w:eastAsia="sv-SE"/>
                      </w:rPr>
                    </m:ctrlPr>
                  </m:sSupPr>
                  <m:e>
                    <m:r>
                      <w:rPr>
                        <w:rFonts w:ascii="Cambria Math" w:eastAsia="SimSun" w:hAnsi="Cambria Math"/>
                        <w:sz w:val="20"/>
                        <w:szCs w:val="20"/>
                        <w:lang w:eastAsia="sv-SE"/>
                      </w:rPr>
                      <m:t>2</m:t>
                    </m:r>
                  </m:e>
                  <m:sup>
                    <m:r>
                      <w:rPr>
                        <w:rFonts w:ascii="Cambria Math" w:eastAsia="SimSun" w:hAnsi="Cambria Math"/>
                        <w:sz w:val="20"/>
                        <w:szCs w:val="20"/>
                        <w:lang w:eastAsia="sv-SE"/>
                      </w:rPr>
                      <m:t>N</m:t>
                    </m:r>
                  </m:sup>
                </m:sSup>
              </m:den>
            </m:f>
          </m:e>
        </m:d>
      </m:oMath>
      <w:r w:rsidR="00B06014">
        <w:rPr>
          <w:rFonts w:ascii="Times New Roman" w:eastAsia="SimSun" w:hAnsi="Times New Roman"/>
          <w:sz w:val="20"/>
          <w:szCs w:val="20"/>
          <w:lang w:eastAsia="sv-SE"/>
        </w:rPr>
        <w:t xml:space="preserve"> sets of 2</w:t>
      </w:r>
      <w:r w:rsidR="00B06014">
        <w:rPr>
          <w:rFonts w:ascii="Times New Roman" w:eastAsia="SimSun" w:hAnsi="Times New Roman"/>
          <w:sz w:val="20"/>
          <w:szCs w:val="20"/>
          <w:vertAlign w:val="superscript"/>
          <w:lang w:eastAsia="sv-SE"/>
        </w:rPr>
        <w:t>N</w:t>
      </w:r>
      <w:r w:rsidR="00B06014">
        <w:rPr>
          <w:rFonts w:ascii="Times New Roman" w:eastAsia="SimSun" w:hAnsi="Times New Roman"/>
          <w:sz w:val="20"/>
          <w:szCs w:val="20"/>
          <w:lang w:eastAsia="sv-SE"/>
        </w:rPr>
        <w:t xml:space="preserve"> consecutive assignments, it will select the wrong codebook size. As a numerical example, </w:t>
      </w:r>
      <w:r w:rsidR="0041407C">
        <w:rPr>
          <w:rFonts w:ascii="Times New Roman" w:eastAsia="SimSun" w:hAnsi="Times New Roman"/>
          <w:sz w:val="20"/>
          <w:szCs w:val="20"/>
          <w:lang w:eastAsia="sv-SE"/>
        </w:rPr>
        <w:t xml:space="preserve">we </w:t>
      </w:r>
      <w:proofErr w:type="spellStart"/>
      <w:r w:rsidR="0041407C">
        <w:rPr>
          <w:rFonts w:ascii="Times New Roman" w:eastAsia="SimSun" w:hAnsi="Times New Roman"/>
          <w:sz w:val="20"/>
          <w:szCs w:val="20"/>
          <w:lang w:eastAsia="sv-SE"/>
        </w:rPr>
        <w:t>ssume</w:t>
      </w:r>
      <w:proofErr w:type="spellEnd"/>
      <w:r w:rsidR="0041407C">
        <w:rPr>
          <w:rFonts w:ascii="Times New Roman" w:eastAsia="SimSun" w:hAnsi="Times New Roman"/>
          <w:sz w:val="20"/>
          <w:szCs w:val="20"/>
          <w:lang w:eastAsia="sv-SE"/>
        </w:rPr>
        <w:t xml:space="preserve"> a system with</w:t>
      </w:r>
      <w:r w:rsidR="00B06014">
        <w:rPr>
          <w:rFonts w:ascii="Times New Roman" w:eastAsia="SimSun" w:hAnsi="Times New Roman"/>
          <w:sz w:val="20"/>
          <w:szCs w:val="20"/>
          <w:lang w:eastAsia="sv-SE"/>
        </w:rPr>
        <w:t xml:space="preserve"> the codebook sizes stated above </w:t>
      </w:r>
      <w:r w:rsidR="0041407C">
        <w:rPr>
          <w:rFonts w:ascii="Times New Roman" w:eastAsia="SimSun" w:hAnsi="Times New Roman"/>
          <w:sz w:val="20"/>
          <w:szCs w:val="20"/>
          <w:lang w:eastAsia="sv-SE"/>
        </w:rPr>
        <w:t xml:space="preserve">and N=2. Now </w:t>
      </w:r>
      <w:r w:rsidR="00B06014">
        <w:rPr>
          <w:rFonts w:ascii="Times New Roman" w:eastAsia="SimSun" w:hAnsi="Times New Roman"/>
          <w:sz w:val="20"/>
          <w:szCs w:val="20"/>
          <w:lang w:eastAsia="sv-SE"/>
        </w:rPr>
        <w:t xml:space="preserve">assume a UE detects 23 assignments </w:t>
      </w:r>
      <w:r w:rsidR="002F422E">
        <w:rPr>
          <w:rFonts w:ascii="Times New Roman" w:eastAsia="SimSun" w:hAnsi="Times New Roman"/>
          <w:sz w:val="20"/>
          <w:szCs w:val="20"/>
          <w:lang w:eastAsia="sv-SE"/>
        </w:rPr>
        <w:t>(or more generally, resolves that there were 23 assignments transmitted based on the received values of DAI)</w:t>
      </w:r>
      <w:r w:rsidR="0041407C">
        <w:rPr>
          <w:rFonts w:ascii="Times New Roman" w:eastAsia="SimSun" w:hAnsi="Times New Roman"/>
          <w:sz w:val="20"/>
          <w:szCs w:val="20"/>
          <w:lang w:eastAsia="sv-SE"/>
        </w:rPr>
        <w:t>, it will then use a</w:t>
      </w:r>
      <w:r w:rsidR="00B06014">
        <w:rPr>
          <w:rFonts w:ascii="Times New Roman" w:eastAsia="SimSun" w:hAnsi="Times New Roman"/>
          <w:sz w:val="20"/>
          <w:szCs w:val="20"/>
          <w:lang w:eastAsia="sv-SE"/>
        </w:rPr>
        <w:t xml:space="preserve"> codebook size of 24.  However, the UE might not realize that it missed at least 3 sets of 4 consecutive DL assignments, and should have used codebook size 40 (for the 39 assignments).</w:t>
      </w:r>
      <w:r w:rsidR="0041407C">
        <w:rPr>
          <w:rFonts w:ascii="Times New Roman" w:eastAsia="SimSun" w:hAnsi="Times New Roman"/>
          <w:sz w:val="20"/>
          <w:szCs w:val="20"/>
          <w:lang w:eastAsia="sv-SE"/>
        </w:rPr>
        <w:t xml:space="preserve"> This leads to </w:t>
      </w:r>
      <w:proofErr w:type="gramStart"/>
      <w:r w:rsidR="0041407C">
        <w:rPr>
          <w:rFonts w:ascii="Times New Roman" w:eastAsia="SimSun" w:hAnsi="Times New Roman"/>
          <w:sz w:val="20"/>
          <w:szCs w:val="20"/>
          <w:lang w:eastAsia="sv-SE"/>
        </w:rPr>
        <w:t>a disconnect</w:t>
      </w:r>
      <w:proofErr w:type="gramEnd"/>
      <w:r w:rsidR="0041407C">
        <w:rPr>
          <w:rFonts w:ascii="Times New Roman" w:eastAsia="SimSun" w:hAnsi="Times New Roman"/>
          <w:sz w:val="20"/>
          <w:szCs w:val="20"/>
          <w:lang w:eastAsia="sv-SE"/>
        </w:rPr>
        <w:t xml:space="preserve"> in the meaning of the feedback between the UE and </w:t>
      </w:r>
      <w:proofErr w:type="spellStart"/>
      <w:r w:rsidR="0041407C">
        <w:rPr>
          <w:rFonts w:ascii="Times New Roman" w:eastAsia="SimSun" w:hAnsi="Times New Roman"/>
          <w:sz w:val="20"/>
          <w:szCs w:val="20"/>
          <w:lang w:eastAsia="sv-SE"/>
        </w:rPr>
        <w:t>eNB</w:t>
      </w:r>
      <w:proofErr w:type="spellEnd"/>
      <w:r w:rsidR="0041407C">
        <w:rPr>
          <w:rFonts w:ascii="Times New Roman" w:eastAsia="SimSun" w:hAnsi="Times New Roman"/>
          <w:sz w:val="20"/>
          <w:szCs w:val="20"/>
          <w:lang w:eastAsia="sv-SE"/>
        </w:rPr>
        <w:t>.</w:t>
      </w:r>
    </w:p>
    <w:p w14:paraId="6BFA2EF4" w14:textId="77777777" w:rsidR="00CC2076" w:rsidRDefault="00CC2076" w:rsidP="008C3C63">
      <w:pPr>
        <w:rPr>
          <w:sz w:val="20"/>
          <w:lang w:val="en-US" w:eastAsia="sv-SE"/>
        </w:rPr>
      </w:pPr>
    </w:p>
    <w:p w14:paraId="6DC46167" w14:textId="525212F7" w:rsidR="005578DE" w:rsidRDefault="005578DE" w:rsidP="005578DE">
      <w:pPr>
        <w:rPr>
          <w:sz w:val="20"/>
        </w:rPr>
      </w:pPr>
      <w:r>
        <w:rPr>
          <w:sz w:val="20"/>
          <w:lang w:val="en-US"/>
        </w:rPr>
        <w:t>M</w:t>
      </w:r>
      <w:proofErr w:type="spellStart"/>
      <w:r>
        <w:rPr>
          <w:sz w:val="20"/>
        </w:rPr>
        <w:t>ost</w:t>
      </w:r>
      <w:proofErr w:type="spellEnd"/>
      <w:r>
        <w:rPr>
          <w:sz w:val="20"/>
        </w:rPr>
        <w:t xml:space="preserve"> DAI-based solutions discussed above help deal with the case of a missing last assignment; however, they do not deal </w:t>
      </w:r>
      <w:r w:rsidR="002F422E">
        <w:rPr>
          <w:sz w:val="20"/>
        </w:rPr>
        <w:t xml:space="preserve">well </w:t>
      </w:r>
      <w:r>
        <w:rPr>
          <w:sz w:val="20"/>
        </w:rPr>
        <w:t>with missing 2</w:t>
      </w:r>
      <w:r>
        <w:rPr>
          <w:sz w:val="20"/>
          <w:vertAlign w:val="superscript"/>
        </w:rPr>
        <w:t>N</w:t>
      </w:r>
      <w:r w:rsidR="002F422E">
        <w:rPr>
          <w:sz w:val="20"/>
        </w:rPr>
        <w:t xml:space="preserve"> consecutive assignments</w:t>
      </w:r>
      <w:r>
        <w:rPr>
          <w:sz w:val="20"/>
        </w:rPr>
        <w:t>.</w:t>
      </w:r>
      <w:r w:rsidR="002F422E">
        <w:rPr>
          <w:sz w:val="20"/>
        </w:rPr>
        <w:t xml:space="preserve"> However, indicating a codebook size and possibly using padding can be more robust.</w:t>
      </w:r>
    </w:p>
    <w:p w14:paraId="31AE6147" w14:textId="49C5CD84" w:rsidR="00995967" w:rsidRPr="00995967" w:rsidRDefault="00995967" w:rsidP="005578DE">
      <w:pPr>
        <w:rPr>
          <w:sz w:val="20"/>
          <w:u w:val="single"/>
        </w:rPr>
      </w:pPr>
      <w:r w:rsidRPr="00995967">
        <w:rPr>
          <w:sz w:val="20"/>
          <w:u w:val="single"/>
        </w:rPr>
        <w:t xml:space="preserve">Flexible </w:t>
      </w:r>
      <w:r w:rsidR="00042C9D">
        <w:rPr>
          <w:sz w:val="20"/>
          <w:u w:val="single"/>
        </w:rPr>
        <w:t>DAI/</w:t>
      </w:r>
      <w:r w:rsidRPr="00995967">
        <w:rPr>
          <w:sz w:val="20"/>
          <w:u w:val="single"/>
        </w:rPr>
        <w:t>codebook size indication</w:t>
      </w:r>
    </w:p>
    <w:p w14:paraId="258F1B08" w14:textId="09F14DEA" w:rsidR="00305C4B" w:rsidRDefault="00995967" w:rsidP="005578DE">
      <w:pPr>
        <w:rPr>
          <w:sz w:val="20"/>
        </w:rPr>
      </w:pPr>
      <w:r>
        <w:rPr>
          <w:sz w:val="20"/>
        </w:rPr>
        <w:t xml:space="preserve">In case RAN1 decides to opt for a solution based on DAI, we think that it would be necessary for robustness that </w:t>
      </w:r>
      <w:r w:rsidR="00B31EC3">
        <w:rPr>
          <w:sz w:val="20"/>
        </w:rPr>
        <w:t>one</w:t>
      </w:r>
      <w:r>
        <w:rPr>
          <w:sz w:val="20"/>
        </w:rPr>
        <w:t xml:space="preserve"> </w:t>
      </w:r>
      <w:r w:rsidR="00B31EC3">
        <w:rPr>
          <w:sz w:val="20"/>
        </w:rPr>
        <w:t xml:space="preserve">of M </w:t>
      </w:r>
      <w:r>
        <w:rPr>
          <w:sz w:val="20"/>
        </w:rPr>
        <w:t>codebook size</w:t>
      </w:r>
      <w:r w:rsidR="00B31EC3">
        <w:rPr>
          <w:sz w:val="20"/>
        </w:rPr>
        <w:t>s</w:t>
      </w:r>
      <w:r>
        <w:rPr>
          <w:sz w:val="20"/>
        </w:rPr>
        <w:t xml:space="preserve"> </w:t>
      </w:r>
      <w:r w:rsidR="00B31EC3">
        <w:rPr>
          <w:sz w:val="20"/>
        </w:rPr>
        <w:t xml:space="preserve">(M&gt;2) </w:t>
      </w:r>
      <w:r>
        <w:rPr>
          <w:sz w:val="20"/>
        </w:rPr>
        <w:t xml:space="preserve">can be </w:t>
      </w:r>
      <w:r w:rsidR="00B31EC3">
        <w:rPr>
          <w:sz w:val="20"/>
        </w:rPr>
        <w:t xml:space="preserve">explicitly </w:t>
      </w:r>
      <w:r>
        <w:rPr>
          <w:sz w:val="20"/>
        </w:rPr>
        <w:t>signalled</w:t>
      </w:r>
      <w:r w:rsidR="00B31EC3">
        <w:rPr>
          <w:sz w:val="20"/>
        </w:rPr>
        <w:t xml:space="preserve">. One possibility to achieve this would be to enable the network to replace the DAI field with a codebook size field in certain assignments selected by the network. This solution would require the addition of one bit field to the DCI to indicate whether subsequent bits represent a DAI or a codebook size. </w:t>
      </w:r>
      <w:r w:rsidR="00305C4B">
        <w:rPr>
          <w:sz w:val="20"/>
        </w:rPr>
        <w:t xml:space="preserve">An example is shown in </w:t>
      </w:r>
      <w:r w:rsidR="00305C4B">
        <w:rPr>
          <w:sz w:val="20"/>
        </w:rPr>
        <w:fldChar w:fldCharType="begin"/>
      </w:r>
      <w:r w:rsidR="00305C4B">
        <w:rPr>
          <w:sz w:val="20"/>
        </w:rPr>
        <w:instrText xml:space="preserve"> REF _Ref430952581 \h </w:instrText>
      </w:r>
      <w:r w:rsidR="00305C4B">
        <w:rPr>
          <w:sz w:val="20"/>
        </w:rPr>
      </w:r>
      <w:r w:rsidR="00305C4B">
        <w:rPr>
          <w:sz w:val="20"/>
        </w:rPr>
        <w:fldChar w:fldCharType="separate"/>
      </w:r>
      <w:r w:rsidR="00305C4B">
        <w:t xml:space="preserve">Table </w:t>
      </w:r>
      <w:r w:rsidR="00305C4B">
        <w:rPr>
          <w:noProof/>
        </w:rPr>
        <w:t>1</w:t>
      </w:r>
      <w:r w:rsidR="00305C4B">
        <w:rPr>
          <w:sz w:val="20"/>
        </w:rPr>
        <w:fldChar w:fldCharType="end"/>
      </w:r>
      <w:r w:rsidR="00305C4B">
        <w:rPr>
          <w:sz w:val="20"/>
        </w:rPr>
        <w:t xml:space="preserve"> below.</w:t>
      </w:r>
      <w:r w:rsidR="00305C4B">
        <w:rPr>
          <w:sz w:val="20"/>
        </w:rPr>
        <w:br w:type="page"/>
      </w:r>
    </w:p>
    <w:p w14:paraId="34448850" w14:textId="77777777" w:rsidR="00305C4B" w:rsidRDefault="00305C4B" w:rsidP="005578DE">
      <w:pPr>
        <w:rPr>
          <w:sz w:val="20"/>
        </w:rPr>
      </w:pPr>
    </w:p>
    <w:tbl>
      <w:tblPr>
        <w:tblStyle w:val="TableGrid"/>
        <w:tblW w:w="0" w:type="auto"/>
        <w:jc w:val="center"/>
        <w:tblLook w:val="04A0" w:firstRow="1" w:lastRow="0" w:firstColumn="1" w:lastColumn="0" w:noHBand="0" w:noVBand="1"/>
      </w:tblPr>
      <w:tblGrid>
        <w:gridCol w:w="1105"/>
        <w:gridCol w:w="2135"/>
      </w:tblGrid>
      <w:tr w:rsidR="00B31EC3" w:rsidRPr="00B31EC3" w14:paraId="16507938" w14:textId="77777777" w:rsidTr="004821CF">
        <w:trPr>
          <w:jc w:val="center"/>
        </w:trPr>
        <w:tc>
          <w:tcPr>
            <w:tcW w:w="1105" w:type="dxa"/>
          </w:tcPr>
          <w:p w14:paraId="1B2AFE35" w14:textId="2F53AF2B" w:rsidR="00B31EC3" w:rsidRPr="00B31EC3" w:rsidRDefault="00AA376B" w:rsidP="00892462">
            <w:pPr>
              <w:spacing w:after="0"/>
              <w:rPr>
                <w:sz w:val="20"/>
              </w:rPr>
            </w:pPr>
            <w:r>
              <w:rPr>
                <w:sz w:val="20"/>
              </w:rPr>
              <w:t>Flag/</w:t>
            </w:r>
            <w:r w:rsidR="00B31EC3" w:rsidRPr="00B31EC3">
              <w:rPr>
                <w:sz w:val="20"/>
              </w:rPr>
              <w:t>Value</w:t>
            </w:r>
          </w:p>
        </w:tc>
        <w:tc>
          <w:tcPr>
            <w:tcW w:w="2135" w:type="dxa"/>
          </w:tcPr>
          <w:p w14:paraId="5B66EAF4" w14:textId="77777777" w:rsidR="00B31EC3" w:rsidRPr="00B31EC3" w:rsidRDefault="00B31EC3" w:rsidP="00892462">
            <w:pPr>
              <w:spacing w:after="0"/>
              <w:rPr>
                <w:sz w:val="20"/>
              </w:rPr>
            </w:pPr>
            <w:r w:rsidRPr="00B31EC3">
              <w:rPr>
                <w:sz w:val="20"/>
              </w:rPr>
              <w:t>Interpretation</w:t>
            </w:r>
          </w:p>
        </w:tc>
      </w:tr>
      <w:tr w:rsidR="00B31EC3" w:rsidRPr="00B31EC3" w14:paraId="788DB478" w14:textId="77777777" w:rsidTr="004821CF">
        <w:trPr>
          <w:jc w:val="center"/>
        </w:trPr>
        <w:tc>
          <w:tcPr>
            <w:tcW w:w="1105" w:type="dxa"/>
          </w:tcPr>
          <w:p w14:paraId="2847265F" w14:textId="7E0C6D9C" w:rsidR="00B31EC3" w:rsidRPr="00B31EC3" w:rsidRDefault="00B31EC3" w:rsidP="00892462">
            <w:pPr>
              <w:spacing w:after="0"/>
              <w:rPr>
                <w:sz w:val="20"/>
              </w:rPr>
            </w:pPr>
            <w:r w:rsidRPr="00B31EC3">
              <w:rPr>
                <w:sz w:val="20"/>
              </w:rPr>
              <w:t>0</w:t>
            </w:r>
            <w:r w:rsidR="002B2210">
              <w:rPr>
                <w:sz w:val="20"/>
              </w:rPr>
              <w:t>/</w:t>
            </w:r>
            <w:r w:rsidRPr="00B31EC3">
              <w:rPr>
                <w:sz w:val="20"/>
              </w:rPr>
              <w:t>00</w:t>
            </w:r>
          </w:p>
        </w:tc>
        <w:tc>
          <w:tcPr>
            <w:tcW w:w="2135" w:type="dxa"/>
          </w:tcPr>
          <w:p w14:paraId="4C97D9DC" w14:textId="77777777" w:rsidR="00B31EC3" w:rsidRPr="00B31EC3" w:rsidRDefault="00B31EC3" w:rsidP="00892462">
            <w:pPr>
              <w:spacing w:after="0"/>
              <w:rPr>
                <w:sz w:val="20"/>
              </w:rPr>
            </w:pPr>
            <w:r w:rsidRPr="00B31EC3">
              <w:rPr>
                <w:sz w:val="20"/>
              </w:rPr>
              <w:t>DAI with value 00</w:t>
            </w:r>
          </w:p>
        </w:tc>
      </w:tr>
      <w:tr w:rsidR="00B31EC3" w:rsidRPr="00B31EC3" w14:paraId="4D830A76" w14:textId="77777777" w:rsidTr="004821CF">
        <w:trPr>
          <w:jc w:val="center"/>
        </w:trPr>
        <w:tc>
          <w:tcPr>
            <w:tcW w:w="1105" w:type="dxa"/>
          </w:tcPr>
          <w:p w14:paraId="6F5160D8" w14:textId="3DD5F095" w:rsidR="00B31EC3" w:rsidRPr="00B31EC3" w:rsidRDefault="00B31EC3" w:rsidP="00892462">
            <w:pPr>
              <w:spacing w:after="0"/>
              <w:rPr>
                <w:sz w:val="20"/>
              </w:rPr>
            </w:pPr>
            <w:r w:rsidRPr="00B31EC3">
              <w:rPr>
                <w:sz w:val="20"/>
              </w:rPr>
              <w:t>0</w:t>
            </w:r>
            <w:r w:rsidR="002B2210">
              <w:rPr>
                <w:sz w:val="20"/>
              </w:rPr>
              <w:t>/</w:t>
            </w:r>
            <w:r w:rsidRPr="00B31EC3">
              <w:rPr>
                <w:sz w:val="20"/>
              </w:rPr>
              <w:t>01</w:t>
            </w:r>
          </w:p>
        </w:tc>
        <w:tc>
          <w:tcPr>
            <w:tcW w:w="2135" w:type="dxa"/>
          </w:tcPr>
          <w:p w14:paraId="1FFD250C" w14:textId="77777777" w:rsidR="00B31EC3" w:rsidRPr="00B31EC3" w:rsidRDefault="00B31EC3" w:rsidP="00892462">
            <w:pPr>
              <w:spacing w:after="0"/>
              <w:rPr>
                <w:sz w:val="20"/>
              </w:rPr>
            </w:pPr>
            <w:r w:rsidRPr="00B31EC3">
              <w:rPr>
                <w:sz w:val="20"/>
              </w:rPr>
              <w:t>DAI with value 01</w:t>
            </w:r>
          </w:p>
        </w:tc>
      </w:tr>
      <w:tr w:rsidR="00B31EC3" w:rsidRPr="00B31EC3" w14:paraId="16384521" w14:textId="77777777" w:rsidTr="004821CF">
        <w:trPr>
          <w:jc w:val="center"/>
        </w:trPr>
        <w:tc>
          <w:tcPr>
            <w:tcW w:w="1105" w:type="dxa"/>
          </w:tcPr>
          <w:p w14:paraId="3735272F" w14:textId="537B6828" w:rsidR="00B31EC3" w:rsidRPr="00B31EC3" w:rsidRDefault="00B31EC3" w:rsidP="00892462">
            <w:pPr>
              <w:spacing w:after="0"/>
              <w:rPr>
                <w:sz w:val="20"/>
              </w:rPr>
            </w:pPr>
            <w:r w:rsidRPr="00B31EC3">
              <w:rPr>
                <w:sz w:val="20"/>
              </w:rPr>
              <w:t>0</w:t>
            </w:r>
            <w:r w:rsidR="002B2210">
              <w:rPr>
                <w:sz w:val="20"/>
              </w:rPr>
              <w:t>/</w:t>
            </w:r>
            <w:r w:rsidRPr="00B31EC3">
              <w:rPr>
                <w:sz w:val="20"/>
              </w:rPr>
              <w:t>10</w:t>
            </w:r>
          </w:p>
        </w:tc>
        <w:tc>
          <w:tcPr>
            <w:tcW w:w="2135" w:type="dxa"/>
          </w:tcPr>
          <w:p w14:paraId="0D2D1982" w14:textId="77777777" w:rsidR="00B31EC3" w:rsidRPr="00B31EC3" w:rsidRDefault="00B31EC3" w:rsidP="00892462">
            <w:pPr>
              <w:spacing w:after="0"/>
              <w:rPr>
                <w:sz w:val="20"/>
              </w:rPr>
            </w:pPr>
            <w:r w:rsidRPr="00B31EC3">
              <w:rPr>
                <w:sz w:val="20"/>
              </w:rPr>
              <w:t>DAI with value 10</w:t>
            </w:r>
          </w:p>
        </w:tc>
      </w:tr>
      <w:tr w:rsidR="00B31EC3" w:rsidRPr="00B31EC3" w14:paraId="363121F8" w14:textId="77777777" w:rsidTr="004821CF">
        <w:trPr>
          <w:jc w:val="center"/>
        </w:trPr>
        <w:tc>
          <w:tcPr>
            <w:tcW w:w="1105" w:type="dxa"/>
          </w:tcPr>
          <w:p w14:paraId="07C0BF9C" w14:textId="4057B32D" w:rsidR="00B31EC3" w:rsidRPr="00B31EC3" w:rsidRDefault="00B31EC3" w:rsidP="00892462">
            <w:pPr>
              <w:spacing w:after="0"/>
              <w:rPr>
                <w:sz w:val="20"/>
              </w:rPr>
            </w:pPr>
            <w:r w:rsidRPr="00B31EC3">
              <w:rPr>
                <w:sz w:val="20"/>
              </w:rPr>
              <w:t>0</w:t>
            </w:r>
            <w:r w:rsidR="002B2210">
              <w:rPr>
                <w:sz w:val="20"/>
              </w:rPr>
              <w:t>/</w:t>
            </w:r>
            <w:r w:rsidRPr="00B31EC3">
              <w:rPr>
                <w:sz w:val="20"/>
              </w:rPr>
              <w:t>11</w:t>
            </w:r>
          </w:p>
        </w:tc>
        <w:tc>
          <w:tcPr>
            <w:tcW w:w="2135" w:type="dxa"/>
          </w:tcPr>
          <w:p w14:paraId="08837521" w14:textId="77777777" w:rsidR="00B31EC3" w:rsidRPr="00B31EC3" w:rsidRDefault="00B31EC3" w:rsidP="00892462">
            <w:pPr>
              <w:spacing w:after="0"/>
              <w:rPr>
                <w:sz w:val="20"/>
              </w:rPr>
            </w:pPr>
            <w:r w:rsidRPr="00B31EC3">
              <w:rPr>
                <w:sz w:val="20"/>
              </w:rPr>
              <w:t>DAI with value 11</w:t>
            </w:r>
          </w:p>
        </w:tc>
      </w:tr>
      <w:tr w:rsidR="00B31EC3" w:rsidRPr="00B31EC3" w14:paraId="4D6227C2" w14:textId="77777777" w:rsidTr="004821CF">
        <w:trPr>
          <w:jc w:val="center"/>
        </w:trPr>
        <w:tc>
          <w:tcPr>
            <w:tcW w:w="1105" w:type="dxa"/>
          </w:tcPr>
          <w:p w14:paraId="15F0FCAA" w14:textId="7F81ADB8" w:rsidR="00B31EC3" w:rsidRPr="00B31EC3" w:rsidRDefault="00B31EC3" w:rsidP="00892462">
            <w:pPr>
              <w:spacing w:after="0"/>
              <w:rPr>
                <w:sz w:val="20"/>
              </w:rPr>
            </w:pPr>
            <w:r w:rsidRPr="00B31EC3">
              <w:rPr>
                <w:sz w:val="20"/>
              </w:rPr>
              <w:t>1</w:t>
            </w:r>
            <w:r w:rsidR="002B2210">
              <w:rPr>
                <w:sz w:val="20"/>
              </w:rPr>
              <w:t>/</w:t>
            </w:r>
            <w:r w:rsidRPr="00B31EC3">
              <w:rPr>
                <w:sz w:val="20"/>
              </w:rPr>
              <w:t>00</w:t>
            </w:r>
          </w:p>
        </w:tc>
        <w:tc>
          <w:tcPr>
            <w:tcW w:w="2135" w:type="dxa"/>
          </w:tcPr>
          <w:p w14:paraId="5919C9DE" w14:textId="77777777" w:rsidR="00B31EC3" w:rsidRPr="00B31EC3" w:rsidRDefault="00B31EC3" w:rsidP="00892462">
            <w:pPr>
              <w:spacing w:after="0"/>
              <w:rPr>
                <w:sz w:val="20"/>
              </w:rPr>
            </w:pPr>
            <w:r w:rsidRPr="00B31EC3">
              <w:rPr>
                <w:sz w:val="20"/>
              </w:rPr>
              <w:t>Codebook size #1</w:t>
            </w:r>
          </w:p>
        </w:tc>
      </w:tr>
      <w:tr w:rsidR="00B31EC3" w:rsidRPr="00B31EC3" w14:paraId="5CD67099" w14:textId="77777777" w:rsidTr="004821CF">
        <w:trPr>
          <w:jc w:val="center"/>
        </w:trPr>
        <w:tc>
          <w:tcPr>
            <w:tcW w:w="1105" w:type="dxa"/>
          </w:tcPr>
          <w:p w14:paraId="499C1CB6" w14:textId="2CF26D06" w:rsidR="00B31EC3" w:rsidRPr="00B31EC3" w:rsidRDefault="00B31EC3" w:rsidP="00892462">
            <w:pPr>
              <w:spacing w:after="0"/>
              <w:rPr>
                <w:sz w:val="20"/>
              </w:rPr>
            </w:pPr>
            <w:r w:rsidRPr="00B31EC3">
              <w:rPr>
                <w:sz w:val="20"/>
              </w:rPr>
              <w:t>1</w:t>
            </w:r>
            <w:r w:rsidR="002B2210">
              <w:rPr>
                <w:sz w:val="20"/>
              </w:rPr>
              <w:t>/</w:t>
            </w:r>
            <w:r w:rsidRPr="00B31EC3">
              <w:rPr>
                <w:sz w:val="20"/>
              </w:rPr>
              <w:t>01</w:t>
            </w:r>
          </w:p>
        </w:tc>
        <w:tc>
          <w:tcPr>
            <w:tcW w:w="2135" w:type="dxa"/>
          </w:tcPr>
          <w:p w14:paraId="050646CA" w14:textId="77777777" w:rsidR="00B31EC3" w:rsidRPr="00B31EC3" w:rsidRDefault="00B31EC3" w:rsidP="00892462">
            <w:pPr>
              <w:spacing w:after="0"/>
              <w:rPr>
                <w:sz w:val="20"/>
              </w:rPr>
            </w:pPr>
            <w:r w:rsidRPr="00B31EC3">
              <w:rPr>
                <w:sz w:val="20"/>
              </w:rPr>
              <w:t>Codebook size #2</w:t>
            </w:r>
          </w:p>
        </w:tc>
      </w:tr>
      <w:tr w:rsidR="00B31EC3" w:rsidRPr="00B31EC3" w14:paraId="6ACDD841" w14:textId="77777777" w:rsidTr="004821CF">
        <w:trPr>
          <w:jc w:val="center"/>
        </w:trPr>
        <w:tc>
          <w:tcPr>
            <w:tcW w:w="1105" w:type="dxa"/>
          </w:tcPr>
          <w:p w14:paraId="29AA86C8" w14:textId="6B4D3859" w:rsidR="00B31EC3" w:rsidRPr="00B31EC3" w:rsidRDefault="00B31EC3" w:rsidP="00892462">
            <w:pPr>
              <w:spacing w:after="0"/>
              <w:rPr>
                <w:sz w:val="20"/>
              </w:rPr>
            </w:pPr>
            <w:r w:rsidRPr="00B31EC3">
              <w:rPr>
                <w:sz w:val="20"/>
              </w:rPr>
              <w:t>1</w:t>
            </w:r>
            <w:r w:rsidR="002B2210">
              <w:rPr>
                <w:sz w:val="20"/>
              </w:rPr>
              <w:t>/</w:t>
            </w:r>
            <w:r w:rsidRPr="00B31EC3">
              <w:rPr>
                <w:sz w:val="20"/>
              </w:rPr>
              <w:t>10</w:t>
            </w:r>
          </w:p>
        </w:tc>
        <w:tc>
          <w:tcPr>
            <w:tcW w:w="2135" w:type="dxa"/>
          </w:tcPr>
          <w:p w14:paraId="0E018166" w14:textId="77777777" w:rsidR="00B31EC3" w:rsidRPr="00B31EC3" w:rsidRDefault="00B31EC3" w:rsidP="00892462">
            <w:pPr>
              <w:spacing w:after="0"/>
              <w:rPr>
                <w:sz w:val="20"/>
              </w:rPr>
            </w:pPr>
            <w:r w:rsidRPr="00B31EC3">
              <w:rPr>
                <w:sz w:val="20"/>
              </w:rPr>
              <w:t>Codebook size #3</w:t>
            </w:r>
          </w:p>
        </w:tc>
      </w:tr>
      <w:tr w:rsidR="00B31EC3" w:rsidRPr="00B31EC3" w14:paraId="312E47C2" w14:textId="77777777" w:rsidTr="00892462">
        <w:trPr>
          <w:trHeight w:val="179"/>
          <w:jc w:val="center"/>
        </w:trPr>
        <w:tc>
          <w:tcPr>
            <w:tcW w:w="1105" w:type="dxa"/>
          </w:tcPr>
          <w:p w14:paraId="75EE2A46" w14:textId="0C779EE1" w:rsidR="00B31EC3" w:rsidRPr="00B31EC3" w:rsidRDefault="00B31EC3" w:rsidP="00892462">
            <w:pPr>
              <w:spacing w:after="0"/>
              <w:rPr>
                <w:sz w:val="20"/>
              </w:rPr>
            </w:pPr>
            <w:r w:rsidRPr="00B31EC3">
              <w:rPr>
                <w:sz w:val="20"/>
              </w:rPr>
              <w:t>1</w:t>
            </w:r>
            <w:r w:rsidR="002B2210">
              <w:rPr>
                <w:sz w:val="20"/>
              </w:rPr>
              <w:t>/</w:t>
            </w:r>
            <w:r w:rsidRPr="00B31EC3">
              <w:rPr>
                <w:sz w:val="20"/>
              </w:rPr>
              <w:t>11</w:t>
            </w:r>
          </w:p>
        </w:tc>
        <w:tc>
          <w:tcPr>
            <w:tcW w:w="2135" w:type="dxa"/>
          </w:tcPr>
          <w:p w14:paraId="4CD8B897" w14:textId="77777777" w:rsidR="00B31EC3" w:rsidRPr="00B31EC3" w:rsidRDefault="00B31EC3" w:rsidP="00892462">
            <w:pPr>
              <w:spacing w:after="0"/>
              <w:rPr>
                <w:sz w:val="20"/>
              </w:rPr>
            </w:pPr>
            <w:r w:rsidRPr="00B31EC3">
              <w:rPr>
                <w:sz w:val="20"/>
              </w:rPr>
              <w:t>Codebook size #4</w:t>
            </w:r>
          </w:p>
        </w:tc>
      </w:tr>
    </w:tbl>
    <w:p w14:paraId="524E4FAD" w14:textId="566583E1" w:rsidR="00B31EC3" w:rsidRDefault="00B31EC3" w:rsidP="00B31EC3">
      <w:pPr>
        <w:pStyle w:val="Caption"/>
        <w:rPr>
          <w:sz w:val="20"/>
        </w:rPr>
      </w:pPr>
      <w:bookmarkStart w:id="0" w:name="_Ref430952581"/>
      <w:r>
        <w:t xml:space="preserve">Table </w:t>
      </w:r>
      <w:r>
        <w:fldChar w:fldCharType="begin"/>
      </w:r>
      <w:r>
        <w:instrText xml:space="preserve"> SEQ Table \* ARABIC </w:instrText>
      </w:r>
      <w:r>
        <w:fldChar w:fldCharType="separate"/>
      </w:r>
      <w:r w:rsidR="00EB4349">
        <w:rPr>
          <w:noProof/>
        </w:rPr>
        <w:t>1</w:t>
      </w:r>
      <w:r>
        <w:fldChar w:fldCharType="end"/>
      </w:r>
      <w:bookmarkEnd w:id="0"/>
      <w:r>
        <w:t>. Flexible DAI/Codebook size indication</w:t>
      </w:r>
    </w:p>
    <w:p w14:paraId="21537E8F" w14:textId="048BE2C4" w:rsidR="00B31EC3" w:rsidRDefault="00305C4B" w:rsidP="005578DE">
      <w:pPr>
        <w:rPr>
          <w:sz w:val="20"/>
        </w:rPr>
      </w:pPr>
      <w:r>
        <w:rPr>
          <w:sz w:val="20"/>
        </w:rPr>
        <w:t xml:space="preserve">This solution would increase the number of codebook sizes that can be signalled and reduce the probability that the codebook size be misinterpreted. </w:t>
      </w:r>
      <w:r w:rsidR="002B2210">
        <w:rPr>
          <w:sz w:val="20"/>
          <w:lang w:eastAsia="sv-SE"/>
        </w:rPr>
        <w:t xml:space="preserve">In case the UE would miss all DCI’s containing a codebook size, the UE can report </w:t>
      </w:r>
      <w:proofErr w:type="spellStart"/>
      <w:r w:rsidR="002B2210">
        <w:rPr>
          <w:sz w:val="20"/>
          <w:lang w:eastAsia="sv-SE"/>
        </w:rPr>
        <w:t>Nack</w:t>
      </w:r>
      <w:proofErr w:type="spellEnd"/>
      <w:r w:rsidR="002B2210">
        <w:rPr>
          <w:sz w:val="20"/>
          <w:lang w:eastAsia="sv-SE"/>
        </w:rPr>
        <w:t xml:space="preserve"> for </w:t>
      </w:r>
      <w:r w:rsidR="00AA376B">
        <w:rPr>
          <w:sz w:val="20"/>
          <w:lang w:eastAsia="sv-SE"/>
        </w:rPr>
        <w:t>all bits of a default codebook</w:t>
      </w:r>
      <w:r w:rsidR="002B2210">
        <w:rPr>
          <w:sz w:val="20"/>
          <w:lang w:eastAsia="sv-SE"/>
        </w:rPr>
        <w:t xml:space="preserve"> or not report any HARQ-ACK feedback. This ensures that </w:t>
      </w:r>
      <w:r w:rsidR="00AA376B">
        <w:rPr>
          <w:sz w:val="20"/>
          <w:lang w:eastAsia="sv-SE"/>
        </w:rPr>
        <w:t xml:space="preserve">no </w:t>
      </w:r>
      <w:proofErr w:type="spellStart"/>
      <w:r w:rsidR="00AA376B">
        <w:rPr>
          <w:sz w:val="20"/>
          <w:lang w:eastAsia="sv-SE"/>
        </w:rPr>
        <w:t>Nack</w:t>
      </w:r>
      <w:proofErr w:type="spellEnd"/>
      <w:r w:rsidR="00AA376B">
        <w:rPr>
          <w:sz w:val="20"/>
          <w:lang w:eastAsia="sv-SE"/>
        </w:rPr>
        <w:t>-to-</w:t>
      </w:r>
      <w:proofErr w:type="spellStart"/>
      <w:r w:rsidR="00AA376B">
        <w:rPr>
          <w:sz w:val="20"/>
          <w:lang w:eastAsia="sv-SE"/>
        </w:rPr>
        <w:t>Ack</w:t>
      </w:r>
      <w:proofErr w:type="spellEnd"/>
      <w:r w:rsidR="00AA376B">
        <w:rPr>
          <w:sz w:val="20"/>
          <w:lang w:eastAsia="sv-SE"/>
        </w:rPr>
        <w:t xml:space="preserve"> misinterpretation takes place. </w:t>
      </w:r>
      <w:r>
        <w:rPr>
          <w:sz w:val="20"/>
        </w:rPr>
        <w:t xml:space="preserve">It would also be possible to combine the use of this field with the DAI counting rule to </w:t>
      </w:r>
      <w:r w:rsidR="00AA376B">
        <w:rPr>
          <w:sz w:val="20"/>
        </w:rPr>
        <w:t>increase the granularity of the indicator</w:t>
      </w:r>
      <w:r>
        <w:rPr>
          <w:sz w:val="20"/>
        </w:rPr>
        <w:t>.</w:t>
      </w:r>
    </w:p>
    <w:p w14:paraId="326F9A8A" w14:textId="230C910B" w:rsidR="0041407C" w:rsidRDefault="002F422E" w:rsidP="002F422E">
      <w:pPr>
        <w:rPr>
          <w:sz w:val="20"/>
          <w:lang w:eastAsia="sv-SE"/>
        </w:rPr>
      </w:pPr>
      <w:r>
        <w:rPr>
          <w:sz w:val="20"/>
          <w:lang w:eastAsia="sv-SE"/>
        </w:rPr>
        <w:t xml:space="preserve">Using </w:t>
      </w:r>
      <w:r w:rsidR="0041407C">
        <w:rPr>
          <w:sz w:val="20"/>
          <w:lang w:eastAsia="sv-SE"/>
        </w:rPr>
        <w:t xml:space="preserve">a similar </w:t>
      </w:r>
      <w:r>
        <w:rPr>
          <w:sz w:val="20"/>
          <w:lang w:eastAsia="sv-SE"/>
        </w:rPr>
        <w:t xml:space="preserve">example as in (3) above: we assume a UE knows it has 23 assignments to feedback for (either because it detected the assignment or was able to resolve a missing DAI). </w:t>
      </w:r>
      <w:r w:rsidR="0041407C">
        <w:rPr>
          <w:sz w:val="20"/>
          <w:lang w:eastAsia="sv-SE"/>
        </w:rPr>
        <w:t xml:space="preserve">Assume the codebook indicator is 2 bits and maps to codebook sizes (16, 32, 48 and 64). </w:t>
      </w:r>
      <w:r>
        <w:rPr>
          <w:sz w:val="20"/>
          <w:lang w:eastAsia="sv-SE"/>
        </w:rPr>
        <w:t xml:space="preserve">If the </w:t>
      </w:r>
      <w:r w:rsidR="0041407C">
        <w:rPr>
          <w:sz w:val="20"/>
          <w:lang w:eastAsia="sv-SE"/>
        </w:rPr>
        <w:t xml:space="preserve">UE is indicated to use </w:t>
      </w:r>
      <w:r>
        <w:rPr>
          <w:sz w:val="20"/>
          <w:lang w:eastAsia="sv-SE"/>
        </w:rPr>
        <w:t>a codebook size of 48, the UE knows it missed several blocks of 4 consecutive assignments</w:t>
      </w:r>
      <w:r w:rsidR="0041407C">
        <w:rPr>
          <w:sz w:val="20"/>
          <w:lang w:eastAsia="sv-SE"/>
        </w:rPr>
        <w:t>.</w:t>
      </w:r>
    </w:p>
    <w:p w14:paraId="09A54D66" w14:textId="0A1DC27E" w:rsidR="00AA376B" w:rsidRPr="00AA376B" w:rsidRDefault="0041407C" w:rsidP="002F422E">
      <w:pPr>
        <w:rPr>
          <w:b/>
          <w:i/>
          <w:sz w:val="20"/>
          <w:lang w:eastAsia="sv-SE"/>
        </w:rPr>
      </w:pPr>
      <w:r w:rsidRPr="00AA376B">
        <w:rPr>
          <w:b/>
          <w:i/>
          <w:sz w:val="20"/>
          <w:lang w:eastAsia="sv-SE"/>
        </w:rPr>
        <w:t>Proposal 1</w:t>
      </w:r>
      <w:r w:rsidR="002F422E" w:rsidRPr="00AA376B">
        <w:rPr>
          <w:b/>
          <w:i/>
          <w:sz w:val="20"/>
          <w:lang w:eastAsia="sv-SE"/>
        </w:rPr>
        <w:t xml:space="preserve">: </w:t>
      </w:r>
      <w:r w:rsidR="00AA376B" w:rsidRPr="00AA376B">
        <w:rPr>
          <w:b/>
          <w:i/>
          <w:sz w:val="20"/>
          <w:lang w:eastAsia="sv-SE"/>
        </w:rPr>
        <w:t xml:space="preserve">If a DAI-based solution is </w:t>
      </w:r>
      <w:r w:rsidR="00892462">
        <w:rPr>
          <w:b/>
          <w:i/>
          <w:sz w:val="20"/>
          <w:lang w:eastAsia="sv-SE"/>
        </w:rPr>
        <w:t>introduced:</w:t>
      </w:r>
    </w:p>
    <w:p w14:paraId="41F4074C" w14:textId="14ABE23A" w:rsidR="002F422E" w:rsidRPr="00AA376B" w:rsidRDefault="00AA376B" w:rsidP="00AA376B">
      <w:pPr>
        <w:pStyle w:val="ListParagraph"/>
        <w:numPr>
          <w:ilvl w:val="0"/>
          <w:numId w:val="50"/>
        </w:numPr>
        <w:rPr>
          <w:rFonts w:ascii="Times New Roman" w:hAnsi="Times New Roman"/>
          <w:b/>
          <w:i/>
          <w:sz w:val="20"/>
          <w:lang w:eastAsia="sv-SE"/>
        </w:rPr>
      </w:pPr>
      <w:r w:rsidRPr="00AA376B">
        <w:rPr>
          <w:rFonts w:ascii="Times New Roman" w:hAnsi="Times New Roman"/>
          <w:b/>
          <w:i/>
          <w:sz w:val="20"/>
          <w:lang w:eastAsia="sv-SE"/>
        </w:rPr>
        <w:t>Replacement of DAI with an explicit indication of codebook size in DCI’s selected by network should be supported.</w:t>
      </w:r>
    </w:p>
    <w:p w14:paraId="750C797E" w14:textId="601CF50B" w:rsidR="00AA376B" w:rsidRPr="00AA376B" w:rsidRDefault="00AA376B" w:rsidP="00AA376B">
      <w:pPr>
        <w:pStyle w:val="ListParagraph"/>
        <w:numPr>
          <w:ilvl w:val="0"/>
          <w:numId w:val="50"/>
        </w:numPr>
        <w:rPr>
          <w:rFonts w:ascii="Times New Roman" w:hAnsi="Times New Roman"/>
          <w:b/>
          <w:i/>
          <w:sz w:val="20"/>
          <w:lang w:eastAsia="sv-SE"/>
        </w:rPr>
      </w:pPr>
      <w:r w:rsidRPr="00AA376B">
        <w:rPr>
          <w:rFonts w:ascii="Times New Roman" w:hAnsi="Times New Roman"/>
          <w:b/>
          <w:i/>
          <w:sz w:val="20"/>
          <w:lang w:eastAsia="sv-SE"/>
        </w:rPr>
        <w:t>The UE is required to decode at least one DCI containing a codebook size indication, otherwise no HARQ-ACK feedback is reported.</w:t>
      </w:r>
    </w:p>
    <w:p w14:paraId="4413FB8E" w14:textId="6D71D7B5" w:rsidR="00FA0BE7" w:rsidRPr="00110130" w:rsidRDefault="006157AC" w:rsidP="00FA0BE7">
      <w:pPr>
        <w:pStyle w:val="Heading2"/>
        <w:rPr>
          <w:sz w:val="24"/>
        </w:rPr>
      </w:pPr>
      <w:r>
        <w:rPr>
          <w:sz w:val="24"/>
        </w:rPr>
        <w:t>HARQ-ACK c</w:t>
      </w:r>
      <w:r w:rsidR="00110130">
        <w:rPr>
          <w:sz w:val="24"/>
        </w:rPr>
        <w:t>odebook indicator</w:t>
      </w:r>
    </w:p>
    <w:p w14:paraId="6B9C3878" w14:textId="77777777" w:rsidR="00B61989" w:rsidRDefault="00372734" w:rsidP="00E77A6E">
      <w:pPr>
        <w:rPr>
          <w:sz w:val="20"/>
        </w:rPr>
      </w:pPr>
      <w:r>
        <w:rPr>
          <w:sz w:val="20"/>
        </w:rPr>
        <w:t xml:space="preserve">A HARQ-ACK codebook indicator </w:t>
      </w:r>
      <w:r>
        <w:rPr>
          <w:sz w:val="20"/>
        </w:rPr>
        <w:fldChar w:fldCharType="begin"/>
      </w:r>
      <w:r>
        <w:rPr>
          <w:sz w:val="20"/>
        </w:rPr>
        <w:instrText xml:space="preserve"> REF _Ref430958096 \r \h </w:instrText>
      </w:r>
      <w:r>
        <w:rPr>
          <w:sz w:val="20"/>
        </w:rPr>
      </w:r>
      <w:r>
        <w:rPr>
          <w:sz w:val="20"/>
        </w:rPr>
        <w:fldChar w:fldCharType="separate"/>
      </w:r>
      <w:r>
        <w:rPr>
          <w:sz w:val="20"/>
        </w:rPr>
        <w:t>[11</w:t>
      </w:r>
      <w:proofErr w:type="gramStart"/>
      <w:r>
        <w:rPr>
          <w:sz w:val="20"/>
        </w:rPr>
        <w:t>]</w:t>
      </w:r>
      <w:proofErr w:type="gramEnd"/>
      <w:r>
        <w:rPr>
          <w:sz w:val="20"/>
        </w:rPr>
        <w:fldChar w:fldCharType="end"/>
      </w:r>
      <w:r>
        <w:rPr>
          <w:sz w:val="20"/>
        </w:rPr>
        <w:fldChar w:fldCharType="begin"/>
      </w:r>
      <w:r>
        <w:rPr>
          <w:sz w:val="20"/>
        </w:rPr>
        <w:instrText xml:space="preserve"> REF _Ref430958107 \r \h </w:instrText>
      </w:r>
      <w:r>
        <w:rPr>
          <w:sz w:val="20"/>
        </w:rPr>
      </w:r>
      <w:r>
        <w:rPr>
          <w:sz w:val="20"/>
        </w:rPr>
        <w:fldChar w:fldCharType="separate"/>
      </w:r>
      <w:r>
        <w:rPr>
          <w:sz w:val="20"/>
        </w:rPr>
        <w:t>[13]</w:t>
      </w:r>
      <w:r>
        <w:rPr>
          <w:sz w:val="20"/>
        </w:rPr>
        <w:fldChar w:fldCharType="end"/>
      </w:r>
      <w:r>
        <w:rPr>
          <w:sz w:val="20"/>
        </w:rPr>
        <w:t xml:space="preserve"> has been</w:t>
      </w:r>
      <w:r w:rsidR="00E77A6E">
        <w:rPr>
          <w:sz w:val="20"/>
        </w:rPr>
        <w:t xml:space="preserve"> proposed to dynamically indicate </w:t>
      </w:r>
      <w:r>
        <w:rPr>
          <w:sz w:val="20"/>
        </w:rPr>
        <w:t xml:space="preserve">a HARQ-ACK codebook with no risk for misalignment between the UE and network. </w:t>
      </w:r>
      <w:r w:rsidR="00E77A6E">
        <w:rPr>
          <w:sz w:val="20"/>
        </w:rPr>
        <w:t>The proposed codebook indicator indicates a group of carriers for which a UE should report HARQ A/N, among a pre-configured set of groups of carriers.</w:t>
      </w:r>
    </w:p>
    <w:p w14:paraId="35230E11" w14:textId="009DCB07" w:rsidR="00ED6566" w:rsidRDefault="00ED6566" w:rsidP="00ED6566">
      <w:pPr>
        <w:rPr>
          <w:b/>
          <w:i/>
          <w:sz w:val="20"/>
          <w:lang w:val="en-US"/>
        </w:rPr>
      </w:pPr>
      <w:r>
        <w:rPr>
          <w:b/>
          <w:i/>
          <w:sz w:val="20"/>
          <w:lang w:val="en-US"/>
        </w:rPr>
        <w:t>Proposal 2: If a HARQ-ACK Codebook Indicator is introduced:</w:t>
      </w:r>
    </w:p>
    <w:p w14:paraId="6C9E0AF3" w14:textId="38988085" w:rsidR="00ED6566" w:rsidRPr="00ED6566" w:rsidRDefault="00ED6566" w:rsidP="00ED6566">
      <w:pPr>
        <w:pStyle w:val="ListParagraph"/>
        <w:numPr>
          <w:ilvl w:val="0"/>
          <w:numId w:val="50"/>
        </w:numPr>
        <w:rPr>
          <w:rFonts w:ascii="Times New Roman" w:hAnsi="Times New Roman"/>
          <w:b/>
          <w:i/>
          <w:sz w:val="20"/>
        </w:rPr>
      </w:pPr>
      <w:r w:rsidRPr="00ED6566">
        <w:rPr>
          <w:rFonts w:ascii="Times New Roman" w:hAnsi="Times New Roman"/>
          <w:b/>
          <w:i/>
          <w:sz w:val="20"/>
        </w:rPr>
        <w:t xml:space="preserve">The Codebook Indicator indicates the group(s) of carriers for which a UE is expected to report HARQ A/N. </w:t>
      </w:r>
    </w:p>
    <w:p w14:paraId="0A049392" w14:textId="77777777" w:rsidR="00ED6566" w:rsidRDefault="00ED6566" w:rsidP="00E77A6E">
      <w:pPr>
        <w:rPr>
          <w:sz w:val="20"/>
        </w:rPr>
      </w:pPr>
    </w:p>
    <w:p w14:paraId="0632F296" w14:textId="39768993" w:rsidR="00B61989" w:rsidRPr="004E7564" w:rsidRDefault="00B61989" w:rsidP="00B61989">
      <w:pPr>
        <w:rPr>
          <w:b/>
          <w:color w:val="000000" w:themeColor="text1"/>
          <w:sz w:val="20"/>
          <w:u w:val="single"/>
          <w:lang w:val="en-US" w:eastAsia="sv-SE"/>
        </w:rPr>
      </w:pPr>
      <w:r w:rsidRPr="004E7564">
        <w:rPr>
          <w:b/>
          <w:color w:val="000000" w:themeColor="text1"/>
          <w:sz w:val="20"/>
          <w:u w:val="single"/>
          <w:lang w:val="en-US" w:eastAsia="sv-SE"/>
        </w:rPr>
        <w:t xml:space="preserve">Options for </w:t>
      </w:r>
      <w:r>
        <w:rPr>
          <w:b/>
          <w:color w:val="000000" w:themeColor="text1"/>
          <w:sz w:val="20"/>
          <w:u w:val="single"/>
          <w:lang w:val="en-US" w:eastAsia="sv-SE"/>
        </w:rPr>
        <w:t>provision of codebook indicator</w:t>
      </w:r>
    </w:p>
    <w:p w14:paraId="1114AC7F" w14:textId="5F6413A3" w:rsidR="00B61989" w:rsidRDefault="00B61989" w:rsidP="00E77A6E">
      <w:pPr>
        <w:rPr>
          <w:sz w:val="20"/>
        </w:rPr>
      </w:pPr>
      <w:r>
        <w:rPr>
          <w:sz w:val="20"/>
        </w:rPr>
        <w:t>Two options can be envisioned for the provision of the codebook indicator to the UE. In the first option the</w:t>
      </w:r>
      <w:r w:rsidR="00372734">
        <w:rPr>
          <w:sz w:val="20"/>
        </w:rPr>
        <w:t xml:space="preserve"> codebook indicator </w:t>
      </w:r>
      <w:r>
        <w:rPr>
          <w:sz w:val="20"/>
        </w:rPr>
        <w:t xml:space="preserve">is </w:t>
      </w:r>
      <w:r w:rsidR="00372734">
        <w:rPr>
          <w:sz w:val="20"/>
        </w:rPr>
        <w:t xml:space="preserve">repeated in every DCI containing a downlink assignment in a </w:t>
      </w:r>
      <w:proofErr w:type="spellStart"/>
      <w:r w:rsidR="00372734">
        <w:rPr>
          <w:sz w:val="20"/>
        </w:rPr>
        <w:t>subframe</w:t>
      </w:r>
      <w:proofErr w:type="spellEnd"/>
      <w:r w:rsidR="00EB4349">
        <w:rPr>
          <w:sz w:val="20"/>
        </w:rPr>
        <w:t>, thus achieving complete robustness</w:t>
      </w:r>
      <w:r w:rsidR="00372734">
        <w:rPr>
          <w:sz w:val="20"/>
        </w:rPr>
        <w:t xml:space="preserve">. </w:t>
      </w:r>
      <w:r>
        <w:rPr>
          <w:sz w:val="20"/>
        </w:rPr>
        <w:t>The benefit of this option is that it does not require the definition of a new DCI format.</w:t>
      </w:r>
    </w:p>
    <w:p w14:paraId="25216E42" w14:textId="059C9FC8" w:rsidR="00E77A6E" w:rsidRDefault="00B61989" w:rsidP="00E77A6E">
      <w:pPr>
        <w:rPr>
          <w:sz w:val="20"/>
        </w:rPr>
      </w:pPr>
      <w:r>
        <w:rPr>
          <w:sz w:val="20"/>
        </w:rPr>
        <w:t>The second</w:t>
      </w:r>
      <w:r w:rsidR="00372734">
        <w:rPr>
          <w:sz w:val="20"/>
        </w:rPr>
        <w:t xml:space="preserve"> option is to include the indicator in a new DCI transmitted separately, as described in (</w:t>
      </w:r>
      <w:r w:rsidR="00372734">
        <w:rPr>
          <w:sz w:val="20"/>
        </w:rPr>
        <w:fldChar w:fldCharType="begin"/>
      </w:r>
      <w:r w:rsidR="00372734">
        <w:rPr>
          <w:sz w:val="20"/>
        </w:rPr>
        <w:instrText xml:space="preserve"> REF _Ref430958682 \r \h </w:instrText>
      </w:r>
      <w:r w:rsidR="00372734">
        <w:rPr>
          <w:sz w:val="20"/>
        </w:rPr>
      </w:r>
      <w:r w:rsidR="00372734">
        <w:rPr>
          <w:sz w:val="20"/>
        </w:rPr>
        <w:fldChar w:fldCharType="separate"/>
      </w:r>
      <w:r w:rsidR="00372734">
        <w:rPr>
          <w:sz w:val="20"/>
        </w:rPr>
        <w:t>[2]</w:t>
      </w:r>
      <w:r w:rsidR="00372734">
        <w:rPr>
          <w:sz w:val="20"/>
        </w:rPr>
        <w:fldChar w:fldCharType="end"/>
      </w:r>
      <w:r w:rsidR="00372734">
        <w:rPr>
          <w:sz w:val="20"/>
        </w:rPr>
        <w:t xml:space="preserve">, solution 3) and </w:t>
      </w:r>
      <w:r w:rsidR="00D47AFD">
        <w:rPr>
          <w:sz w:val="20"/>
        </w:rPr>
        <w:t>a</w:t>
      </w:r>
      <w:r w:rsidR="00372734">
        <w:rPr>
          <w:sz w:val="20"/>
        </w:rPr>
        <w:t xml:space="preserve"> companion contribution </w:t>
      </w:r>
      <w:r w:rsidR="00372734">
        <w:rPr>
          <w:sz w:val="20"/>
        </w:rPr>
        <w:fldChar w:fldCharType="begin"/>
      </w:r>
      <w:r w:rsidR="00372734">
        <w:rPr>
          <w:sz w:val="20"/>
        </w:rPr>
        <w:instrText xml:space="preserve"> REF _Ref430942928 \r \h </w:instrText>
      </w:r>
      <w:r w:rsidR="00372734">
        <w:rPr>
          <w:sz w:val="20"/>
        </w:rPr>
      </w:r>
      <w:r w:rsidR="00372734">
        <w:rPr>
          <w:sz w:val="20"/>
        </w:rPr>
        <w:fldChar w:fldCharType="separate"/>
      </w:r>
      <w:r w:rsidR="00372734">
        <w:rPr>
          <w:sz w:val="20"/>
        </w:rPr>
        <w:t>[12]</w:t>
      </w:r>
      <w:r w:rsidR="00372734">
        <w:rPr>
          <w:sz w:val="20"/>
        </w:rPr>
        <w:fldChar w:fldCharType="end"/>
      </w:r>
      <w:r w:rsidR="00372734">
        <w:rPr>
          <w:sz w:val="20"/>
        </w:rPr>
        <w:t>.</w:t>
      </w:r>
      <w:r>
        <w:rPr>
          <w:sz w:val="20"/>
        </w:rPr>
        <w:t xml:space="preserve"> This option has the benefits that </w:t>
      </w:r>
      <w:r w:rsidR="00892462">
        <w:rPr>
          <w:sz w:val="20"/>
        </w:rPr>
        <w:t xml:space="preserve">(1) higher granularity for the carriers is possible due to the larger available payload; and (2) it solves the issue of DCI false detection as described in </w:t>
      </w:r>
      <w:r w:rsidR="00892462">
        <w:rPr>
          <w:sz w:val="20"/>
        </w:rPr>
        <w:fldChar w:fldCharType="begin"/>
      </w:r>
      <w:r w:rsidR="00892462">
        <w:rPr>
          <w:sz w:val="20"/>
        </w:rPr>
        <w:instrText xml:space="preserve"> REF _Ref430942928 \r \h </w:instrText>
      </w:r>
      <w:r w:rsidR="00892462">
        <w:rPr>
          <w:sz w:val="20"/>
        </w:rPr>
      </w:r>
      <w:r w:rsidR="00892462">
        <w:rPr>
          <w:sz w:val="20"/>
        </w:rPr>
        <w:fldChar w:fldCharType="separate"/>
      </w:r>
      <w:r w:rsidR="00892462">
        <w:rPr>
          <w:sz w:val="20"/>
        </w:rPr>
        <w:t>[12]</w:t>
      </w:r>
      <w:r w:rsidR="00892462">
        <w:rPr>
          <w:sz w:val="20"/>
        </w:rPr>
        <w:fldChar w:fldCharType="end"/>
      </w:r>
      <w:r w:rsidR="00892462">
        <w:rPr>
          <w:sz w:val="20"/>
        </w:rPr>
        <w:t>.</w:t>
      </w:r>
    </w:p>
    <w:p w14:paraId="799B9B57" w14:textId="79CA168E" w:rsidR="00892462" w:rsidRPr="00892462" w:rsidRDefault="00892462" w:rsidP="00892462">
      <w:pPr>
        <w:rPr>
          <w:b/>
          <w:i/>
          <w:sz w:val="20"/>
          <w:lang w:eastAsia="sv-SE"/>
        </w:rPr>
      </w:pPr>
      <w:r w:rsidRPr="00892462">
        <w:rPr>
          <w:b/>
          <w:i/>
          <w:sz w:val="20"/>
          <w:lang w:eastAsia="sv-SE"/>
        </w:rPr>
        <w:t xml:space="preserve">Proposal </w:t>
      </w:r>
      <w:r w:rsidR="00ED6566">
        <w:rPr>
          <w:b/>
          <w:i/>
          <w:sz w:val="20"/>
          <w:lang w:eastAsia="sv-SE"/>
        </w:rPr>
        <w:t>3</w:t>
      </w:r>
      <w:r w:rsidRPr="00892462">
        <w:rPr>
          <w:b/>
          <w:i/>
          <w:sz w:val="20"/>
          <w:lang w:eastAsia="sv-SE"/>
        </w:rPr>
        <w:t>: If a HARQ-ACK codebook indicator is introduced, select between the following options:</w:t>
      </w:r>
    </w:p>
    <w:p w14:paraId="450875FC" w14:textId="31016F59" w:rsidR="00892462" w:rsidRPr="00892462" w:rsidRDefault="00892462" w:rsidP="00892462">
      <w:pPr>
        <w:pStyle w:val="ListParagraph"/>
        <w:numPr>
          <w:ilvl w:val="0"/>
          <w:numId w:val="50"/>
        </w:numPr>
        <w:rPr>
          <w:rFonts w:ascii="Times New Roman" w:hAnsi="Times New Roman"/>
          <w:b/>
          <w:i/>
          <w:sz w:val="20"/>
          <w:lang w:eastAsia="sv-SE"/>
        </w:rPr>
      </w:pPr>
      <w:r w:rsidRPr="00892462">
        <w:rPr>
          <w:rFonts w:ascii="Times New Roman" w:hAnsi="Times New Roman"/>
          <w:b/>
          <w:i/>
          <w:sz w:val="20"/>
          <w:lang w:eastAsia="sv-SE"/>
        </w:rPr>
        <w:t>Include HARQ-ACK codebook indicator in every DCI containing a downlink assignment; or</w:t>
      </w:r>
    </w:p>
    <w:p w14:paraId="5CFAB4B8" w14:textId="1F196846" w:rsidR="00892462" w:rsidRPr="00892462" w:rsidRDefault="00892462" w:rsidP="00892462">
      <w:pPr>
        <w:pStyle w:val="ListParagraph"/>
        <w:numPr>
          <w:ilvl w:val="0"/>
          <w:numId w:val="50"/>
        </w:numPr>
        <w:rPr>
          <w:rFonts w:ascii="Times New Roman" w:hAnsi="Times New Roman"/>
          <w:b/>
          <w:i/>
          <w:sz w:val="20"/>
          <w:lang w:eastAsia="sv-SE"/>
        </w:rPr>
      </w:pPr>
      <w:r w:rsidRPr="00892462">
        <w:rPr>
          <w:rFonts w:ascii="Times New Roman" w:hAnsi="Times New Roman"/>
          <w:b/>
          <w:i/>
          <w:sz w:val="20"/>
          <w:lang w:eastAsia="sv-SE"/>
        </w:rPr>
        <w:t>Include HARQ-ACK codebook indicator in a new DCI transmitted separately.</w:t>
      </w:r>
    </w:p>
    <w:p w14:paraId="6E9560D6" w14:textId="77777777" w:rsidR="00892462" w:rsidRDefault="00892462" w:rsidP="00E77A6E">
      <w:pPr>
        <w:rPr>
          <w:sz w:val="20"/>
        </w:rPr>
      </w:pPr>
    </w:p>
    <w:p w14:paraId="6E346255" w14:textId="1A3AD165" w:rsidR="00EB4349" w:rsidRDefault="00ED6566" w:rsidP="00E77A6E">
      <w:pPr>
        <w:rPr>
          <w:sz w:val="20"/>
        </w:rPr>
      </w:pPr>
      <w:r>
        <w:rPr>
          <w:sz w:val="20"/>
        </w:rPr>
        <w:t>The codebook indicator</w:t>
      </w:r>
      <w:r w:rsidR="005578DE">
        <w:rPr>
          <w:sz w:val="20"/>
        </w:rPr>
        <w:t xml:space="preserve"> </w:t>
      </w:r>
      <w:r w:rsidR="00EB4349">
        <w:rPr>
          <w:sz w:val="20"/>
        </w:rPr>
        <w:t xml:space="preserve">allows reducing the transmission of </w:t>
      </w:r>
      <w:proofErr w:type="spellStart"/>
      <w:r w:rsidR="00EB4349">
        <w:rPr>
          <w:sz w:val="20"/>
        </w:rPr>
        <w:t>Nack</w:t>
      </w:r>
      <w:proofErr w:type="spellEnd"/>
      <w:r w:rsidR="00EB4349">
        <w:rPr>
          <w:sz w:val="20"/>
        </w:rPr>
        <w:t xml:space="preserve"> bits corresponding to non-scheduled carriers (known </w:t>
      </w:r>
      <w:proofErr w:type="spellStart"/>
      <w:r w:rsidR="00EB4349">
        <w:rPr>
          <w:sz w:val="20"/>
        </w:rPr>
        <w:t>Nacks</w:t>
      </w:r>
      <w:proofErr w:type="spellEnd"/>
      <w:r w:rsidR="00EB4349">
        <w:rPr>
          <w:sz w:val="20"/>
        </w:rPr>
        <w:t xml:space="preserve">) when there is no downlink assignment scheduled in certain groups of carriers. The size of the codebook can therefore be dramatically reduced, although it may still contain a (smaller) number of known </w:t>
      </w:r>
      <w:proofErr w:type="spellStart"/>
      <w:r w:rsidR="00EB4349">
        <w:rPr>
          <w:sz w:val="20"/>
        </w:rPr>
        <w:t>Nacks</w:t>
      </w:r>
      <w:proofErr w:type="spellEnd"/>
      <w:r w:rsidR="00EB4349">
        <w:rPr>
          <w:sz w:val="20"/>
        </w:rPr>
        <w:t>. The reduction of the size of the codebook improves not only the performance from a power perspective, but also PUCCH resource usage.</w:t>
      </w:r>
    </w:p>
    <w:p w14:paraId="5B78ACE2" w14:textId="4C9583CF" w:rsidR="00B61989" w:rsidRDefault="00817490" w:rsidP="00E77A6E">
      <w:pPr>
        <w:rPr>
          <w:sz w:val="20"/>
        </w:rPr>
      </w:pPr>
      <w:r>
        <w:rPr>
          <w:sz w:val="20"/>
        </w:rPr>
        <w:t>The exact mapping between Codebook Indicator and corresponding groups of carriers can b</w:t>
      </w:r>
      <w:r w:rsidR="00EB4349">
        <w:rPr>
          <w:sz w:val="20"/>
        </w:rPr>
        <w:t>e realized in a number of ways.</w:t>
      </w:r>
      <w:r>
        <w:rPr>
          <w:sz w:val="20"/>
        </w:rPr>
        <w:t xml:space="preserve"> One possibility would be to associate each but of the field to a specific group of carriers and to use each bit to indicate whether the corresponding group of carriers is i</w:t>
      </w:r>
      <w:r w:rsidR="00EB4349">
        <w:rPr>
          <w:sz w:val="20"/>
        </w:rPr>
        <w:t>ncluded in the codebook or not.</w:t>
      </w:r>
      <w:r w:rsidR="00892462">
        <w:rPr>
          <w:sz w:val="20"/>
        </w:rPr>
        <w:t xml:space="preserve"> This possibility is attractive if the indicator is provisioned in a DCI transmitted separately, since small groups of carriers (even a single carrier per group) can be defined.</w:t>
      </w:r>
    </w:p>
    <w:p w14:paraId="2D507E08" w14:textId="41DB3070" w:rsidR="00817490" w:rsidRPr="00817490" w:rsidRDefault="00817490" w:rsidP="00E77A6E">
      <w:pPr>
        <w:rPr>
          <w:sz w:val="20"/>
        </w:rPr>
      </w:pPr>
      <w:r>
        <w:rPr>
          <w:sz w:val="20"/>
        </w:rPr>
        <w:t>Another possi</w:t>
      </w:r>
      <w:r w:rsidR="00004FA7">
        <w:rPr>
          <w:sz w:val="20"/>
        </w:rPr>
        <w:t xml:space="preserve">bility is illustrated </w:t>
      </w:r>
      <w:r w:rsidR="00004FA7" w:rsidRPr="00004FA7">
        <w:rPr>
          <w:sz w:val="20"/>
        </w:rPr>
        <w:t xml:space="preserve">in </w:t>
      </w:r>
      <w:r w:rsidR="00004FA7" w:rsidRPr="00004FA7">
        <w:rPr>
          <w:sz w:val="20"/>
        </w:rPr>
        <w:fldChar w:fldCharType="begin"/>
      </w:r>
      <w:r w:rsidR="00004FA7" w:rsidRPr="00004FA7">
        <w:rPr>
          <w:sz w:val="20"/>
        </w:rPr>
        <w:instrText xml:space="preserve"> REF _Ref430960145 \h </w:instrText>
      </w:r>
      <w:r w:rsidR="00004FA7">
        <w:rPr>
          <w:sz w:val="20"/>
        </w:rPr>
        <w:instrText xml:space="preserve"> \* MERGEFORMAT </w:instrText>
      </w:r>
      <w:r w:rsidR="00004FA7" w:rsidRPr="00004FA7">
        <w:rPr>
          <w:sz w:val="20"/>
        </w:rPr>
      </w:r>
      <w:r w:rsidR="00004FA7" w:rsidRPr="00004FA7">
        <w:rPr>
          <w:sz w:val="20"/>
        </w:rPr>
        <w:fldChar w:fldCharType="separate"/>
      </w:r>
      <w:r w:rsidR="00004FA7" w:rsidRPr="00004FA7">
        <w:rPr>
          <w:sz w:val="20"/>
        </w:rPr>
        <w:t xml:space="preserve">Table </w:t>
      </w:r>
      <w:r w:rsidR="00004FA7" w:rsidRPr="00004FA7">
        <w:rPr>
          <w:noProof/>
          <w:sz w:val="20"/>
        </w:rPr>
        <w:t>2</w:t>
      </w:r>
      <w:r w:rsidR="00004FA7" w:rsidRPr="00004FA7">
        <w:rPr>
          <w:sz w:val="20"/>
        </w:rPr>
        <w:fldChar w:fldCharType="end"/>
      </w:r>
      <w:r>
        <w:rPr>
          <w:sz w:val="20"/>
        </w:rPr>
        <w:t xml:space="preserve"> for a U</w:t>
      </w:r>
      <w:r w:rsidR="00EB4349">
        <w:rPr>
          <w:sz w:val="20"/>
        </w:rPr>
        <w:t xml:space="preserve">E configured with 32 carriers. </w:t>
      </w:r>
      <w:r>
        <w:rPr>
          <w:sz w:val="20"/>
        </w:rPr>
        <w:t xml:space="preserve">In this example, one of the </w:t>
      </w:r>
      <w:proofErr w:type="spellStart"/>
      <w:r>
        <w:rPr>
          <w:sz w:val="20"/>
        </w:rPr>
        <w:t>codepoints</w:t>
      </w:r>
      <w:proofErr w:type="spellEnd"/>
      <w:r>
        <w:rPr>
          <w:sz w:val="20"/>
        </w:rPr>
        <w:t xml:space="preserve"> of the indicator (00) indicates “all carriers” to allow the UE to</w:t>
      </w:r>
      <w:r w:rsidR="00EB4349">
        <w:rPr>
          <w:sz w:val="20"/>
        </w:rPr>
        <w:t xml:space="preserve"> be scheduled on all carriers. </w:t>
      </w:r>
      <w:r>
        <w:rPr>
          <w:sz w:val="20"/>
        </w:rPr>
        <w:t xml:space="preserve">Another </w:t>
      </w:r>
      <w:proofErr w:type="spellStart"/>
      <w:r>
        <w:rPr>
          <w:sz w:val="20"/>
        </w:rPr>
        <w:t>codepoint</w:t>
      </w:r>
      <w:proofErr w:type="spellEnd"/>
      <w:r>
        <w:rPr>
          <w:sz w:val="20"/>
        </w:rPr>
        <w:t xml:space="preserve"> (01) can indicate 4 </w:t>
      </w:r>
      <w:r w:rsidR="00EB4349">
        <w:rPr>
          <w:sz w:val="20"/>
        </w:rPr>
        <w:t xml:space="preserve">disjoint groups of 8 carriers. </w:t>
      </w:r>
      <w:r>
        <w:rPr>
          <w:sz w:val="20"/>
        </w:rPr>
        <w:t>The specific group to select</w:t>
      </w:r>
      <w:r w:rsidR="00F16BCD">
        <w:rPr>
          <w:sz w:val="20"/>
        </w:rPr>
        <w:t xml:space="preserve"> can be determined based on which carriers the</w:t>
      </w:r>
      <w:r w:rsidR="00EB4349">
        <w:rPr>
          <w:sz w:val="20"/>
        </w:rPr>
        <w:t xml:space="preserve"> assignments are received for</w:t>
      </w:r>
      <w:r w:rsidR="00892462">
        <w:rPr>
          <w:sz w:val="20"/>
        </w:rPr>
        <w:t>, if the indicator is provisioned in every DCI</w:t>
      </w:r>
      <w:r w:rsidR="00EB4349">
        <w:rPr>
          <w:sz w:val="20"/>
        </w:rPr>
        <w:t xml:space="preserve">. </w:t>
      </w:r>
      <w:r w:rsidR="00F16BCD">
        <w:rPr>
          <w:sz w:val="20"/>
        </w:rPr>
        <w:t xml:space="preserve">The two other </w:t>
      </w:r>
      <w:proofErr w:type="spellStart"/>
      <w:r w:rsidR="00F16BCD">
        <w:rPr>
          <w:sz w:val="20"/>
        </w:rPr>
        <w:t>codepoints</w:t>
      </w:r>
      <w:proofErr w:type="spellEnd"/>
      <w:r w:rsidR="00F16BCD">
        <w:rPr>
          <w:sz w:val="20"/>
        </w:rPr>
        <w:t xml:space="preserve"> (10) and (11) can indicate different groups of 16 carriers, or possibly groups where the </w:t>
      </w:r>
      <w:r w:rsidR="00EB4349">
        <w:rPr>
          <w:sz w:val="20"/>
        </w:rPr>
        <w:t xml:space="preserve">order of carriers is modified. </w:t>
      </w:r>
      <w:r w:rsidR="00F16BCD">
        <w:rPr>
          <w:sz w:val="20"/>
        </w:rPr>
        <w:t xml:space="preserve">The exact mapping can be configured by higher layers to maximize scheduling flexibility and performance. Additional flexibility could also be obtained using </w:t>
      </w:r>
      <w:r w:rsidR="00EB4349">
        <w:rPr>
          <w:sz w:val="20"/>
        </w:rPr>
        <w:t xml:space="preserve">a field with more than 2 bits. </w:t>
      </w:r>
      <w:r w:rsidR="00F16BCD">
        <w:rPr>
          <w:sz w:val="20"/>
        </w:rPr>
        <w:t>One possibility to minimize additional overhead would be to use a single field for ARI and Codebook Indicator.</w:t>
      </w:r>
    </w:p>
    <w:tbl>
      <w:tblPr>
        <w:tblStyle w:val="TableGrid"/>
        <w:tblW w:w="0" w:type="auto"/>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1083"/>
        <w:gridCol w:w="6167"/>
      </w:tblGrid>
      <w:tr w:rsidR="00E77A6E" w14:paraId="12895D08" w14:textId="77777777" w:rsidTr="00ED6566">
        <w:trPr>
          <w:jc w:val="center"/>
        </w:trPr>
        <w:tc>
          <w:tcPr>
            <w:tcW w:w="1083" w:type="dxa"/>
            <w:tcBorders>
              <w:top w:val="double" w:sz="4" w:space="0" w:color="auto"/>
              <w:bottom w:val="double" w:sz="4" w:space="0" w:color="auto"/>
            </w:tcBorders>
          </w:tcPr>
          <w:p w14:paraId="52968F87" w14:textId="77777777" w:rsidR="00E77A6E" w:rsidRPr="00530F6B" w:rsidRDefault="00E77A6E" w:rsidP="00A8588D">
            <w:pPr>
              <w:jc w:val="center"/>
              <w:rPr>
                <w:b/>
                <w:sz w:val="20"/>
                <w:lang w:val="en-US"/>
              </w:rPr>
            </w:pPr>
            <w:r>
              <w:rPr>
                <w:b/>
                <w:sz w:val="20"/>
                <w:lang w:val="en-US"/>
              </w:rPr>
              <w:t>Codebook Indicator</w:t>
            </w:r>
            <w:r w:rsidRPr="00530F6B">
              <w:rPr>
                <w:b/>
                <w:sz w:val="20"/>
                <w:lang w:val="en-US"/>
              </w:rPr>
              <w:t xml:space="preserve"> Value</w:t>
            </w:r>
          </w:p>
        </w:tc>
        <w:tc>
          <w:tcPr>
            <w:tcW w:w="6167" w:type="dxa"/>
            <w:tcBorders>
              <w:top w:val="double" w:sz="4" w:space="0" w:color="auto"/>
              <w:bottom w:val="double" w:sz="4" w:space="0" w:color="auto"/>
            </w:tcBorders>
            <w:vAlign w:val="center"/>
          </w:tcPr>
          <w:p w14:paraId="7B664AAD" w14:textId="77777777" w:rsidR="00E77A6E" w:rsidRDefault="00E77A6E" w:rsidP="00A8588D">
            <w:pPr>
              <w:jc w:val="center"/>
              <w:rPr>
                <w:b/>
                <w:sz w:val="20"/>
                <w:lang w:val="en-US"/>
              </w:rPr>
            </w:pPr>
            <w:r w:rsidRPr="00530F6B">
              <w:rPr>
                <w:b/>
                <w:sz w:val="20"/>
                <w:lang w:val="en-US"/>
              </w:rPr>
              <w:t>Set of Carriers for Which to Report HARQ A/N Feedback</w:t>
            </w:r>
          </w:p>
          <w:p w14:paraId="750D191D" w14:textId="34C9BC13" w:rsidR="00B61989" w:rsidRPr="00530F6B" w:rsidRDefault="00B61989" w:rsidP="00892462">
            <w:pPr>
              <w:jc w:val="center"/>
              <w:rPr>
                <w:b/>
                <w:sz w:val="20"/>
                <w:lang w:val="en-US"/>
              </w:rPr>
            </w:pPr>
            <w:r>
              <w:rPr>
                <w:b/>
                <w:sz w:val="20"/>
                <w:lang w:val="en-US"/>
              </w:rPr>
              <w:t xml:space="preserve">(for Codebook Indicator included in every </w:t>
            </w:r>
            <w:r w:rsidR="00892462">
              <w:rPr>
                <w:b/>
                <w:sz w:val="20"/>
                <w:lang w:val="en-US"/>
              </w:rPr>
              <w:t>DL assignment</w:t>
            </w:r>
            <w:r>
              <w:rPr>
                <w:b/>
                <w:sz w:val="20"/>
                <w:lang w:val="en-US"/>
              </w:rPr>
              <w:t>)</w:t>
            </w:r>
          </w:p>
        </w:tc>
      </w:tr>
      <w:tr w:rsidR="00E77A6E" w14:paraId="7FE52B12" w14:textId="77777777" w:rsidTr="00ED6566">
        <w:trPr>
          <w:jc w:val="center"/>
        </w:trPr>
        <w:tc>
          <w:tcPr>
            <w:tcW w:w="1083" w:type="dxa"/>
            <w:tcBorders>
              <w:top w:val="double" w:sz="4" w:space="0" w:color="auto"/>
            </w:tcBorders>
            <w:vAlign w:val="center"/>
          </w:tcPr>
          <w:p w14:paraId="3AC2BA2C" w14:textId="77777777" w:rsidR="00E77A6E" w:rsidRDefault="00E77A6E" w:rsidP="00A8588D">
            <w:pPr>
              <w:jc w:val="center"/>
              <w:rPr>
                <w:sz w:val="20"/>
                <w:lang w:val="en-US"/>
              </w:rPr>
            </w:pPr>
            <w:r>
              <w:rPr>
                <w:sz w:val="20"/>
                <w:lang w:val="en-US"/>
              </w:rPr>
              <w:t>00</w:t>
            </w:r>
          </w:p>
        </w:tc>
        <w:tc>
          <w:tcPr>
            <w:tcW w:w="6167" w:type="dxa"/>
            <w:tcBorders>
              <w:top w:val="double" w:sz="4" w:space="0" w:color="auto"/>
            </w:tcBorders>
          </w:tcPr>
          <w:p w14:paraId="5B6D01A6" w14:textId="77777777" w:rsidR="00E77A6E" w:rsidRDefault="00E77A6E" w:rsidP="00A8588D">
            <w:pPr>
              <w:rPr>
                <w:sz w:val="20"/>
                <w:lang w:val="en-US"/>
              </w:rPr>
            </w:pPr>
            <w:r>
              <w:rPr>
                <w:sz w:val="20"/>
                <w:lang w:val="en-US"/>
              </w:rPr>
              <w:t>All carriers</w:t>
            </w:r>
          </w:p>
        </w:tc>
      </w:tr>
      <w:tr w:rsidR="00E77A6E" w14:paraId="0E55D7BB" w14:textId="77777777" w:rsidTr="00ED6566">
        <w:trPr>
          <w:jc w:val="center"/>
        </w:trPr>
        <w:tc>
          <w:tcPr>
            <w:tcW w:w="1083" w:type="dxa"/>
            <w:vAlign w:val="center"/>
          </w:tcPr>
          <w:p w14:paraId="15B255B7" w14:textId="77777777" w:rsidR="00E77A6E" w:rsidRDefault="00E77A6E" w:rsidP="00A8588D">
            <w:pPr>
              <w:jc w:val="center"/>
              <w:rPr>
                <w:sz w:val="20"/>
                <w:lang w:val="en-US"/>
              </w:rPr>
            </w:pPr>
            <w:r>
              <w:rPr>
                <w:sz w:val="20"/>
                <w:lang w:val="en-US"/>
              </w:rPr>
              <w:t>01</w:t>
            </w:r>
          </w:p>
        </w:tc>
        <w:tc>
          <w:tcPr>
            <w:tcW w:w="6167" w:type="dxa"/>
          </w:tcPr>
          <w:p w14:paraId="758F10D7" w14:textId="77777777" w:rsidR="00E77A6E" w:rsidRDefault="00E77A6E" w:rsidP="00A8588D">
            <w:pPr>
              <w:rPr>
                <w:sz w:val="20"/>
                <w:lang w:val="en-US"/>
              </w:rPr>
            </w:pPr>
            <w:r>
              <w:rPr>
                <w:sz w:val="20"/>
                <w:lang w:val="en-US"/>
              </w:rPr>
              <w:t>{1,2,3,4,5,6,7,8} or</w:t>
            </w:r>
          </w:p>
          <w:p w14:paraId="0C85ED43" w14:textId="77777777" w:rsidR="00E77A6E" w:rsidRDefault="00E77A6E" w:rsidP="00A8588D">
            <w:pPr>
              <w:rPr>
                <w:sz w:val="20"/>
                <w:lang w:val="en-US"/>
              </w:rPr>
            </w:pPr>
            <w:r>
              <w:rPr>
                <w:sz w:val="20"/>
                <w:lang w:val="en-US"/>
              </w:rPr>
              <w:t>{9,10,11,12,13,14,15,16} or</w:t>
            </w:r>
          </w:p>
          <w:p w14:paraId="08EBDF36" w14:textId="77777777" w:rsidR="00E77A6E" w:rsidRDefault="00E77A6E" w:rsidP="00A8588D">
            <w:pPr>
              <w:rPr>
                <w:sz w:val="20"/>
                <w:lang w:val="en-US"/>
              </w:rPr>
            </w:pPr>
            <w:r>
              <w:rPr>
                <w:sz w:val="20"/>
                <w:lang w:val="en-US"/>
              </w:rPr>
              <w:t>{17,18,19,20,21,22,23,24} or</w:t>
            </w:r>
          </w:p>
          <w:p w14:paraId="5BDED31D" w14:textId="77777777" w:rsidR="00E77A6E" w:rsidRDefault="00E77A6E" w:rsidP="00A8588D">
            <w:pPr>
              <w:rPr>
                <w:sz w:val="20"/>
                <w:lang w:val="en-US"/>
              </w:rPr>
            </w:pPr>
            <w:r>
              <w:rPr>
                <w:sz w:val="20"/>
                <w:lang w:val="en-US"/>
              </w:rPr>
              <w:t>{25,26,27,28,29,30,31,32}</w:t>
            </w:r>
          </w:p>
        </w:tc>
      </w:tr>
      <w:tr w:rsidR="00E77A6E" w14:paraId="290DE3F5" w14:textId="77777777" w:rsidTr="00ED6566">
        <w:trPr>
          <w:jc w:val="center"/>
        </w:trPr>
        <w:tc>
          <w:tcPr>
            <w:tcW w:w="1083" w:type="dxa"/>
            <w:vAlign w:val="center"/>
          </w:tcPr>
          <w:p w14:paraId="0E41CC65" w14:textId="77777777" w:rsidR="00E77A6E" w:rsidRDefault="00E77A6E" w:rsidP="00A8588D">
            <w:pPr>
              <w:jc w:val="center"/>
              <w:rPr>
                <w:sz w:val="20"/>
                <w:lang w:val="en-US"/>
              </w:rPr>
            </w:pPr>
            <w:r>
              <w:rPr>
                <w:sz w:val="20"/>
                <w:lang w:val="en-US"/>
              </w:rPr>
              <w:t>10</w:t>
            </w:r>
          </w:p>
        </w:tc>
        <w:tc>
          <w:tcPr>
            <w:tcW w:w="6167" w:type="dxa"/>
          </w:tcPr>
          <w:p w14:paraId="0D4AFFA8" w14:textId="77777777" w:rsidR="00E77A6E" w:rsidRDefault="00E77A6E" w:rsidP="00A8588D">
            <w:pPr>
              <w:rPr>
                <w:sz w:val="20"/>
                <w:lang w:val="en-US"/>
              </w:rPr>
            </w:pPr>
            <w:r>
              <w:rPr>
                <w:sz w:val="20"/>
                <w:lang w:val="en-US"/>
              </w:rPr>
              <w:t>{1,2,3,4,5,6,7,8,9,10,11,12,13,14,15,16} or</w:t>
            </w:r>
          </w:p>
          <w:p w14:paraId="113E9604" w14:textId="77777777" w:rsidR="00E77A6E" w:rsidRDefault="00E77A6E" w:rsidP="00A8588D">
            <w:pPr>
              <w:rPr>
                <w:sz w:val="20"/>
                <w:lang w:val="en-US"/>
              </w:rPr>
            </w:pPr>
            <w:r>
              <w:rPr>
                <w:sz w:val="20"/>
                <w:lang w:val="en-US"/>
              </w:rPr>
              <w:t>{17,18,19,20,21,22,23,24,25,26,27,28,29,30,31,32}</w:t>
            </w:r>
          </w:p>
        </w:tc>
      </w:tr>
      <w:tr w:rsidR="00E77A6E" w14:paraId="7BD5BA3E" w14:textId="77777777" w:rsidTr="00ED6566">
        <w:trPr>
          <w:jc w:val="center"/>
        </w:trPr>
        <w:tc>
          <w:tcPr>
            <w:tcW w:w="1083" w:type="dxa"/>
            <w:vAlign w:val="center"/>
          </w:tcPr>
          <w:p w14:paraId="14EEF2F1" w14:textId="77777777" w:rsidR="00E77A6E" w:rsidRDefault="00E77A6E" w:rsidP="00A8588D">
            <w:pPr>
              <w:jc w:val="center"/>
              <w:rPr>
                <w:sz w:val="20"/>
                <w:lang w:val="en-US"/>
              </w:rPr>
            </w:pPr>
            <w:r>
              <w:rPr>
                <w:sz w:val="20"/>
                <w:lang w:val="en-US"/>
              </w:rPr>
              <w:t>11</w:t>
            </w:r>
          </w:p>
        </w:tc>
        <w:tc>
          <w:tcPr>
            <w:tcW w:w="6167" w:type="dxa"/>
          </w:tcPr>
          <w:p w14:paraId="2DEABF39" w14:textId="77777777" w:rsidR="00E77A6E" w:rsidRDefault="00E77A6E" w:rsidP="00A8588D">
            <w:pPr>
              <w:rPr>
                <w:sz w:val="20"/>
                <w:lang w:val="en-US"/>
              </w:rPr>
            </w:pPr>
            <w:r>
              <w:rPr>
                <w:sz w:val="20"/>
                <w:lang w:val="en-US"/>
              </w:rPr>
              <w:t>{1,2,3,4,5,6,7,8,25,26,27,28,29,30,31,32} or</w:t>
            </w:r>
          </w:p>
          <w:p w14:paraId="21B6C5FA" w14:textId="77777777" w:rsidR="00E77A6E" w:rsidRDefault="00E77A6E" w:rsidP="00A8588D">
            <w:pPr>
              <w:rPr>
                <w:sz w:val="20"/>
                <w:lang w:val="en-US"/>
              </w:rPr>
            </w:pPr>
            <w:r>
              <w:rPr>
                <w:sz w:val="20"/>
                <w:lang w:val="en-US"/>
              </w:rPr>
              <w:t>{9,10,11,12,13,14,15,16,17,18,19,20,21,22,23,24}</w:t>
            </w:r>
          </w:p>
        </w:tc>
      </w:tr>
    </w:tbl>
    <w:p w14:paraId="5156E617" w14:textId="365055C6" w:rsidR="00E77A6E" w:rsidRDefault="00EB4349" w:rsidP="00EB4349">
      <w:pPr>
        <w:pStyle w:val="Caption"/>
        <w:rPr>
          <w:sz w:val="20"/>
        </w:rPr>
      </w:pPr>
      <w:bookmarkStart w:id="1" w:name="_Ref430960145"/>
      <w:r>
        <w:t xml:space="preserve">Table </w:t>
      </w:r>
      <w:r>
        <w:fldChar w:fldCharType="begin"/>
      </w:r>
      <w:r>
        <w:instrText xml:space="preserve"> SEQ Table \* ARABIC </w:instrText>
      </w:r>
      <w:r>
        <w:fldChar w:fldCharType="separate"/>
      </w:r>
      <w:r>
        <w:rPr>
          <w:noProof/>
        </w:rPr>
        <w:t>2</w:t>
      </w:r>
      <w:r>
        <w:fldChar w:fldCharType="end"/>
      </w:r>
      <w:bookmarkEnd w:id="1"/>
      <w:r>
        <w:t>. Example of mapping between codebook indicator and sets of carriers.</w:t>
      </w:r>
    </w:p>
    <w:p w14:paraId="0DC5ED14" w14:textId="77777777" w:rsidR="00E77A6E" w:rsidRDefault="00E77A6E" w:rsidP="00E77A6E">
      <w:pPr>
        <w:rPr>
          <w:sz w:val="20"/>
          <w:lang w:val="en-US"/>
        </w:rPr>
      </w:pPr>
      <w:r>
        <w:rPr>
          <w:sz w:val="20"/>
        </w:rPr>
        <w:t>It should be stressed that not all carriers of an indicated group need to be scheduled. The UE indicates “</w:t>
      </w:r>
      <w:proofErr w:type="spellStart"/>
      <w:r>
        <w:rPr>
          <w:sz w:val="20"/>
        </w:rPr>
        <w:t>Nack</w:t>
      </w:r>
      <w:proofErr w:type="spellEnd"/>
      <w:r>
        <w:rPr>
          <w:sz w:val="20"/>
        </w:rPr>
        <w:t>” when no DL assignment is detected for a carrier included in the indicated group. This is illustrated in the Figure below.</w:t>
      </w:r>
      <w:r>
        <w:rPr>
          <w:sz w:val="20"/>
          <w:lang w:val="en-US"/>
        </w:rPr>
        <w:t xml:space="preserve"> In this example, the UE receives downlink assignments for carriers 9, 10, 13, 14, 15 and 16 with codebook indicator “01” in every DL assignment. The UE misses DL assignment for carrier 12. The UE uses the codebook carrying HARQ A/N for carriers {9, 10, 11, 12, 13, 14, 15, </w:t>
      </w:r>
      <w:proofErr w:type="gramStart"/>
      <w:r>
        <w:rPr>
          <w:sz w:val="20"/>
          <w:lang w:val="en-US"/>
        </w:rPr>
        <w:t>16</w:t>
      </w:r>
      <w:proofErr w:type="gramEnd"/>
      <w:r>
        <w:rPr>
          <w:sz w:val="20"/>
          <w:lang w:val="en-US"/>
        </w:rPr>
        <w:t xml:space="preserve">} and includes </w:t>
      </w:r>
      <w:proofErr w:type="spellStart"/>
      <w:r>
        <w:rPr>
          <w:sz w:val="20"/>
          <w:lang w:val="en-US"/>
        </w:rPr>
        <w:t>Nack</w:t>
      </w:r>
      <w:proofErr w:type="spellEnd"/>
      <w:r>
        <w:rPr>
          <w:sz w:val="20"/>
          <w:lang w:val="en-US"/>
        </w:rPr>
        <w:t xml:space="preserve"> for carriers 11 and 12.</w:t>
      </w:r>
    </w:p>
    <w:p w14:paraId="7D24E13E" w14:textId="319A16B7" w:rsidR="00E77A6E" w:rsidRDefault="00892462" w:rsidP="00E77A6E">
      <w:pPr>
        <w:jc w:val="center"/>
        <w:rPr>
          <w:sz w:val="20"/>
          <w:lang w:val="en-US"/>
        </w:rPr>
      </w:pPr>
      <w:r>
        <w:object w:dxaOrig="13860" w:dyaOrig="13493" w14:anchorId="3E99E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4pt;height:261.5pt" o:ole="">
            <v:imagedata r:id="rId12" o:title=""/>
          </v:shape>
          <o:OLEObject Type="Embed" ProgID="Visio.Drawing.15" ShapeID="_x0000_i1025" DrawAspect="Content" ObjectID="_1504710890" r:id="rId13"/>
        </w:object>
      </w:r>
    </w:p>
    <w:p w14:paraId="0AE20495" w14:textId="77777777" w:rsidR="00E77A6E" w:rsidRDefault="00E77A6E" w:rsidP="00E77A6E">
      <w:pPr>
        <w:jc w:val="center"/>
        <w:rPr>
          <w:sz w:val="20"/>
          <w:lang w:val="en-US"/>
        </w:rPr>
      </w:pPr>
      <w:r>
        <w:rPr>
          <w:sz w:val="20"/>
          <w:lang w:val="en-US"/>
        </w:rPr>
        <w:t>Figure 1. Example of HARQ A/N codebook determination.</w:t>
      </w:r>
    </w:p>
    <w:p w14:paraId="2F6F8AC3" w14:textId="77777777" w:rsidR="00ED6566" w:rsidRDefault="00ED6566" w:rsidP="008C3C63">
      <w:pPr>
        <w:rPr>
          <w:b/>
          <w:color w:val="000000" w:themeColor="text1"/>
          <w:sz w:val="20"/>
          <w:u w:val="single"/>
          <w:lang w:val="en-US" w:eastAsia="sv-SE"/>
        </w:rPr>
      </w:pPr>
    </w:p>
    <w:p w14:paraId="652B2F95" w14:textId="77777777" w:rsidR="00ED6566" w:rsidRDefault="00ED6566" w:rsidP="008C3C63">
      <w:pPr>
        <w:rPr>
          <w:b/>
          <w:color w:val="000000" w:themeColor="text1"/>
          <w:sz w:val="20"/>
          <w:u w:val="single"/>
          <w:lang w:val="en-US" w:eastAsia="sv-SE"/>
        </w:rPr>
      </w:pPr>
    </w:p>
    <w:p w14:paraId="4D922B71" w14:textId="0431BD7C" w:rsidR="004E7564" w:rsidRPr="004E7564" w:rsidRDefault="004E7564" w:rsidP="008C3C63">
      <w:pPr>
        <w:rPr>
          <w:b/>
          <w:color w:val="000000" w:themeColor="text1"/>
          <w:sz w:val="20"/>
          <w:u w:val="single"/>
          <w:lang w:val="en-US" w:eastAsia="sv-SE"/>
        </w:rPr>
      </w:pPr>
      <w:r w:rsidRPr="004E7564">
        <w:rPr>
          <w:b/>
          <w:color w:val="000000" w:themeColor="text1"/>
          <w:sz w:val="20"/>
          <w:u w:val="single"/>
          <w:lang w:val="en-US" w:eastAsia="sv-SE"/>
        </w:rPr>
        <w:t>Options for TDD case</w:t>
      </w:r>
    </w:p>
    <w:p w14:paraId="7C2550CE" w14:textId="7B99712D" w:rsidR="00E77A6E" w:rsidRDefault="003E0E49" w:rsidP="008C3C63">
      <w:pPr>
        <w:rPr>
          <w:color w:val="000000" w:themeColor="text1"/>
          <w:sz w:val="20"/>
          <w:lang w:val="en-US" w:eastAsia="sv-SE"/>
        </w:rPr>
      </w:pPr>
      <w:r>
        <w:rPr>
          <w:color w:val="000000" w:themeColor="text1"/>
          <w:sz w:val="20"/>
          <w:lang w:val="en-US" w:eastAsia="sv-SE"/>
        </w:rPr>
        <w:t xml:space="preserve">For TDD, a UE may need to report HARQ-ACK for different sets of carriers per DL </w:t>
      </w:r>
      <w:proofErr w:type="spellStart"/>
      <w:r>
        <w:rPr>
          <w:color w:val="000000" w:themeColor="text1"/>
          <w:sz w:val="20"/>
          <w:lang w:val="en-US" w:eastAsia="sv-SE"/>
        </w:rPr>
        <w:t>subframe</w:t>
      </w:r>
      <w:proofErr w:type="spellEnd"/>
      <w:r>
        <w:rPr>
          <w:color w:val="000000" w:themeColor="text1"/>
          <w:sz w:val="20"/>
          <w:lang w:val="en-US" w:eastAsia="sv-SE"/>
        </w:rPr>
        <w:t xml:space="preserve"> in a bundling window.  The indicated HARQ-ACK codebook can cover possible </w:t>
      </w:r>
      <w:proofErr w:type="spellStart"/>
      <w:r>
        <w:rPr>
          <w:color w:val="000000" w:themeColor="text1"/>
          <w:sz w:val="20"/>
          <w:lang w:val="en-US" w:eastAsia="sv-SE"/>
        </w:rPr>
        <w:t>subf</w:t>
      </w:r>
      <w:r w:rsidR="004821CF">
        <w:rPr>
          <w:color w:val="000000" w:themeColor="text1"/>
          <w:sz w:val="20"/>
          <w:lang w:val="en-US" w:eastAsia="sv-SE"/>
        </w:rPr>
        <w:t>rame</w:t>
      </w:r>
      <w:proofErr w:type="spellEnd"/>
      <w:r w:rsidR="004821CF">
        <w:rPr>
          <w:color w:val="000000" w:themeColor="text1"/>
          <w:sz w:val="20"/>
          <w:lang w:val="en-US" w:eastAsia="sv-SE"/>
        </w:rPr>
        <w:t xml:space="preserve"> and carrier combinations. </w:t>
      </w:r>
      <w:r>
        <w:rPr>
          <w:color w:val="000000" w:themeColor="text1"/>
          <w:sz w:val="20"/>
          <w:lang w:val="en-US" w:eastAsia="sv-SE"/>
        </w:rPr>
        <w:t xml:space="preserve">The following options </w:t>
      </w:r>
      <w:r w:rsidR="004821CF">
        <w:rPr>
          <w:color w:val="000000" w:themeColor="text1"/>
          <w:sz w:val="20"/>
          <w:lang w:val="en-US" w:eastAsia="sv-SE"/>
        </w:rPr>
        <w:t>can be considered:</w:t>
      </w:r>
    </w:p>
    <w:p w14:paraId="78A97A6F" w14:textId="3A115373" w:rsidR="003E0E49" w:rsidRPr="003E0E49" w:rsidRDefault="003E0E49" w:rsidP="008C3C63">
      <w:pPr>
        <w:rPr>
          <w:b/>
          <w:color w:val="000000" w:themeColor="text1"/>
          <w:sz w:val="20"/>
          <w:lang w:val="en-US" w:eastAsia="sv-SE"/>
        </w:rPr>
      </w:pPr>
      <w:r w:rsidRPr="003E0E49">
        <w:rPr>
          <w:b/>
          <w:color w:val="000000" w:themeColor="text1"/>
          <w:sz w:val="20"/>
          <w:lang w:val="en-US" w:eastAsia="sv-SE"/>
        </w:rPr>
        <w:t>Option 1:</w:t>
      </w:r>
    </w:p>
    <w:p w14:paraId="45BB3B0B" w14:textId="79347F71" w:rsidR="003E0E49" w:rsidRDefault="003E0E49" w:rsidP="008C3C63">
      <w:pPr>
        <w:rPr>
          <w:color w:val="000000" w:themeColor="text1"/>
          <w:sz w:val="20"/>
          <w:lang w:val="en-US" w:eastAsia="sv-SE"/>
        </w:rPr>
      </w:pPr>
      <w:r>
        <w:rPr>
          <w:color w:val="000000" w:themeColor="text1"/>
          <w:sz w:val="20"/>
          <w:lang w:val="en-US" w:eastAsia="sv-SE"/>
        </w:rPr>
        <w:t xml:space="preserve">The HARQ-ACK codebook indicator is the same in all carriers and </w:t>
      </w:r>
      <w:proofErr w:type="spellStart"/>
      <w:r>
        <w:rPr>
          <w:color w:val="000000" w:themeColor="text1"/>
          <w:sz w:val="20"/>
          <w:lang w:val="en-US" w:eastAsia="sv-SE"/>
        </w:rPr>
        <w:t>subfr</w:t>
      </w:r>
      <w:r w:rsidR="004821CF">
        <w:rPr>
          <w:color w:val="000000" w:themeColor="text1"/>
          <w:sz w:val="20"/>
          <w:lang w:val="en-US" w:eastAsia="sv-SE"/>
        </w:rPr>
        <w:t>ames</w:t>
      </w:r>
      <w:proofErr w:type="spellEnd"/>
      <w:r w:rsidR="004821CF">
        <w:rPr>
          <w:color w:val="000000" w:themeColor="text1"/>
          <w:sz w:val="20"/>
          <w:lang w:val="en-US" w:eastAsia="sv-SE"/>
        </w:rPr>
        <w:t>.</w:t>
      </w:r>
      <w:r>
        <w:rPr>
          <w:color w:val="000000" w:themeColor="text1"/>
          <w:sz w:val="20"/>
          <w:lang w:val="en-US" w:eastAsia="sv-SE"/>
        </w:rPr>
        <w:t xml:space="preserve"> The UE reports a HARQ-ACK codebook based on the same set of carriers for all </w:t>
      </w:r>
      <w:proofErr w:type="spellStart"/>
      <w:r>
        <w:rPr>
          <w:color w:val="000000" w:themeColor="text1"/>
          <w:sz w:val="20"/>
          <w:lang w:val="en-US" w:eastAsia="sv-SE"/>
        </w:rPr>
        <w:t>s</w:t>
      </w:r>
      <w:r w:rsidR="001C23D6">
        <w:rPr>
          <w:color w:val="000000" w:themeColor="text1"/>
          <w:sz w:val="20"/>
          <w:lang w:val="en-US" w:eastAsia="sv-SE"/>
        </w:rPr>
        <w:t>ubframes</w:t>
      </w:r>
      <w:proofErr w:type="spellEnd"/>
      <w:r w:rsidR="001C23D6">
        <w:rPr>
          <w:color w:val="000000" w:themeColor="text1"/>
          <w:sz w:val="20"/>
          <w:lang w:val="en-US" w:eastAsia="sv-SE"/>
        </w:rPr>
        <w:t xml:space="preserve"> in a bundling window. </w:t>
      </w:r>
      <w:r w:rsidR="004B0926">
        <w:rPr>
          <w:color w:val="000000" w:themeColor="text1"/>
          <w:sz w:val="20"/>
          <w:lang w:val="en-US" w:eastAsia="sv-SE"/>
        </w:rPr>
        <w:t>This solution</w:t>
      </w:r>
      <w:r>
        <w:rPr>
          <w:color w:val="000000" w:themeColor="text1"/>
          <w:sz w:val="20"/>
          <w:lang w:val="en-US" w:eastAsia="sv-SE"/>
        </w:rPr>
        <w:t xml:space="preserve"> requires the scheduler to determine all carriers where DL transmission may occur for all </w:t>
      </w:r>
      <w:proofErr w:type="spellStart"/>
      <w:r>
        <w:rPr>
          <w:color w:val="000000" w:themeColor="text1"/>
          <w:sz w:val="20"/>
          <w:lang w:val="en-US" w:eastAsia="sv-SE"/>
        </w:rPr>
        <w:t>subframes</w:t>
      </w:r>
      <w:proofErr w:type="spellEnd"/>
      <w:r>
        <w:rPr>
          <w:color w:val="000000" w:themeColor="text1"/>
          <w:sz w:val="20"/>
          <w:lang w:val="en-US" w:eastAsia="sv-SE"/>
        </w:rPr>
        <w:t xml:space="preserve"> of a bundling window at the beginning of the bundling window.</w:t>
      </w:r>
    </w:p>
    <w:p w14:paraId="7E2B5EFD" w14:textId="0444CBB3" w:rsidR="003E0E49" w:rsidRPr="003E0E49" w:rsidRDefault="003E0E49" w:rsidP="008C3C63">
      <w:pPr>
        <w:rPr>
          <w:b/>
          <w:color w:val="000000" w:themeColor="text1"/>
          <w:sz w:val="20"/>
          <w:lang w:val="en-US" w:eastAsia="sv-SE"/>
        </w:rPr>
      </w:pPr>
      <w:r w:rsidRPr="003E0E49">
        <w:rPr>
          <w:b/>
          <w:color w:val="000000" w:themeColor="text1"/>
          <w:sz w:val="20"/>
          <w:lang w:val="en-US" w:eastAsia="sv-SE"/>
        </w:rPr>
        <w:t>Option 2:</w:t>
      </w:r>
    </w:p>
    <w:p w14:paraId="3F5D95B3" w14:textId="794AA59A" w:rsidR="003E0E49" w:rsidRDefault="003E0E49" w:rsidP="008C3C63">
      <w:pPr>
        <w:rPr>
          <w:color w:val="000000" w:themeColor="text1"/>
          <w:sz w:val="20"/>
          <w:lang w:val="en-US" w:eastAsia="sv-SE"/>
        </w:rPr>
      </w:pPr>
      <w:r>
        <w:rPr>
          <w:color w:val="000000" w:themeColor="text1"/>
          <w:sz w:val="20"/>
          <w:lang w:val="en-US" w:eastAsia="sv-SE"/>
        </w:rPr>
        <w:t xml:space="preserve">The HARQ-ACK codebook indicator is the same for all assignments of a </w:t>
      </w:r>
      <w:proofErr w:type="spellStart"/>
      <w:r>
        <w:rPr>
          <w:color w:val="000000" w:themeColor="text1"/>
          <w:sz w:val="20"/>
          <w:lang w:val="en-US" w:eastAsia="sv-SE"/>
        </w:rPr>
        <w:t>subframe</w:t>
      </w:r>
      <w:proofErr w:type="spellEnd"/>
      <w:r>
        <w:rPr>
          <w:color w:val="000000" w:themeColor="text1"/>
          <w:sz w:val="20"/>
          <w:lang w:val="en-US" w:eastAsia="sv-SE"/>
        </w:rPr>
        <w:t xml:space="preserve">, but can change on a </w:t>
      </w:r>
      <w:proofErr w:type="spellStart"/>
      <w:r>
        <w:rPr>
          <w:color w:val="000000" w:themeColor="text1"/>
          <w:sz w:val="20"/>
          <w:lang w:val="en-US" w:eastAsia="sv-SE"/>
        </w:rPr>
        <w:t>subframe</w:t>
      </w:r>
      <w:proofErr w:type="spellEnd"/>
      <w:r>
        <w:rPr>
          <w:color w:val="000000" w:themeColor="text1"/>
          <w:sz w:val="20"/>
          <w:lang w:val="en-US" w:eastAsia="sv-SE"/>
        </w:rPr>
        <w:t xml:space="preserve"> basis.  The UE reports a HARQ-ACK codebook based on the sets of carriers indicated for each respective </w:t>
      </w:r>
      <w:proofErr w:type="spellStart"/>
      <w:r>
        <w:rPr>
          <w:color w:val="000000" w:themeColor="text1"/>
          <w:sz w:val="20"/>
          <w:lang w:val="en-US" w:eastAsia="sv-SE"/>
        </w:rPr>
        <w:t>subframe</w:t>
      </w:r>
      <w:proofErr w:type="spellEnd"/>
      <w:r>
        <w:rPr>
          <w:color w:val="000000" w:themeColor="text1"/>
          <w:sz w:val="20"/>
          <w:lang w:val="en-US" w:eastAsia="sv-SE"/>
        </w:rPr>
        <w:t>.</w:t>
      </w:r>
    </w:p>
    <w:p w14:paraId="62AF9B0E" w14:textId="57122856" w:rsidR="003E0E49" w:rsidRPr="003E0E49" w:rsidRDefault="003E0E49" w:rsidP="008C3C63">
      <w:pPr>
        <w:rPr>
          <w:b/>
          <w:color w:val="000000" w:themeColor="text1"/>
          <w:sz w:val="20"/>
          <w:lang w:val="en-US" w:eastAsia="sv-SE"/>
        </w:rPr>
      </w:pPr>
      <w:r w:rsidRPr="003E0E49">
        <w:rPr>
          <w:b/>
          <w:color w:val="000000" w:themeColor="text1"/>
          <w:sz w:val="20"/>
          <w:lang w:val="en-US" w:eastAsia="sv-SE"/>
        </w:rPr>
        <w:t>Option 3:</w:t>
      </w:r>
    </w:p>
    <w:p w14:paraId="6F8EDF1C" w14:textId="44CD51AD" w:rsidR="003E0E49" w:rsidRDefault="003E0E49" w:rsidP="008C3C63">
      <w:pPr>
        <w:rPr>
          <w:color w:val="000000" w:themeColor="text1"/>
          <w:sz w:val="20"/>
          <w:lang w:val="en-US" w:eastAsia="sv-SE"/>
        </w:rPr>
      </w:pPr>
      <w:r>
        <w:rPr>
          <w:color w:val="000000" w:themeColor="text1"/>
          <w:sz w:val="20"/>
          <w:lang w:val="en-US" w:eastAsia="sv-SE"/>
        </w:rPr>
        <w:t xml:space="preserve">The HARQ-ACK codebook indicator is the same in all assignments of a </w:t>
      </w:r>
      <w:proofErr w:type="spellStart"/>
      <w:r>
        <w:rPr>
          <w:color w:val="000000" w:themeColor="text1"/>
          <w:sz w:val="20"/>
          <w:lang w:val="en-US" w:eastAsia="sv-SE"/>
        </w:rPr>
        <w:t>subframe</w:t>
      </w:r>
      <w:proofErr w:type="spellEnd"/>
      <w:r>
        <w:rPr>
          <w:color w:val="000000" w:themeColor="text1"/>
          <w:sz w:val="20"/>
          <w:lang w:val="en-US" w:eastAsia="sv-SE"/>
        </w:rPr>
        <w:t>, b</w:t>
      </w:r>
      <w:r w:rsidR="00042C9D">
        <w:rPr>
          <w:color w:val="000000" w:themeColor="text1"/>
          <w:sz w:val="20"/>
          <w:lang w:val="en-US" w:eastAsia="sv-SE"/>
        </w:rPr>
        <w:t xml:space="preserve">ut can change on a </w:t>
      </w:r>
      <w:proofErr w:type="spellStart"/>
      <w:r w:rsidR="00042C9D">
        <w:rPr>
          <w:color w:val="000000" w:themeColor="text1"/>
          <w:sz w:val="20"/>
          <w:lang w:val="en-US" w:eastAsia="sv-SE"/>
        </w:rPr>
        <w:t>subframe</w:t>
      </w:r>
      <w:proofErr w:type="spellEnd"/>
      <w:r w:rsidR="00042C9D">
        <w:rPr>
          <w:color w:val="000000" w:themeColor="text1"/>
          <w:sz w:val="20"/>
          <w:lang w:val="en-US" w:eastAsia="sv-SE"/>
        </w:rPr>
        <w:t xml:space="preserve"> basi</w:t>
      </w:r>
      <w:r>
        <w:rPr>
          <w:color w:val="000000" w:themeColor="text1"/>
          <w:sz w:val="20"/>
          <w:lang w:val="en-US" w:eastAsia="sv-SE"/>
        </w:rPr>
        <w:t xml:space="preserve">s.  The UE reports a HARQ-ACK codebook based on the same set of carriers for all </w:t>
      </w:r>
      <w:proofErr w:type="spellStart"/>
      <w:r>
        <w:rPr>
          <w:color w:val="000000" w:themeColor="text1"/>
          <w:sz w:val="20"/>
          <w:lang w:val="en-US" w:eastAsia="sv-SE"/>
        </w:rPr>
        <w:t>subframes</w:t>
      </w:r>
      <w:proofErr w:type="spellEnd"/>
      <w:r>
        <w:rPr>
          <w:color w:val="000000" w:themeColor="text1"/>
          <w:sz w:val="20"/>
          <w:lang w:val="en-US" w:eastAsia="sv-SE"/>
        </w:rPr>
        <w:t xml:space="preserve">. The set of carriers is the one indicated in the assignment(s) of the last </w:t>
      </w:r>
      <w:proofErr w:type="spellStart"/>
      <w:r>
        <w:rPr>
          <w:color w:val="000000" w:themeColor="text1"/>
          <w:sz w:val="20"/>
          <w:lang w:val="en-US" w:eastAsia="sv-SE"/>
        </w:rPr>
        <w:t>subframe</w:t>
      </w:r>
      <w:proofErr w:type="spellEnd"/>
      <w:r>
        <w:rPr>
          <w:color w:val="000000" w:themeColor="text1"/>
          <w:sz w:val="20"/>
          <w:lang w:val="en-US" w:eastAsia="sv-SE"/>
        </w:rPr>
        <w:t>.</w:t>
      </w:r>
    </w:p>
    <w:p w14:paraId="1F19AE29" w14:textId="373B1EB5" w:rsidR="00DE7C6D" w:rsidRDefault="00DE7C6D" w:rsidP="008C3C63">
      <w:pPr>
        <w:rPr>
          <w:color w:val="000000" w:themeColor="text1"/>
          <w:sz w:val="20"/>
          <w:lang w:val="en-US" w:eastAsia="sv-SE"/>
        </w:rPr>
      </w:pPr>
      <w:r>
        <w:rPr>
          <w:b/>
          <w:color w:val="000000" w:themeColor="text1"/>
          <w:sz w:val="20"/>
          <w:lang w:val="en-US" w:eastAsia="sv-SE"/>
        </w:rPr>
        <w:t>Option 4:</w:t>
      </w:r>
    </w:p>
    <w:p w14:paraId="4F2FA9F5" w14:textId="0F79FE34" w:rsidR="001C23D6" w:rsidRDefault="00DE7C6D" w:rsidP="008C3C63">
      <w:pPr>
        <w:rPr>
          <w:color w:val="000000" w:themeColor="text1"/>
          <w:sz w:val="20"/>
          <w:lang w:val="en-US" w:eastAsia="sv-SE"/>
        </w:rPr>
      </w:pPr>
      <w:r>
        <w:rPr>
          <w:color w:val="000000" w:themeColor="text1"/>
          <w:sz w:val="20"/>
          <w:lang w:val="en-US" w:eastAsia="sv-SE"/>
        </w:rPr>
        <w:t xml:space="preserve">Similar to Option 3, but where the set of carriers for which a UE reports a HARQ-ACK codebook is the largest one indicated in the assignment(s) across </w:t>
      </w:r>
      <w:proofErr w:type="spellStart"/>
      <w:r>
        <w:rPr>
          <w:color w:val="000000" w:themeColor="text1"/>
          <w:sz w:val="20"/>
          <w:lang w:val="en-US" w:eastAsia="sv-SE"/>
        </w:rPr>
        <w:t>subframes</w:t>
      </w:r>
      <w:proofErr w:type="spellEnd"/>
      <w:r>
        <w:rPr>
          <w:color w:val="000000" w:themeColor="text1"/>
          <w:sz w:val="20"/>
          <w:lang w:val="en-US" w:eastAsia="sv-SE"/>
        </w:rPr>
        <w:t xml:space="preserve"> in</w:t>
      </w:r>
      <w:r w:rsidR="001C23D6">
        <w:rPr>
          <w:color w:val="000000" w:themeColor="text1"/>
          <w:sz w:val="20"/>
          <w:lang w:val="en-US" w:eastAsia="sv-SE"/>
        </w:rPr>
        <w:t xml:space="preserve"> a same bundling windo</w:t>
      </w:r>
      <w:r w:rsidR="004B0926">
        <w:rPr>
          <w:color w:val="000000" w:themeColor="text1"/>
          <w:sz w:val="20"/>
          <w:lang w:val="en-US" w:eastAsia="sv-SE"/>
        </w:rPr>
        <w:t>w.</w:t>
      </w:r>
    </w:p>
    <w:p w14:paraId="5619C32B" w14:textId="0FBC43C8" w:rsidR="004B0926" w:rsidRDefault="004B0926" w:rsidP="008C3C63">
      <w:pPr>
        <w:rPr>
          <w:color w:val="000000" w:themeColor="text1"/>
          <w:sz w:val="20"/>
          <w:lang w:val="en-US" w:eastAsia="sv-SE"/>
        </w:rPr>
      </w:pPr>
      <w:r>
        <w:rPr>
          <w:color w:val="000000" w:themeColor="text1"/>
          <w:sz w:val="20"/>
          <w:lang w:val="en-US" w:eastAsia="sv-SE"/>
        </w:rPr>
        <w:t xml:space="preserve">The benefit of Option 2, 3 and 4 is that it is not necessary for the network to know in advance the set of carriers that may be scheduled in the last </w:t>
      </w:r>
      <w:proofErr w:type="spellStart"/>
      <w:r>
        <w:rPr>
          <w:color w:val="000000" w:themeColor="text1"/>
          <w:sz w:val="20"/>
          <w:lang w:val="en-US" w:eastAsia="sv-SE"/>
        </w:rPr>
        <w:t>subframe</w:t>
      </w:r>
      <w:proofErr w:type="spellEnd"/>
      <w:r>
        <w:rPr>
          <w:color w:val="000000" w:themeColor="text1"/>
          <w:sz w:val="20"/>
          <w:lang w:val="en-US" w:eastAsia="sv-SE"/>
        </w:rPr>
        <w:t xml:space="preserve"> of the window. Option 2 allows for a finer granularity of the codebook, while Options 3 and 4 offer robustness to the case where all downlink assignments in a </w:t>
      </w:r>
      <w:proofErr w:type="spellStart"/>
      <w:r>
        <w:rPr>
          <w:color w:val="000000" w:themeColor="text1"/>
          <w:sz w:val="20"/>
          <w:lang w:val="en-US" w:eastAsia="sv-SE"/>
        </w:rPr>
        <w:t>subframe</w:t>
      </w:r>
      <w:proofErr w:type="spellEnd"/>
      <w:r>
        <w:rPr>
          <w:color w:val="000000" w:themeColor="text1"/>
          <w:sz w:val="20"/>
          <w:lang w:val="en-US" w:eastAsia="sv-SE"/>
        </w:rPr>
        <w:t xml:space="preserve"> would be missed.</w:t>
      </w:r>
    </w:p>
    <w:p w14:paraId="0225BC75" w14:textId="340AAFEA" w:rsidR="00ED6566" w:rsidRPr="00892462" w:rsidRDefault="00ED6566" w:rsidP="00ED6566">
      <w:pPr>
        <w:rPr>
          <w:b/>
          <w:i/>
          <w:sz w:val="20"/>
          <w:lang w:eastAsia="sv-SE"/>
        </w:rPr>
      </w:pPr>
      <w:r w:rsidRPr="00892462">
        <w:rPr>
          <w:b/>
          <w:i/>
          <w:sz w:val="20"/>
          <w:lang w:eastAsia="sv-SE"/>
        </w:rPr>
        <w:t xml:space="preserve">Proposal </w:t>
      </w:r>
      <w:r w:rsidR="00C24E3A">
        <w:rPr>
          <w:b/>
          <w:i/>
          <w:sz w:val="20"/>
          <w:lang w:eastAsia="sv-SE"/>
        </w:rPr>
        <w:t>4</w:t>
      </w:r>
      <w:r w:rsidRPr="00892462">
        <w:rPr>
          <w:b/>
          <w:i/>
          <w:sz w:val="20"/>
          <w:lang w:eastAsia="sv-SE"/>
        </w:rPr>
        <w:t xml:space="preserve">: If a HARQ-ACK codebook indicator is introduced, </w:t>
      </w:r>
      <w:r>
        <w:rPr>
          <w:b/>
          <w:i/>
          <w:sz w:val="20"/>
          <w:lang w:eastAsia="sv-SE"/>
        </w:rPr>
        <w:t>for the TDD case</w:t>
      </w:r>
      <w:r w:rsidRPr="00892462">
        <w:rPr>
          <w:b/>
          <w:i/>
          <w:sz w:val="20"/>
          <w:lang w:eastAsia="sv-SE"/>
        </w:rPr>
        <w:t>:</w:t>
      </w:r>
    </w:p>
    <w:p w14:paraId="7CBB82BB" w14:textId="20A2E1C2" w:rsidR="00ED6566" w:rsidRPr="00892462" w:rsidRDefault="00ED6566" w:rsidP="00ED6566">
      <w:pPr>
        <w:pStyle w:val="ListParagraph"/>
        <w:numPr>
          <w:ilvl w:val="0"/>
          <w:numId w:val="50"/>
        </w:numPr>
        <w:rPr>
          <w:rFonts w:ascii="Times New Roman" w:hAnsi="Times New Roman"/>
          <w:b/>
          <w:i/>
          <w:sz w:val="20"/>
          <w:lang w:eastAsia="sv-SE"/>
        </w:rPr>
      </w:pPr>
      <w:r>
        <w:rPr>
          <w:rFonts w:ascii="Times New Roman" w:hAnsi="Times New Roman"/>
          <w:b/>
          <w:i/>
          <w:sz w:val="20"/>
          <w:lang w:eastAsia="sv-SE"/>
        </w:rPr>
        <w:t xml:space="preserve">The codebook indicator can change on a </w:t>
      </w:r>
      <w:proofErr w:type="spellStart"/>
      <w:r>
        <w:rPr>
          <w:rFonts w:ascii="Times New Roman" w:hAnsi="Times New Roman"/>
          <w:b/>
          <w:i/>
          <w:sz w:val="20"/>
          <w:lang w:eastAsia="sv-SE"/>
        </w:rPr>
        <w:t>subf</w:t>
      </w:r>
      <w:r w:rsidR="00E12C7B">
        <w:rPr>
          <w:rFonts w:ascii="Times New Roman" w:hAnsi="Times New Roman"/>
          <w:b/>
          <w:i/>
          <w:sz w:val="20"/>
          <w:lang w:eastAsia="sv-SE"/>
        </w:rPr>
        <w:t>rame</w:t>
      </w:r>
      <w:proofErr w:type="spellEnd"/>
      <w:r w:rsidR="00E12C7B">
        <w:rPr>
          <w:rFonts w:ascii="Times New Roman" w:hAnsi="Times New Roman"/>
          <w:b/>
          <w:i/>
          <w:sz w:val="20"/>
          <w:lang w:eastAsia="sv-SE"/>
        </w:rPr>
        <w:t xml:space="preserve"> basis in a bundling window.</w:t>
      </w:r>
    </w:p>
    <w:p w14:paraId="2E48914C" w14:textId="77777777" w:rsidR="00E12C7B" w:rsidRDefault="00E12C7B" w:rsidP="008C3C63">
      <w:pPr>
        <w:rPr>
          <w:b/>
          <w:color w:val="000000" w:themeColor="text1"/>
          <w:sz w:val="20"/>
          <w:lang w:val="en-US" w:eastAsia="sv-SE"/>
        </w:rPr>
      </w:pPr>
    </w:p>
    <w:p w14:paraId="4EFAB90B" w14:textId="3E0E2122" w:rsidR="00E12C7B" w:rsidRPr="00E12C7B" w:rsidRDefault="00E12C7B" w:rsidP="00E12C7B">
      <w:pPr>
        <w:pStyle w:val="Heading1"/>
        <w:rPr>
          <w:sz w:val="32"/>
          <w:lang w:val="en-US"/>
        </w:rPr>
      </w:pPr>
      <w:r w:rsidRPr="00E12C7B">
        <w:rPr>
          <w:sz w:val="32"/>
          <w:lang w:val="en-US"/>
        </w:rPr>
        <w:t>Discussion</w:t>
      </w:r>
    </w:p>
    <w:p w14:paraId="169DC788" w14:textId="77777777" w:rsidR="0051624C" w:rsidRDefault="004B0926" w:rsidP="008C3C63">
      <w:pPr>
        <w:rPr>
          <w:color w:val="000000" w:themeColor="text1"/>
          <w:sz w:val="20"/>
          <w:lang w:val="en-US" w:eastAsia="sv-SE"/>
        </w:rPr>
      </w:pPr>
      <w:r>
        <w:rPr>
          <w:color w:val="000000" w:themeColor="text1"/>
          <w:sz w:val="20"/>
          <w:lang w:val="en-US" w:eastAsia="sv-SE"/>
        </w:rPr>
        <w:t xml:space="preserve">When comparing the merits of the main alternatives (DAI or Codebook indicator), we think </w:t>
      </w:r>
      <w:r w:rsidR="0051624C">
        <w:rPr>
          <w:color w:val="000000" w:themeColor="text1"/>
          <w:sz w:val="20"/>
          <w:lang w:val="en-US" w:eastAsia="sv-SE"/>
        </w:rPr>
        <w:t xml:space="preserve">a typical target scenario of carrier aggregation up to 32 carriers should be taken into consideration. </w:t>
      </w:r>
    </w:p>
    <w:p w14:paraId="7010C8F8" w14:textId="31F159B9" w:rsidR="00E12C7B" w:rsidRDefault="0051624C" w:rsidP="008C3C63">
      <w:pPr>
        <w:rPr>
          <w:color w:val="000000" w:themeColor="text1"/>
          <w:sz w:val="20"/>
          <w:lang w:val="en-US" w:eastAsia="sv-SE"/>
        </w:rPr>
      </w:pPr>
      <w:r>
        <w:rPr>
          <w:color w:val="000000" w:themeColor="text1"/>
          <w:sz w:val="20"/>
          <w:lang w:val="en-US" w:eastAsia="sv-SE"/>
        </w:rPr>
        <w:t>A DAI-based solution might be beneficial in situations where downlink assignments are very sparsely scheduled among carriers because the resulting codebook can be made very small. For example, if the UE would be scheduled only in carriers 1 and 32, the DAI-based solution might achieve a smaller codebook size than a codebook indicator included in every DCI.</w:t>
      </w:r>
    </w:p>
    <w:p w14:paraId="532F497C" w14:textId="42DA78A0" w:rsidR="00463C49" w:rsidRDefault="0051624C" w:rsidP="008C3C63">
      <w:pPr>
        <w:rPr>
          <w:color w:val="000000" w:themeColor="text1"/>
          <w:sz w:val="20"/>
          <w:lang w:val="en-US" w:eastAsia="sv-SE"/>
        </w:rPr>
      </w:pPr>
      <w:r>
        <w:rPr>
          <w:color w:val="000000" w:themeColor="text1"/>
          <w:sz w:val="20"/>
          <w:lang w:val="en-US" w:eastAsia="sv-SE"/>
        </w:rPr>
        <w:t xml:space="preserve">On the other hand, a HARQ-ACK codebook indicator is advantageous in situations where downlink assignments are scheduled in a large number of carriers for a UE. The reason is that in this scenario </w:t>
      </w:r>
      <w:r w:rsidR="00463C49">
        <w:rPr>
          <w:color w:val="000000" w:themeColor="text1"/>
          <w:sz w:val="20"/>
          <w:lang w:val="en-US" w:eastAsia="sv-SE"/>
        </w:rPr>
        <w:t xml:space="preserve">the codebook indicator guarantees complete robustness even though </w:t>
      </w:r>
      <w:r>
        <w:rPr>
          <w:color w:val="000000" w:themeColor="text1"/>
          <w:sz w:val="20"/>
          <w:lang w:val="en-US" w:eastAsia="sv-SE"/>
        </w:rPr>
        <w:t>the probability of missing a large number of consecutive downlink assignments is higher</w:t>
      </w:r>
      <w:r w:rsidR="00463C49">
        <w:rPr>
          <w:color w:val="000000" w:themeColor="text1"/>
          <w:sz w:val="20"/>
          <w:lang w:val="en-US" w:eastAsia="sv-SE"/>
        </w:rPr>
        <w:t>. In addition, the HARQ-ACK codebook indicator still offer excellent efficiency even if a few downlink assignments are not transmitted in the indicated codebook, thanks to smart decoding at the network side. The fine granularity of the codebook offered by a DAI-based solution</w:t>
      </w:r>
      <w:r w:rsidR="00A037AE">
        <w:rPr>
          <w:color w:val="000000" w:themeColor="text1"/>
          <w:sz w:val="20"/>
          <w:lang w:val="en-US" w:eastAsia="sv-SE"/>
        </w:rPr>
        <w:t xml:space="preserve"> is not as beneficial in this situation.</w:t>
      </w:r>
    </w:p>
    <w:p w14:paraId="349AD705" w14:textId="7B98DD02" w:rsidR="00463C49" w:rsidRPr="00A037AE" w:rsidRDefault="00463C49" w:rsidP="008C3C63">
      <w:pPr>
        <w:rPr>
          <w:b/>
          <w:i/>
          <w:color w:val="000000" w:themeColor="text1"/>
          <w:sz w:val="20"/>
          <w:lang w:val="en-US" w:eastAsia="sv-SE"/>
        </w:rPr>
      </w:pPr>
      <w:r w:rsidRPr="00A037AE">
        <w:rPr>
          <w:b/>
          <w:i/>
          <w:color w:val="000000" w:themeColor="text1"/>
          <w:sz w:val="20"/>
          <w:lang w:val="en-US" w:eastAsia="sv-SE"/>
        </w:rPr>
        <w:t>Observation:</w:t>
      </w:r>
    </w:p>
    <w:p w14:paraId="3337B7F4" w14:textId="41775836" w:rsidR="00463C49" w:rsidRPr="00A037AE" w:rsidRDefault="00463C49" w:rsidP="008C3C63">
      <w:pPr>
        <w:rPr>
          <w:b/>
          <w:i/>
          <w:color w:val="000000" w:themeColor="text1"/>
          <w:sz w:val="20"/>
          <w:lang w:val="en-US" w:eastAsia="sv-SE"/>
        </w:rPr>
      </w:pPr>
      <w:r w:rsidRPr="00A037AE">
        <w:rPr>
          <w:b/>
          <w:i/>
          <w:color w:val="000000" w:themeColor="text1"/>
          <w:sz w:val="20"/>
          <w:lang w:val="en-US" w:eastAsia="sv-SE"/>
        </w:rPr>
        <w:t xml:space="preserve">In a typical </w:t>
      </w:r>
      <w:r w:rsidR="00A037AE" w:rsidRPr="00A037AE">
        <w:rPr>
          <w:b/>
          <w:i/>
          <w:color w:val="000000" w:themeColor="text1"/>
          <w:sz w:val="20"/>
          <w:lang w:val="en-US" w:eastAsia="sv-SE"/>
        </w:rPr>
        <w:t>scheduling situation where downlink assignments are scheduled in a large number of carriers:</w:t>
      </w:r>
    </w:p>
    <w:p w14:paraId="52527C4C" w14:textId="4F4E8D77" w:rsidR="00A037AE" w:rsidRPr="00A037AE" w:rsidRDefault="00A037AE" w:rsidP="00A037AE">
      <w:pPr>
        <w:pStyle w:val="ListParagraph"/>
        <w:numPr>
          <w:ilvl w:val="0"/>
          <w:numId w:val="50"/>
        </w:numPr>
        <w:rPr>
          <w:rFonts w:ascii="Times New Roman" w:hAnsi="Times New Roman"/>
          <w:b/>
          <w:i/>
          <w:color w:val="000000" w:themeColor="text1"/>
          <w:sz w:val="20"/>
          <w:lang w:eastAsia="sv-SE"/>
        </w:rPr>
      </w:pPr>
      <w:r w:rsidRPr="00A037AE">
        <w:rPr>
          <w:rFonts w:ascii="Times New Roman" w:hAnsi="Times New Roman"/>
          <w:b/>
          <w:i/>
          <w:color w:val="000000" w:themeColor="text1"/>
          <w:sz w:val="20"/>
          <w:lang w:eastAsia="sv-SE"/>
        </w:rPr>
        <w:t>The robustness benefit of the HARQ-ACK codebook indicator solution is more significant</w:t>
      </w:r>
    </w:p>
    <w:p w14:paraId="5B5D5C0D" w14:textId="705F873B" w:rsidR="00A037AE" w:rsidRPr="00A037AE" w:rsidRDefault="00A037AE" w:rsidP="00A037AE">
      <w:pPr>
        <w:pStyle w:val="ListParagraph"/>
        <w:numPr>
          <w:ilvl w:val="0"/>
          <w:numId w:val="50"/>
        </w:numPr>
        <w:rPr>
          <w:rFonts w:ascii="Times New Roman" w:hAnsi="Times New Roman"/>
          <w:b/>
          <w:i/>
          <w:color w:val="000000" w:themeColor="text1"/>
          <w:sz w:val="20"/>
          <w:lang w:eastAsia="sv-SE"/>
        </w:rPr>
      </w:pPr>
      <w:r w:rsidRPr="00A037AE">
        <w:rPr>
          <w:rFonts w:ascii="Times New Roman" w:hAnsi="Times New Roman"/>
          <w:b/>
          <w:i/>
          <w:color w:val="000000" w:themeColor="text1"/>
          <w:sz w:val="20"/>
          <w:lang w:eastAsia="sv-SE"/>
        </w:rPr>
        <w:t xml:space="preserve">The </w:t>
      </w:r>
      <w:r w:rsidR="003D2084">
        <w:rPr>
          <w:rFonts w:ascii="Times New Roman" w:hAnsi="Times New Roman"/>
          <w:b/>
          <w:i/>
          <w:color w:val="000000" w:themeColor="text1"/>
          <w:sz w:val="20"/>
          <w:lang w:eastAsia="sv-SE"/>
        </w:rPr>
        <w:t xml:space="preserve">codebook size </w:t>
      </w:r>
      <w:r w:rsidRPr="00A037AE">
        <w:rPr>
          <w:rFonts w:ascii="Times New Roman" w:hAnsi="Times New Roman"/>
          <w:b/>
          <w:i/>
          <w:color w:val="000000" w:themeColor="text1"/>
          <w:sz w:val="20"/>
          <w:lang w:eastAsia="sv-SE"/>
        </w:rPr>
        <w:t>granularity benefit of the DAI-based solution is less significant</w:t>
      </w:r>
    </w:p>
    <w:p w14:paraId="1395FA81" w14:textId="77777777" w:rsidR="00A037AE" w:rsidRDefault="00A037AE" w:rsidP="00A037AE">
      <w:pPr>
        <w:rPr>
          <w:color w:val="000000" w:themeColor="text1"/>
          <w:sz w:val="20"/>
          <w:lang w:eastAsia="sv-SE"/>
        </w:rPr>
      </w:pPr>
    </w:p>
    <w:p w14:paraId="4A8AC756" w14:textId="490DFCEB" w:rsidR="00A037AE" w:rsidRPr="00A037AE" w:rsidRDefault="00A037AE" w:rsidP="00A037AE">
      <w:pPr>
        <w:rPr>
          <w:color w:val="000000" w:themeColor="text1"/>
          <w:sz w:val="20"/>
          <w:lang w:eastAsia="sv-SE"/>
        </w:rPr>
      </w:pPr>
      <w:r>
        <w:rPr>
          <w:color w:val="000000" w:themeColor="text1"/>
          <w:sz w:val="20"/>
          <w:lang w:eastAsia="sv-SE"/>
        </w:rPr>
        <w:t>Considering the above, our recommendation is to adopt a solution based on introduction of HARQ-ACK codebook indicator for dynamic codebook adaptation in R13.</w:t>
      </w:r>
    </w:p>
    <w:p w14:paraId="5C67D6A8" w14:textId="668EFA88" w:rsidR="00DE7C6D" w:rsidRDefault="0041407C" w:rsidP="00DE7C6D">
      <w:pPr>
        <w:rPr>
          <w:color w:val="000000" w:themeColor="text1"/>
          <w:sz w:val="20"/>
          <w:lang w:eastAsia="sv-SE"/>
        </w:rPr>
      </w:pPr>
      <w:r>
        <w:rPr>
          <w:b/>
          <w:i/>
          <w:color w:val="000000" w:themeColor="text1"/>
          <w:sz w:val="20"/>
          <w:lang w:eastAsia="sv-SE"/>
        </w:rPr>
        <w:t xml:space="preserve">Proposal </w:t>
      </w:r>
      <w:r w:rsidR="00C24E3A">
        <w:rPr>
          <w:b/>
          <w:i/>
          <w:color w:val="000000" w:themeColor="text1"/>
          <w:sz w:val="20"/>
          <w:lang w:eastAsia="sv-SE"/>
        </w:rPr>
        <w:t>5</w:t>
      </w:r>
      <w:r w:rsidR="00DE7C6D">
        <w:rPr>
          <w:b/>
          <w:i/>
          <w:color w:val="000000" w:themeColor="text1"/>
          <w:sz w:val="20"/>
          <w:lang w:eastAsia="sv-SE"/>
        </w:rPr>
        <w:t xml:space="preserve">: </w:t>
      </w:r>
      <w:r w:rsidR="00A037AE">
        <w:rPr>
          <w:b/>
          <w:i/>
          <w:color w:val="000000" w:themeColor="text1"/>
          <w:sz w:val="20"/>
          <w:lang w:eastAsia="sv-SE"/>
        </w:rPr>
        <w:t xml:space="preserve">For dynamic determination of HARQ-ACK codebook size, introduce a HARQ-ACK codebook indicator </w:t>
      </w:r>
      <w:r w:rsidR="00A037AE" w:rsidRPr="00ED6566">
        <w:rPr>
          <w:b/>
          <w:i/>
          <w:sz w:val="20"/>
          <w:lang w:val="en-US"/>
        </w:rPr>
        <w:t>indicat</w:t>
      </w:r>
      <w:r w:rsidR="00A037AE">
        <w:rPr>
          <w:b/>
          <w:i/>
          <w:sz w:val="20"/>
          <w:lang w:val="en-US"/>
        </w:rPr>
        <w:t>ing</w:t>
      </w:r>
      <w:r w:rsidR="00A037AE" w:rsidRPr="00ED6566">
        <w:rPr>
          <w:b/>
          <w:i/>
          <w:sz w:val="20"/>
          <w:lang w:val="en-US"/>
        </w:rPr>
        <w:t xml:space="preserve"> the group(s) of carriers for which a UE is expected to report HARQ A/N.</w:t>
      </w:r>
    </w:p>
    <w:p w14:paraId="406B2F2C" w14:textId="77777777" w:rsidR="003B624D" w:rsidRPr="0041407C" w:rsidRDefault="003B624D" w:rsidP="00FA0BE7">
      <w:pPr>
        <w:rPr>
          <w:sz w:val="20"/>
          <w:lang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6B3081A8" w14:textId="4AFD02E2" w:rsidR="003D2084" w:rsidRDefault="00A5095C" w:rsidP="00A5095C">
      <w:pPr>
        <w:rPr>
          <w:sz w:val="20"/>
          <w:lang w:val="en-US"/>
        </w:rPr>
      </w:pPr>
      <w:r>
        <w:rPr>
          <w:sz w:val="20"/>
          <w:lang w:val="en-US"/>
        </w:rPr>
        <w:t xml:space="preserve">In this contribution, </w:t>
      </w:r>
      <w:r w:rsidR="003B624D">
        <w:rPr>
          <w:sz w:val="20"/>
          <w:lang w:val="en-US"/>
        </w:rPr>
        <w:t>we discuss</w:t>
      </w:r>
      <w:r w:rsidR="003D2084">
        <w:rPr>
          <w:sz w:val="20"/>
          <w:lang w:val="en-US"/>
        </w:rPr>
        <w:t>ed</w:t>
      </w:r>
      <w:r w:rsidR="003B624D">
        <w:rPr>
          <w:sz w:val="20"/>
          <w:lang w:val="en-US"/>
        </w:rPr>
        <w:t xml:space="preserve"> </w:t>
      </w:r>
      <w:r w:rsidR="003D2084">
        <w:rPr>
          <w:sz w:val="20"/>
          <w:lang w:val="en-US"/>
        </w:rPr>
        <w:t>solutions</w:t>
      </w:r>
      <w:r w:rsidR="003B624D">
        <w:rPr>
          <w:sz w:val="20"/>
          <w:lang w:val="en-US"/>
        </w:rPr>
        <w:t xml:space="preserve"> to dynamically determine the appropriate HARQ-ACK codebook.</w:t>
      </w:r>
      <w:r w:rsidR="003D2084">
        <w:rPr>
          <w:sz w:val="20"/>
          <w:lang w:val="en-US"/>
        </w:rPr>
        <w:t xml:space="preserve"> </w:t>
      </w:r>
      <w:r w:rsidR="003B624D">
        <w:rPr>
          <w:sz w:val="20"/>
          <w:lang w:val="en-US"/>
        </w:rPr>
        <w:t xml:space="preserve">We </w:t>
      </w:r>
      <w:r w:rsidR="003D2084">
        <w:rPr>
          <w:sz w:val="20"/>
          <w:lang w:val="en-US"/>
        </w:rPr>
        <w:t>analyzed both solutions based on use of DAI and solutions based on a HARQ-ACK codebook indicator, and made several proposals conditional to the introduction of one of these solutions in the standard:</w:t>
      </w:r>
    </w:p>
    <w:p w14:paraId="70A6A156" w14:textId="77777777" w:rsidR="00C24E3A" w:rsidRPr="00AA376B" w:rsidRDefault="00C24E3A" w:rsidP="00C24E3A">
      <w:pPr>
        <w:rPr>
          <w:b/>
          <w:i/>
          <w:sz w:val="20"/>
          <w:lang w:eastAsia="sv-SE"/>
        </w:rPr>
      </w:pPr>
      <w:r w:rsidRPr="00AA376B">
        <w:rPr>
          <w:b/>
          <w:i/>
          <w:sz w:val="20"/>
          <w:lang w:eastAsia="sv-SE"/>
        </w:rPr>
        <w:t xml:space="preserve">Proposal 1: If a DAI-based solution is </w:t>
      </w:r>
      <w:r>
        <w:rPr>
          <w:b/>
          <w:i/>
          <w:sz w:val="20"/>
          <w:lang w:eastAsia="sv-SE"/>
        </w:rPr>
        <w:t>introduced:</w:t>
      </w:r>
    </w:p>
    <w:p w14:paraId="438866AA" w14:textId="77777777" w:rsidR="00C24E3A" w:rsidRPr="00AA376B" w:rsidRDefault="00C24E3A" w:rsidP="00C24E3A">
      <w:pPr>
        <w:pStyle w:val="ListParagraph"/>
        <w:numPr>
          <w:ilvl w:val="0"/>
          <w:numId w:val="50"/>
        </w:numPr>
        <w:rPr>
          <w:rFonts w:ascii="Times New Roman" w:hAnsi="Times New Roman"/>
          <w:b/>
          <w:i/>
          <w:sz w:val="20"/>
          <w:lang w:eastAsia="sv-SE"/>
        </w:rPr>
      </w:pPr>
      <w:r w:rsidRPr="00AA376B">
        <w:rPr>
          <w:rFonts w:ascii="Times New Roman" w:hAnsi="Times New Roman"/>
          <w:b/>
          <w:i/>
          <w:sz w:val="20"/>
          <w:lang w:eastAsia="sv-SE"/>
        </w:rPr>
        <w:t>Replacement of DAI with an explicit indication of codebook size in DCI’s selected by network should be supported.</w:t>
      </w:r>
    </w:p>
    <w:p w14:paraId="62D75C80" w14:textId="77777777" w:rsidR="00C24E3A" w:rsidRPr="00AA376B" w:rsidRDefault="00C24E3A" w:rsidP="00C24E3A">
      <w:pPr>
        <w:pStyle w:val="ListParagraph"/>
        <w:numPr>
          <w:ilvl w:val="0"/>
          <w:numId w:val="50"/>
        </w:numPr>
        <w:rPr>
          <w:rFonts w:ascii="Times New Roman" w:hAnsi="Times New Roman"/>
          <w:b/>
          <w:i/>
          <w:sz w:val="20"/>
          <w:lang w:eastAsia="sv-SE"/>
        </w:rPr>
      </w:pPr>
      <w:r w:rsidRPr="00AA376B">
        <w:rPr>
          <w:rFonts w:ascii="Times New Roman" w:hAnsi="Times New Roman"/>
          <w:b/>
          <w:i/>
          <w:sz w:val="20"/>
          <w:lang w:eastAsia="sv-SE"/>
        </w:rPr>
        <w:t>The UE is required to decode at least one DCI containing a codebook size indication, otherwise no HARQ-ACK feedback is reported.</w:t>
      </w:r>
    </w:p>
    <w:p w14:paraId="1CC96E8E" w14:textId="77777777" w:rsidR="00C24E3A" w:rsidRDefault="00C24E3A" w:rsidP="00A5095C">
      <w:pPr>
        <w:rPr>
          <w:sz w:val="20"/>
          <w:lang w:val="en-US"/>
        </w:rPr>
      </w:pPr>
    </w:p>
    <w:p w14:paraId="45775DE0" w14:textId="77777777" w:rsidR="00C24E3A" w:rsidRDefault="00C24E3A" w:rsidP="00C24E3A">
      <w:pPr>
        <w:rPr>
          <w:b/>
          <w:i/>
          <w:sz w:val="20"/>
          <w:lang w:val="en-US"/>
        </w:rPr>
      </w:pPr>
      <w:r>
        <w:rPr>
          <w:b/>
          <w:i/>
          <w:sz w:val="20"/>
          <w:lang w:val="en-US"/>
        </w:rPr>
        <w:t>Proposal 2: If a HARQ-ACK Codebook Indicator is introduced:</w:t>
      </w:r>
    </w:p>
    <w:p w14:paraId="0F593677" w14:textId="77777777" w:rsidR="00C24E3A" w:rsidRPr="00ED6566" w:rsidRDefault="00C24E3A" w:rsidP="00C24E3A">
      <w:pPr>
        <w:pStyle w:val="ListParagraph"/>
        <w:numPr>
          <w:ilvl w:val="0"/>
          <w:numId w:val="50"/>
        </w:numPr>
        <w:rPr>
          <w:rFonts w:ascii="Times New Roman" w:hAnsi="Times New Roman"/>
          <w:b/>
          <w:i/>
          <w:sz w:val="20"/>
        </w:rPr>
      </w:pPr>
      <w:r w:rsidRPr="00ED6566">
        <w:rPr>
          <w:rFonts w:ascii="Times New Roman" w:hAnsi="Times New Roman"/>
          <w:b/>
          <w:i/>
          <w:sz w:val="20"/>
        </w:rPr>
        <w:t xml:space="preserve">The Codebook Indicator indicates the group(s) of carriers for which a UE is expected to report HARQ A/N. </w:t>
      </w:r>
    </w:p>
    <w:p w14:paraId="76A2F33B" w14:textId="77777777" w:rsidR="00C24E3A" w:rsidRDefault="00C24E3A" w:rsidP="00A5095C">
      <w:pPr>
        <w:rPr>
          <w:sz w:val="20"/>
          <w:lang w:val="en-US"/>
        </w:rPr>
      </w:pPr>
    </w:p>
    <w:p w14:paraId="73EDF101" w14:textId="77777777" w:rsidR="00C24E3A" w:rsidRPr="00892462" w:rsidRDefault="00C24E3A" w:rsidP="00C24E3A">
      <w:pPr>
        <w:rPr>
          <w:b/>
          <w:i/>
          <w:sz w:val="20"/>
          <w:lang w:eastAsia="sv-SE"/>
        </w:rPr>
      </w:pPr>
      <w:r w:rsidRPr="00892462">
        <w:rPr>
          <w:b/>
          <w:i/>
          <w:sz w:val="20"/>
          <w:lang w:eastAsia="sv-SE"/>
        </w:rPr>
        <w:t xml:space="preserve">Proposal </w:t>
      </w:r>
      <w:r>
        <w:rPr>
          <w:b/>
          <w:i/>
          <w:sz w:val="20"/>
          <w:lang w:eastAsia="sv-SE"/>
        </w:rPr>
        <w:t>3</w:t>
      </w:r>
      <w:r w:rsidRPr="00892462">
        <w:rPr>
          <w:b/>
          <w:i/>
          <w:sz w:val="20"/>
          <w:lang w:eastAsia="sv-SE"/>
        </w:rPr>
        <w:t>: If a HARQ-ACK codebook indicator is introduced, select between the following options:</w:t>
      </w:r>
    </w:p>
    <w:p w14:paraId="0A43A675" w14:textId="77777777" w:rsidR="00C24E3A" w:rsidRPr="00892462" w:rsidRDefault="00C24E3A" w:rsidP="00C24E3A">
      <w:pPr>
        <w:pStyle w:val="ListParagraph"/>
        <w:numPr>
          <w:ilvl w:val="0"/>
          <w:numId w:val="50"/>
        </w:numPr>
        <w:rPr>
          <w:rFonts w:ascii="Times New Roman" w:hAnsi="Times New Roman"/>
          <w:b/>
          <w:i/>
          <w:sz w:val="20"/>
          <w:lang w:eastAsia="sv-SE"/>
        </w:rPr>
      </w:pPr>
      <w:r w:rsidRPr="00892462">
        <w:rPr>
          <w:rFonts w:ascii="Times New Roman" w:hAnsi="Times New Roman"/>
          <w:b/>
          <w:i/>
          <w:sz w:val="20"/>
          <w:lang w:eastAsia="sv-SE"/>
        </w:rPr>
        <w:t>Include HARQ-ACK codebook indicator in every DCI containing a downlink assignment; or</w:t>
      </w:r>
    </w:p>
    <w:p w14:paraId="605589FA" w14:textId="77777777" w:rsidR="00C24E3A" w:rsidRPr="00892462" w:rsidRDefault="00C24E3A" w:rsidP="00C24E3A">
      <w:pPr>
        <w:pStyle w:val="ListParagraph"/>
        <w:numPr>
          <w:ilvl w:val="0"/>
          <w:numId w:val="50"/>
        </w:numPr>
        <w:rPr>
          <w:rFonts w:ascii="Times New Roman" w:hAnsi="Times New Roman"/>
          <w:b/>
          <w:i/>
          <w:sz w:val="20"/>
          <w:lang w:eastAsia="sv-SE"/>
        </w:rPr>
      </w:pPr>
      <w:r w:rsidRPr="00892462">
        <w:rPr>
          <w:rFonts w:ascii="Times New Roman" w:hAnsi="Times New Roman"/>
          <w:b/>
          <w:i/>
          <w:sz w:val="20"/>
          <w:lang w:eastAsia="sv-SE"/>
        </w:rPr>
        <w:t>Include HARQ-ACK codebook indicator in a new DCI transmitted separately.</w:t>
      </w:r>
    </w:p>
    <w:p w14:paraId="1D662D8B" w14:textId="77777777" w:rsidR="00C24E3A" w:rsidRDefault="00C24E3A" w:rsidP="00A5095C">
      <w:pPr>
        <w:rPr>
          <w:sz w:val="20"/>
          <w:lang w:val="en-US"/>
        </w:rPr>
      </w:pPr>
    </w:p>
    <w:p w14:paraId="046C3376" w14:textId="77777777" w:rsidR="00C24E3A" w:rsidRPr="00892462" w:rsidRDefault="00C24E3A" w:rsidP="00C24E3A">
      <w:pPr>
        <w:rPr>
          <w:b/>
          <w:i/>
          <w:sz w:val="20"/>
          <w:lang w:eastAsia="sv-SE"/>
        </w:rPr>
      </w:pPr>
      <w:r w:rsidRPr="00892462">
        <w:rPr>
          <w:b/>
          <w:i/>
          <w:sz w:val="20"/>
          <w:lang w:eastAsia="sv-SE"/>
        </w:rPr>
        <w:t xml:space="preserve">Proposal </w:t>
      </w:r>
      <w:r>
        <w:rPr>
          <w:b/>
          <w:i/>
          <w:sz w:val="20"/>
          <w:lang w:eastAsia="sv-SE"/>
        </w:rPr>
        <w:t>4</w:t>
      </w:r>
      <w:r w:rsidRPr="00892462">
        <w:rPr>
          <w:b/>
          <w:i/>
          <w:sz w:val="20"/>
          <w:lang w:eastAsia="sv-SE"/>
        </w:rPr>
        <w:t xml:space="preserve">: If a HARQ-ACK codebook indicator is introduced, </w:t>
      </w:r>
      <w:r>
        <w:rPr>
          <w:b/>
          <w:i/>
          <w:sz w:val="20"/>
          <w:lang w:eastAsia="sv-SE"/>
        </w:rPr>
        <w:t>for the TDD case</w:t>
      </w:r>
      <w:r w:rsidRPr="00892462">
        <w:rPr>
          <w:b/>
          <w:i/>
          <w:sz w:val="20"/>
          <w:lang w:eastAsia="sv-SE"/>
        </w:rPr>
        <w:t>:</w:t>
      </w:r>
    </w:p>
    <w:p w14:paraId="45FED929" w14:textId="77777777" w:rsidR="00C24E3A" w:rsidRPr="00892462" w:rsidRDefault="00C24E3A" w:rsidP="00C24E3A">
      <w:pPr>
        <w:pStyle w:val="ListParagraph"/>
        <w:numPr>
          <w:ilvl w:val="0"/>
          <w:numId w:val="50"/>
        </w:numPr>
        <w:rPr>
          <w:rFonts w:ascii="Times New Roman" w:hAnsi="Times New Roman"/>
          <w:b/>
          <w:i/>
          <w:sz w:val="20"/>
          <w:lang w:eastAsia="sv-SE"/>
        </w:rPr>
      </w:pPr>
      <w:r>
        <w:rPr>
          <w:rFonts w:ascii="Times New Roman" w:hAnsi="Times New Roman"/>
          <w:b/>
          <w:i/>
          <w:sz w:val="20"/>
          <w:lang w:eastAsia="sv-SE"/>
        </w:rPr>
        <w:t xml:space="preserve">The codebook indicator can change on a </w:t>
      </w:r>
      <w:proofErr w:type="spellStart"/>
      <w:r>
        <w:rPr>
          <w:rFonts w:ascii="Times New Roman" w:hAnsi="Times New Roman"/>
          <w:b/>
          <w:i/>
          <w:sz w:val="20"/>
          <w:lang w:eastAsia="sv-SE"/>
        </w:rPr>
        <w:t>subframe</w:t>
      </w:r>
      <w:proofErr w:type="spellEnd"/>
      <w:r>
        <w:rPr>
          <w:rFonts w:ascii="Times New Roman" w:hAnsi="Times New Roman"/>
          <w:b/>
          <w:i/>
          <w:sz w:val="20"/>
          <w:lang w:eastAsia="sv-SE"/>
        </w:rPr>
        <w:t xml:space="preserve"> basis in a bundling window.</w:t>
      </w:r>
    </w:p>
    <w:p w14:paraId="48A887BD" w14:textId="77777777" w:rsidR="00C24E3A" w:rsidRDefault="00C24E3A" w:rsidP="00A5095C">
      <w:pPr>
        <w:rPr>
          <w:sz w:val="20"/>
          <w:lang w:val="en-US"/>
        </w:rPr>
      </w:pPr>
    </w:p>
    <w:p w14:paraId="67647409" w14:textId="62B0303C" w:rsidR="003D2084" w:rsidRDefault="003D2084" w:rsidP="00A5095C">
      <w:pPr>
        <w:rPr>
          <w:sz w:val="20"/>
          <w:lang w:val="en-US"/>
        </w:rPr>
      </w:pPr>
      <w:r>
        <w:rPr>
          <w:sz w:val="20"/>
          <w:lang w:val="en-US"/>
        </w:rPr>
        <w:t xml:space="preserve">Based on considerations on the most typical scenario that we believe should be targeted for the </w:t>
      </w:r>
      <w:r w:rsidR="00CE04E8">
        <w:rPr>
          <w:sz w:val="20"/>
          <w:lang w:val="en-US"/>
        </w:rPr>
        <w:t xml:space="preserve">design of the </w:t>
      </w:r>
      <w:bookmarkStart w:id="2" w:name="_GoBack"/>
      <w:bookmarkEnd w:id="2"/>
      <w:r>
        <w:rPr>
          <w:sz w:val="20"/>
          <w:lang w:val="en-US"/>
        </w:rPr>
        <w:t>feature, we then make the following observation and proposal on the solution that should be adopted:</w:t>
      </w:r>
    </w:p>
    <w:p w14:paraId="570EB3BC" w14:textId="77777777" w:rsidR="00C24E3A" w:rsidRPr="00A037AE" w:rsidRDefault="00C24E3A" w:rsidP="00C24E3A">
      <w:pPr>
        <w:rPr>
          <w:b/>
          <w:i/>
          <w:color w:val="000000" w:themeColor="text1"/>
          <w:sz w:val="20"/>
          <w:lang w:val="en-US" w:eastAsia="sv-SE"/>
        </w:rPr>
      </w:pPr>
      <w:r w:rsidRPr="00A037AE">
        <w:rPr>
          <w:b/>
          <w:i/>
          <w:color w:val="000000" w:themeColor="text1"/>
          <w:sz w:val="20"/>
          <w:lang w:val="en-US" w:eastAsia="sv-SE"/>
        </w:rPr>
        <w:t>Observation:</w:t>
      </w:r>
    </w:p>
    <w:p w14:paraId="6A12270F" w14:textId="77777777" w:rsidR="00C24E3A" w:rsidRPr="00A037AE" w:rsidRDefault="00C24E3A" w:rsidP="00C24E3A">
      <w:pPr>
        <w:rPr>
          <w:b/>
          <w:i/>
          <w:color w:val="000000" w:themeColor="text1"/>
          <w:sz w:val="20"/>
          <w:lang w:val="en-US" w:eastAsia="sv-SE"/>
        </w:rPr>
      </w:pPr>
      <w:r w:rsidRPr="00A037AE">
        <w:rPr>
          <w:b/>
          <w:i/>
          <w:color w:val="000000" w:themeColor="text1"/>
          <w:sz w:val="20"/>
          <w:lang w:val="en-US" w:eastAsia="sv-SE"/>
        </w:rPr>
        <w:t>In a typical scheduling situation where downlink assignments are scheduled in a large number of carriers:</w:t>
      </w:r>
    </w:p>
    <w:p w14:paraId="55715CA4" w14:textId="77777777" w:rsidR="00C24E3A" w:rsidRPr="00A037AE" w:rsidRDefault="00C24E3A" w:rsidP="00C24E3A">
      <w:pPr>
        <w:pStyle w:val="ListParagraph"/>
        <w:numPr>
          <w:ilvl w:val="0"/>
          <w:numId w:val="50"/>
        </w:numPr>
        <w:rPr>
          <w:rFonts w:ascii="Times New Roman" w:hAnsi="Times New Roman"/>
          <w:b/>
          <w:i/>
          <w:color w:val="000000" w:themeColor="text1"/>
          <w:sz w:val="20"/>
          <w:lang w:eastAsia="sv-SE"/>
        </w:rPr>
      </w:pPr>
      <w:r w:rsidRPr="00A037AE">
        <w:rPr>
          <w:rFonts w:ascii="Times New Roman" w:hAnsi="Times New Roman"/>
          <w:b/>
          <w:i/>
          <w:color w:val="000000" w:themeColor="text1"/>
          <w:sz w:val="20"/>
          <w:lang w:eastAsia="sv-SE"/>
        </w:rPr>
        <w:t>The robustness benefit of the HARQ-ACK codebook indicator solution is more significant</w:t>
      </w:r>
    </w:p>
    <w:p w14:paraId="78FBD285" w14:textId="36583113" w:rsidR="00C24E3A" w:rsidRPr="00A037AE" w:rsidRDefault="00C24E3A" w:rsidP="00C24E3A">
      <w:pPr>
        <w:pStyle w:val="ListParagraph"/>
        <w:numPr>
          <w:ilvl w:val="0"/>
          <w:numId w:val="50"/>
        </w:numPr>
        <w:rPr>
          <w:rFonts w:ascii="Times New Roman" w:hAnsi="Times New Roman"/>
          <w:b/>
          <w:i/>
          <w:color w:val="000000" w:themeColor="text1"/>
          <w:sz w:val="20"/>
          <w:lang w:eastAsia="sv-SE"/>
        </w:rPr>
      </w:pPr>
      <w:r w:rsidRPr="00A037AE">
        <w:rPr>
          <w:rFonts w:ascii="Times New Roman" w:hAnsi="Times New Roman"/>
          <w:b/>
          <w:i/>
          <w:color w:val="000000" w:themeColor="text1"/>
          <w:sz w:val="20"/>
          <w:lang w:eastAsia="sv-SE"/>
        </w:rPr>
        <w:t xml:space="preserve">The </w:t>
      </w:r>
      <w:r w:rsidR="003D2084">
        <w:rPr>
          <w:rFonts w:ascii="Times New Roman" w:hAnsi="Times New Roman"/>
          <w:b/>
          <w:i/>
          <w:color w:val="000000" w:themeColor="text1"/>
          <w:sz w:val="20"/>
          <w:lang w:eastAsia="sv-SE"/>
        </w:rPr>
        <w:t xml:space="preserve">codebook size </w:t>
      </w:r>
      <w:r w:rsidRPr="00A037AE">
        <w:rPr>
          <w:rFonts w:ascii="Times New Roman" w:hAnsi="Times New Roman"/>
          <w:b/>
          <w:i/>
          <w:color w:val="000000" w:themeColor="text1"/>
          <w:sz w:val="20"/>
          <w:lang w:eastAsia="sv-SE"/>
        </w:rPr>
        <w:t>granularity benefit of the DAI-based solution is less significant</w:t>
      </w:r>
    </w:p>
    <w:p w14:paraId="617B0660" w14:textId="77777777" w:rsidR="00C24E3A" w:rsidRDefault="00C24E3A" w:rsidP="00A5095C">
      <w:pPr>
        <w:rPr>
          <w:sz w:val="20"/>
          <w:lang w:val="en-US"/>
        </w:rPr>
      </w:pPr>
    </w:p>
    <w:p w14:paraId="7CBDFFD9" w14:textId="427E6296" w:rsidR="00C24E3A" w:rsidRDefault="00C24E3A" w:rsidP="00C24E3A">
      <w:pPr>
        <w:rPr>
          <w:color w:val="000000" w:themeColor="text1"/>
          <w:sz w:val="20"/>
          <w:lang w:eastAsia="sv-SE"/>
        </w:rPr>
      </w:pPr>
      <w:r>
        <w:rPr>
          <w:b/>
          <w:i/>
          <w:color w:val="000000" w:themeColor="text1"/>
          <w:sz w:val="20"/>
          <w:lang w:eastAsia="sv-SE"/>
        </w:rPr>
        <w:t xml:space="preserve">Proposal 5: For dynamic determination of HARQ-ACK codebook size, introduce a HARQ-ACK codebook indicator </w:t>
      </w:r>
      <w:r w:rsidRPr="00ED6566">
        <w:rPr>
          <w:b/>
          <w:i/>
          <w:sz w:val="20"/>
          <w:lang w:val="en-US"/>
        </w:rPr>
        <w:t>indicat</w:t>
      </w:r>
      <w:r>
        <w:rPr>
          <w:b/>
          <w:i/>
          <w:sz w:val="20"/>
          <w:lang w:val="en-US"/>
        </w:rPr>
        <w:t>ing</w:t>
      </w:r>
      <w:r w:rsidRPr="00ED6566">
        <w:rPr>
          <w:b/>
          <w:i/>
          <w:sz w:val="20"/>
          <w:lang w:val="en-US"/>
        </w:rPr>
        <w:t xml:space="preserve"> the group(s) of carriers for which a UE is expected to report HARQ A/N.</w:t>
      </w:r>
    </w:p>
    <w:p w14:paraId="0EF7466D" w14:textId="77777777" w:rsidR="00251B4A" w:rsidRPr="00077CF3" w:rsidRDefault="00251B4A" w:rsidP="00251B4A">
      <w:pPr>
        <w:pStyle w:val="Heading1"/>
        <w:rPr>
          <w:sz w:val="32"/>
          <w:lang w:val="en-US"/>
        </w:rPr>
      </w:pPr>
      <w:r w:rsidRPr="00077CF3">
        <w:rPr>
          <w:sz w:val="32"/>
          <w:lang w:val="en-US"/>
        </w:rPr>
        <w:t>References</w:t>
      </w:r>
    </w:p>
    <w:p w14:paraId="12464378" w14:textId="035F7E25" w:rsidR="005C1E34" w:rsidRDefault="00BA5AA2" w:rsidP="007D301B">
      <w:pPr>
        <w:pStyle w:val="Reference"/>
        <w:rPr>
          <w:sz w:val="20"/>
          <w:lang w:val="en-US"/>
        </w:rPr>
      </w:pPr>
      <w:r>
        <w:rPr>
          <w:sz w:val="20"/>
          <w:lang w:val="en-US"/>
        </w:rPr>
        <w:t>Draft Report of 3GPP TSG RAN W</w:t>
      </w:r>
      <w:r w:rsidR="00CC2076">
        <w:rPr>
          <w:sz w:val="20"/>
          <w:lang w:val="en-US"/>
        </w:rPr>
        <w:t>G1 #82 v.0.1.0.</w:t>
      </w:r>
    </w:p>
    <w:p w14:paraId="0DC13771" w14:textId="6DA76C01" w:rsidR="003D41C3" w:rsidRDefault="00BA5AA2" w:rsidP="00DE7C6D">
      <w:pPr>
        <w:pStyle w:val="Reference"/>
        <w:rPr>
          <w:sz w:val="20"/>
          <w:lang w:val="en-US"/>
        </w:rPr>
      </w:pPr>
      <w:bookmarkStart w:id="3" w:name="_Ref430958682"/>
      <w:r>
        <w:rPr>
          <w:sz w:val="20"/>
          <w:lang w:val="en-US"/>
        </w:rPr>
        <w:t>3GPP TSG RAN1 E-mail Discussion [82-03]: HARQ-ACK codebook determination.</w:t>
      </w:r>
      <w:bookmarkEnd w:id="3"/>
    </w:p>
    <w:p w14:paraId="504E79E7" w14:textId="2761428F" w:rsidR="00BA5AA2" w:rsidRDefault="00BA5AA2" w:rsidP="00DE7C6D">
      <w:pPr>
        <w:pStyle w:val="Reference"/>
        <w:rPr>
          <w:sz w:val="20"/>
          <w:lang w:val="en-US"/>
        </w:rPr>
      </w:pPr>
      <w:r>
        <w:rPr>
          <w:sz w:val="20"/>
          <w:lang w:val="en-US"/>
        </w:rPr>
        <w:t>R1-153913, “Additional TDD HARQ-ACK bundling”, CATT</w:t>
      </w:r>
    </w:p>
    <w:p w14:paraId="1EFB3D09" w14:textId="62694F6D" w:rsidR="00BA5AA2" w:rsidRPr="00BA5AA2" w:rsidRDefault="00BA5AA2" w:rsidP="00BA5AA2">
      <w:pPr>
        <w:pStyle w:val="Reference"/>
        <w:rPr>
          <w:sz w:val="20"/>
          <w:lang w:val="en-US"/>
        </w:rPr>
      </w:pPr>
      <w:r w:rsidRPr="00BA5AA2">
        <w:rPr>
          <w:sz w:val="20"/>
          <w:lang w:val="en-US"/>
        </w:rPr>
        <w:t>R1-154429, “HARQ-ACK feedback for CA with up to 32 CCs”, NTT DOCOMO Inc.</w:t>
      </w:r>
    </w:p>
    <w:p w14:paraId="32617F42" w14:textId="7879E930" w:rsidR="00BA5AA2" w:rsidRDefault="00BA5AA2" w:rsidP="00DE7C6D">
      <w:pPr>
        <w:pStyle w:val="Reference"/>
        <w:rPr>
          <w:sz w:val="20"/>
          <w:lang w:val="en-US"/>
        </w:rPr>
      </w:pPr>
      <w:r>
        <w:rPr>
          <w:sz w:val="20"/>
          <w:lang w:val="en-US"/>
        </w:rPr>
        <w:t>R1-154116, “HARQ-ACK Coverage Enhancements”, Samsung</w:t>
      </w:r>
    </w:p>
    <w:p w14:paraId="77F3CA46" w14:textId="3F1553F2" w:rsidR="00BA5AA2" w:rsidRDefault="00404270" w:rsidP="00DE7C6D">
      <w:pPr>
        <w:pStyle w:val="Reference"/>
        <w:rPr>
          <w:sz w:val="20"/>
          <w:lang w:val="en-US"/>
        </w:rPr>
      </w:pPr>
      <w:r>
        <w:rPr>
          <w:sz w:val="20"/>
          <w:lang w:val="en-US"/>
        </w:rPr>
        <w:t xml:space="preserve">R1-153771, “HARQ-ACK Codebook determination for carrier aggregation enhancement beyond 5 carriers”, Huawei, </w:t>
      </w:r>
      <w:proofErr w:type="spellStart"/>
      <w:r>
        <w:rPr>
          <w:sz w:val="20"/>
          <w:lang w:val="en-US"/>
        </w:rPr>
        <w:t>HiSilicon</w:t>
      </w:r>
      <w:proofErr w:type="spellEnd"/>
      <w:r>
        <w:rPr>
          <w:sz w:val="20"/>
          <w:lang w:val="en-US"/>
        </w:rPr>
        <w:t>.</w:t>
      </w:r>
    </w:p>
    <w:p w14:paraId="6CE8EE92" w14:textId="05ECB1B4" w:rsidR="00404270" w:rsidRDefault="00404270" w:rsidP="00DE7C6D">
      <w:pPr>
        <w:pStyle w:val="Reference"/>
        <w:rPr>
          <w:sz w:val="20"/>
          <w:lang w:val="en-US"/>
        </w:rPr>
      </w:pPr>
      <w:r>
        <w:rPr>
          <w:sz w:val="20"/>
          <w:lang w:val="en-US"/>
        </w:rPr>
        <w:t xml:space="preserve">R1-154503, “HARQ-ACK codebook determination for Rel-13 </w:t>
      </w:r>
      <w:proofErr w:type="spellStart"/>
      <w:r>
        <w:rPr>
          <w:sz w:val="20"/>
          <w:lang w:val="en-US"/>
        </w:rPr>
        <w:t>eCA</w:t>
      </w:r>
      <w:proofErr w:type="spellEnd"/>
      <w:r>
        <w:rPr>
          <w:sz w:val="20"/>
          <w:lang w:val="en-US"/>
        </w:rPr>
        <w:t>”, Lenovo (Beijing) Ltd.</w:t>
      </w:r>
    </w:p>
    <w:p w14:paraId="2F9518FF" w14:textId="7E814532" w:rsidR="00404270" w:rsidRDefault="00404270" w:rsidP="00DE7C6D">
      <w:pPr>
        <w:pStyle w:val="Reference"/>
        <w:rPr>
          <w:sz w:val="20"/>
          <w:lang w:val="en-US"/>
        </w:rPr>
      </w:pPr>
      <w:r>
        <w:rPr>
          <w:sz w:val="20"/>
          <w:lang w:val="en-US"/>
        </w:rPr>
        <w:t>R1-154444, “On HARQ-ACK feedback enhancements”, Nokia Networks.</w:t>
      </w:r>
    </w:p>
    <w:p w14:paraId="7AE356AE" w14:textId="35D8D733" w:rsidR="00404270" w:rsidRDefault="00404270" w:rsidP="00DE7C6D">
      <w:pPr>
        <w:pStyle w:val="Reference"/>
        <w:rPr>
          <w:sz w:val="20"/>
          <w:lang w:val="en-US"/>
        </w:rPr>
      </w:pPr>
      <w:r>
        <w:rPr>
          <w:sz w:val="20"/>
          <w:lang w:val="en-US"/>
        </w:rPr>
        <w:t>R1-154036, “Adaptive HARQ-ACK codebook size determination”, ZTE.</w:t>
      </w:r>
    </w:p>
    <w:p w14:paraId="4F16B98B" w14:textId="6413BB75" w:rsidR="00404270" w:rsidRDefault="00404270" w:rsidP="00DE7C6D">
      <w:pPr>
        <w:pStyle w:val="Reference"/>
        <w:rPr>
          <w:sz w:val="20"/>
          <w:lang w:val="en-US"/>
        </w:rPr>
      </w:pPr>
      <w:r>
        <w:rPr>
          <w:sz w:val="20"/>
          <w:lang w:val="en-US"/>
        </w:rPr>
        <w:t>R1-154420, “HARQ-ACK transmission for Rel-13 CA enhancement”, Ericsson.</w:t>
      </w:r>
    </w:p>
    <w:p w14:paraId="73086798" w14:textId="783E2DE9" w:rsidR="00404270" w:rsidRDefault="00404270" w:rsidP="00DE7C6D">
      <w:pPr>
        <w:pStyle w:val="Reference"/>
        <w:rPr>
          <w:sz w:val="20"/>
          <w:lang w:val="en-US"/>
        </w:rPr>
      </w:pPr>
      <w:bookmarkStart w:id="4" w:name="_Ref430958096"/>
      <w:r>
        <w:rPr>
          <w:sz w:val="20"/>
          <w:lang w:val="en-US"/>
        </w:rPr>
        <w:t>R1-154309, “HARQ-ACK codebook de</w:t>
      </w:r>
      <w:r w:rsidR="00855BE6">
        <w:rPr>
          <w:sz w:val="20"/>
          <w:lang w:val="en-US"/>
        </w:rPr>
        <w:t xml:space="preserve">termination”, </w:t>
      </w:r>
      <w:proofErr w:type="spellStart"/>
      <w:r w:rsidR="00855BE6">
        <w:rPr>
          <w:sz w:val="20"/>
          <w:lang w:val="en-US"/>
        </w:rPr>
        <w:t>InterDigital</w:t>
      </w:r>
      <w:proofErr w:type="spellEnd"/>
      <w:r w:rsidR="00855BE6">
        <w:rPr>
          <w:sz w:val="20"/>
          <w:lang w:val="en-US"/>
        </w:rPr>
        <w:t xml:space="preserve"> Communications.</w:t>
      </w:r>
      <w:bookmarkEnd w:id="4"/>
    </w:p>
    <w:p w14:paraId="0492366A" w14:textId="4B85C136" w:rsidR="00855BE6" w:rsidRDefault="00855BE6" w:rsidP="00DE7C6D">
      <w:pPr>
        <w:pStyle w:val="Reference"/>
        <w:rPr>
          <w:sz w:val="20"/>
          <w:lang w:val="en-US"/>
        </w:rPr>
      </w:pPr>
      <w:bookmarkStart w:id="5" w:name="_Ref430942928"/>
      <w:r>
        <w:rPr>
          <w:sz w:val="20"/>
          <w:lang w:val="en-US"/>
        </w:rPr>
        <w:t xml:space="preserve">R1-155528, “Mitigation of DCI false detection issue”, </w:t>
      </w:r>
      <w:proofErr w:type="spellStart"/>
      <w:r>
        <w:rPr>
          <w:sz w:val="20"/>
          <w:lang w:val="en-US"/>
        </w:rPr>
        <w:t>InterDigital</w:t>
      </w:r>
      <w:proofErr w:type="spellEnd"/>
      <w:r>
        <w:rPr>
          <w:sz w:val="20"/>
          <w:lang w:val="en-US"/>
        </w:rPr>
        <w:t xml:space="preserve"> Communications.</w:t>
      </w:r>
      <w:bookmarkEnd w:id="5"/>
    </w:p>
    <w:p w14:paraId="1F388FE1" w14:textId="72C8F6EA" w:rsidR="006157AC" w:rsidRPr="00DE7C6D" w:rsidRDefault="006157AC" w:rsidP="006157AC">
      <w:pPr>
        <w:pStyle w:val="Reference"/>
        <w:rPr>
          <w:sz w:val="20"/>
          <w:lang w:val="en-US"/>
        </w:rPr>
      </w:pPr>
      <w:bookmarkStart w:id="6" w:name="_Ref430958107"/>
      <w:r w:rsidRPr="006157AC">
        <w:rPr>
          <w:sz w:val="20"/>
          <w:lang w:val="en-US"/>
        </w:rPr>
        <w:t>R1-154429</w:t>
      </w:r>
      <w:r>
        <w:rPr>
          <w:sz w:val="20"/>
          <w:lang w:val="en-US"/>
        </w:rPr>
        <w:t>, “</w:t>
      </w:r>
      <w:r w:rsidRPr="006157AC">
        <w:rPr>
          <w:sz w:val="20"/>
          <w:lang w:val="en-US"/>
        </w:rPr>
        <w:t>HARQ-ACK feedback for CA with up to 32 CCs</w:t>
      </w:r>
      <w:r>
        <w:rPr>
          <w:sz w:val="20"/>
          <w:lang w:val="en-US"/>
        </w:rPr>
        <w:t xml:space="preserve">”, </w:t>
      </w:r>
      <w:r w:rsidRPr="006157AC">
        <w:rPr>
          <w:sz w:val="20"/>
          <w:lang w:val="en-US"/>
        </w:rPr>
        <w:t>NTT DOCOMO, INC</w:t>
      </w:r>
      <w:r>
        <w:rPr>
          <w:sz w:val="20"/>
          <w:lang w:val="en-US"/>
        </w:rPr>
        <w:t>”</w:t>
      </w:r>
      <w:r w:rsidRPr="006157AC">
        <w:rPr>
          <w:sz w:val="20"/>
          <w:lang w:val="en-US"/>
        </w:rPr>
        <w:t>.</w:t>
      </w:r>
      <w:bookmarkEnd w:id="6"/>
    </w:p>
    <w:sectPr w:rsidR="006157AC" w:rsidRPr="00DE7C6D"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9C08A" w14:textId="77777777" w:rsidR="00A8588D" w:rsidRDefault="00A8588D">
      <w:r>
        <w:separator/>
      </w:r>
    </w:p>
  </w:endnote>
  <w:endnote w:type="continuationSeparator" w:id="0">
    <w:p w14:paraId="2C3EE1C0" w14:textId="77777777" w:rsidR="00A8588D" w:rsidRDefault="00A8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A8588D" w:rsidRDefault="00A858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4E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4E8">
      <w:rPr>
        <w:rStyle w:val="PageNumber"/>
      </w:rPr>
      <w:t>6</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BF1291">
      <w:rPr>
        <w:rStyle w:val="PageNumber"/>
      </w:rPr>
      <w:t>2015-09-25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F15F2" w14:textId="77777777" w:rsidR="00A8588D" w:rsidRDefault="00A8588D">
      <w:r>
        <w:separator/>
      </w:r>
    </w:p>
  </w:footnote>
  <w:footnote w:type="continuationSeparator" w:id="0">
    <w:p w14:paraId="4FF96A95" w14:textId="77777777" w:rsidR="00A8588D" w:rsidRDefault="00A85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A8588D" w:rsidRDefault="00A858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33567"/>
    <w:multiLevelType w:val="hybridMultilevel"/>
    <w:tmpl w:val="C10C8C80"/>
    <w:lvl w:ilvl="0" w:tplc="DFEE4AD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60972"/>
    <w:multiLevelType w:val="multilevel"/>
    <w:tmpl w:val="0D94602C"/>
    <w:lvl w:ilvl="0">
      <w:start w:val="2"/>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345391"/>
    <w:multiLevelType w:val="hybridMultilevel"/>
    <w:tmpl w:val="2F10F2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F5F8D"/>
    <w:multiLevelType w:val="hybridMultilevel"/>
    <w:tmpl w:val="F330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3"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7" w15:restartNumberingAfterBreak="0">
    <w:nsid w:val="4FCB6CA3"/>
    <w:multiLevelType w:val="hybridMultilevel"/>
    <w:tmpl w:val="9BACA0DC"/>
    <w:lvl w:ilvl="0" w:tplc="DFEE4AD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DB0739"/>
    <w:multiLevelType w:val="hybridMultilevel"/>
    <w:tmpl w:val="20466E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1360F6"/>
    <w:multiLevelType w:val="hybridMultilevel"/>
    <w:tmpl w:val="02EC71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AAE1CD0"/>
    <w:multiLevelType w:val="hybridMultilevel"/>
    <w:tmpl w:val="2EA02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CD08E8"/>
    <w:multiLevelType w:val="hybridMultilevel"/>
    <w:tmpl w:val="03703574"/>
    <w:lvl w:ilvl="0" w:tplc="EA9606CC">
      <w:start w:val="1"/>
      <w:numFmt w:val="bullet"/>
      <w:lvlText w:val="-"/>
      <w:lvlJc w:val="left"/>
      <w:pPr>
        <w:ind w:left="720" w:hanging="360"/>
      </w:pPr>
      <w:rPr>
        <w:rFonts w:ascii="Times New Roman" w:eastAsia="SimSu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CF2BDA"/>
    <w:multiLevelType w:val="hybridMultilevel"/>
    <w:tmpl w:val="D6CCD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5"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7"/>
  </w:num>
  <w:num w:numId="4">
    <w:abstractNumId w:val="18"/>
  </w:num>
  <w:num w:numId="5">
    <w:abstractNumId w:val="12"/>
  </w:num>
  <w:num w:numId="6">
    <w:abstractNumId w:val="21"/>
  </w:num>
  <w:num w:numId="7">
    <w:abstractNumId w:val="31"/>
  </w:num>
  <w:num w:numId="8">
    <w:abstractNumId w:val="14"/>
  </w:num>
  <w:num w:numId="9">
    <w:abstractNumId w:val="43"/>
  </w:num>
  <w:num w:numId="10">
    <w:abstractNumId w:val="35"/>
  </w:num>
  <w:num w:numId="11">
    <w:abstractNumId w:val="44"/>
  </w:num>
  <w:num w:numId="12">
    <w:abstractNumId w:val="7"/>
  </w:num>
  <w:num w:numId="13">
    <w:abstractNumId w:val="9"/>
  </w:num>
  <w:num w:numId="14">
    <w:abstractNumId w:val="20"/>
  </w:num>
  <w:num w:numId="15">
    <w:abstractNumId w:val="37"/>
  </w:num>
  <w:num w:numId="16">
    <w:abstractNumId w:val="8"/>
  </w:num>
  <w:num w:numId="17">
    <w:abstractNumId w:val="4"/>
  </w:num>
  <w:num w:numId="18">
    <w:abstractNumId w:val="11"/>
  </w:num>
  <w:num w:numId="19">
    <w:abstractNumId w:val="32"/>
  </w:num>
  <w:num w:numId="20">
    <w:abstractNumId w:val="23"/>
  </w:num>
  <w:num w:numId="21">
    <w:abstractNumId w:val="26"/>
  </w:num>
  <w:num w:numId="22">
    <w:abstractNumId w:val="39"/>
  </w:num>
  <w:num w:numId="23">
    <w:abstractNumId w:val="6"/>
  </w:num>
  <w:num w:numId="24">
    <w:abstractNumId w:val="38"/>
  </w:num>
  <w:num w:numId="25">
    <w:abstractNumId w:val="45"/>
  </w:num>
  <w:num w:numId="26">
    <w:abstractNumId w:val="19"/>
  </w:num>
  <w:num w:numId="27">
    <w:abstractNumId w:val="40"/>
  </w:num>
  <w:num w:numId="28">
    <w:abstractNumId w:val="25"/>
  </w:num>
  <w:num w:numId="29">
    <w:abstractNumId w:val="1"/>
  </w:num>
  <w:num w:numId="30">
    <w:abstractNumId w:val="1"/>
  </w:num>
  <w:num w:numId="31">
    <w:abstractNumId w:val="34"/>
  </w:num>
  <w:num w:numId="32">
    <w:abstractNumId w:val="22"/>
  </w:num>
  <w:num w:numId="33">
    <w:abstractNumId w:val="10"/>
  </w:num>
  <w:num w:numId="34">
    <w:abstractNumId w:val="46"/>
  </w:num>
  <w:num w:numId="35">
    <w:abstractNumId w:val="41"/>
  </w:num>
  <w:num w:numId="36">
    <w:abstractNumId w:val="0"/>
  </w:num>
  <w:num w:numId="37">
    <w:abstractNumId w:val="24"/>
  </w:num>
  <w:num w:numId="38">
    <w:abstractNumId w:val="29"/>
  </w:num>
  <w:num w:numId="39">
    <w:abstractNumId w:val="16"/>
  </w:num>
  <w:num w:numId="40">
    <w:abstractNumId w:val="15"/>
  </w:num>
  <w:num w:numId="41">
    <w:abstractNumId w:val="5"/>
  </w:num>
  <w:num w:numId="42">
    <w:abstractNumId w:val="33"/>
  </w:num>
  <w:num w:numId="43">
    <w:abstractNumId w:val="30"/>
  </w:num>
  <w:num w:numId="44">
    <w:abstractNumId w:val="3"/>
  </w:num>
  <w:num w:numId="45">
    <w:abstractNumId w:val="27"/>
  </w:num>
  <w:num w:numId="46">
    <w:abstractNumId w:val="2"/>
  </w:num>
  <w:num w:numId="47">
    <w:abstractNumId w:val="13"/>
  </w:num>
  <w:num w:numId="48">
    <w:abstractNumId w:val="42"/>
  </w:num>
  <w:num w:numId="49">
    <w:abstractNumId w:val="28"/>
  </w:num>
  <w:num w:numId="5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4FA7"/>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1EF2"/>
    <w:rsid w:val="000422E2"/>
    <w:rsid w:val="00042C9D"/>
    <w:rsid w:val="00042F22"/>
    <w:rsid w:val="000437FA"/>
    <w:rsid w:val="00043DDF"/>
    <w:rsid w:val="00044278"/>
    <w:rsid w:val="000444EF"/>
    <w:rsid w:val="00044A9C"/>
    <w:rsid w:val="000455AE"/>
    <w:rsid w:val="00045651"/>
    <w:rsid w:val="00045735"/>
    <w:rsid w:val="00045AD3"/>
    <w:rsid w:val="00050717"/>
    <w:rsid w:val="000511FA"/>
    <w:rsid w:val="00051D9E"/>
    <w:rsid w:val="00052A07"/>
    <w:rsid w:val="000534E3"/>
    <w:rsid w:val="00053756"/>
    <w:rsid w:val="00053C47"/>
    <w:rsid w:val="00054303"/>
    <w:rsid w:val="00054EE4"/>
    <w:rsid w:val="00055378"/>
    <w:rsid w:val="00055DB2"/>
    <w:rsid w:val="0005606A"/>
    <w:rsid w:val="00056718"/>
    <w:rsid w:val="00056A67"/>
    <w:rsid w:val="00056B0B"/>
    <w:rsid w:val="00056FD0"/>
    <w:rsid w:val="00057117"/>
    <w:rsid w:val="000571B8"/>
    <w:rsid w:val="0005757D"/>
    <w:rsid w:val="000604BA"/>
    <w:rsid w:val="000604D2"/>
    <w:rsid w:val="000616E7"/>
    <w:rsid w:val="00061829"/>
    <w:rsid w:val="000625C8"/>
    <w:rsid w:val="00063EF3"/>
    <w:rsid w:val="000641AA"/>
    <w:rsid w:val="000645B8"/>
    <w:rsid w:val="0006487E"/>
    <w:rsid w:val="00065E1A"/>
    <w:rsid w:val="00065F7E"/>
    <w:rsid w:val="000701C4"/>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411A"/>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085"/>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3C4B"/>
    <w:rsid w:val="001048B7"/>
    <w:rsid w:val="00104A7C"/>
    <w:rsid w:val="001051FE"/>
    <w:rsid w:val="00106117"/>
    <w:rsid w:val="001062FB"/>
    <w:rsid w:val="001063E6"/>
    <w:rsid w:val="00106B59"/>
    <w:rsid w:val="001070B9"/>
    <w:rsid w:val="00110130"/>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0AD"/>
    <w:rsid w:val="00132FD0"/>
    <w:rsid w:val="001330B8"/>
    <w:rsid w:val="00133676"/>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90F"/>
    <w:rsid w:val="00151E23"/>
    <w:rsid w:val="001526E0"/>
    <w:rsid w:val="00153576"/>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4A0"/>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74F"/>
    <w:rsid w:val="00192D14"/>
    <w:rsid w:val="0019341A"/>
    <w:rsid w:val="0019468F"/>
    <w:rsid w:val="00194E68"/>
    <w:rsid w:val="00195B6F"/>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3D6"/>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ACA"/>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1736"/>
    <w:rsid w:val="00212596"/>
    <w:rsid w:val="00212D1B"/>
    <w:rsid w:val="00212D2F"/>
    <w:rsid w:val="0021336E"/>
    <w:rsid w:val="00214DA8"/>
    <w:rsid w:val="0021529E"/>
    <w:rsid w:val="002152F2"/>
    <w:rsid w:val="00215423"/>
    <w:rsid w:val="002158FA"/>
    <w:rsid w:val="00215D3F"/>
    <w:rsid w:val="00215F14"/>
    <w:rsid w:val="002160C0"/>
    <w:rsid w:val="00217082"/>
    <w:rsid w:val="002179C2"/>
    <w:rsid w:val="0022054B"/>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1B"/>
    <w:rsid w:val="00273D70"/>
    <w:rsid w:val="00273E84"/>
    <w:rsid w:val="00274BB8"/>
    <w:rsid w:val="00274C41"/>
    <w:rsid w:val="00274DFF"/>
    <w:rsid w:val="00276081"/>
    <w:rsid w:val="00276B67"/>
    <w:rsid w:val="00277097"/>
    <w:rsid w:val="00277490"/>
    <w:rsid w:val="002805F5"/>
    <w:rsid w:val="00280751"/>
    <w:rsid w:val="00280E8F"/>
    <w:rsid w:val="00281566"/>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3ECB"/>
    <w:rsid w:val="0029462D"/>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1486"/>
    <w:rsid w:val="002B2210"/>
    <w:rsid w:val="002B24D6"/>
    <w:rsid w:val="002B2C00"/>
    <w:rsid w:val="002B386B"/>
    <w:rsid w:val="002B3B0D"/>
    <w:rsid w:val="002B3FE9"/>
    <w:rsid w:val="002B632B"/>
    <w:rsid w:val="002B6D00"/>
    <w:rsid w:val="002B77BF"/>
    <w:rsid w:val="002C0976"/>
    <w:rsid w:val="002C151A"/>
    <w:rsid w:val="002C2995"/>
    <w:rsid w:val="002C38A5"/>
    <w:rsid w:val="002C3FD2"/>
    <w:rsid w:val="002C400F"/>
    <w:rsid w:val="002C41E6"/>
    <w:rsid w:val="002C4435"/>
    <w:rsid w:val="002C4558"/>
    <w:rsid w:val="002C62B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422E"/>
    <w:rsid w:val="002F5609"/>
    <w:rsid w:val="002F585B"/>
    <w:rsid w:val="002F5AFC"/>
    <w:rsid w:val="002F6E9C"/>
    <w:rsid w:val="002F6EF2"/>
    <w:rsid w:val="002F771F"/>
    <w:rsid w:val="003001B2"/>
    <w:rsid w:val="003003EF"/>
    <w:rsid w:val="003003F3"/>
    <w:rsid w:val="00300A39"/>
    <w:rsid w:val="003015F5"/>
    <w:rsid w:val="00301CE6"/>
    <w:rsid w:val="00302569"/>
    <w:rsid w:val="0030256B"/>
    <w:rsid w:val="00302D11"/>
    <w:rsid w:val="003038EC"/>
    <w:rsid w:val="0030501F"/>
    <w:rsid w:val="00305180"/>
    <w:rsid w:val="00305444"/>
    <w:rsid w:val="00305C4B"/>
    <w:rsid w:val="00307A45"/>
    <w:rsid w:val="00307BA1"/>
    <w:rsid w:val="00311702"/>
    <w:rsid w:val="00311747"/>
    <w:rsid w:val="00311E82"/>
    <w:rsid w:val="003124BA"/>
    <w:rsid w:val="00313DFC"/>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734"/>
    <w:rsid w:val="00372AAF"/>
    <w:rsid w:val="00373969"/>
    <w:rsid w:val="003742AC"/>
    <w:rsid w:val="003744CE"/>
    <w:rsid w:val="0037460F"/>
    <w:rsid w:val="00374F8B"/>
    <w:rsid w:val="00375719"/>
    <w:rsid w:val="0037683A"/>
    <w:rsid w:val="003768AA"/>
    <w:rsid w:val="0037719F"/>
    <w:rsid w:val="00377CE1"/>
    <w:rsid w:val="00380D7D"/>
    <w:rsid w:val="00380DB0"/>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24D"/>
    <w:rsid w:val="003B6931"/>
    <w:rsid w:val="003B6A0C"/>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C7B15"/>
    <w:rsid w:val="003D109F"/>
    <w:rsid w:val="003D2084"/>
    <w:rsid w:val="003D2478"/>
    <w:rsid w:val="003D41C3"/>
    <w:rsid w:val="003D4835"/>
    <w:rsid w:val="003D5831"/>
    <w:rsid w:val="003D5B1F"/>
    <w:rsid w:val="003D6122"/>
    <w:rsid w:val="003D6509"/>
    <w:rsid w:val="003D6649"/>
    <w:rsid w:val="003D7146"/>
    <w:rsid w:val="003D7999"/>
    <w:rsid w:val="003D7FB1"/>
    <w:rsid w:val="003E0E49"/>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7EE"/>
    <w:rsid w:val="003F6BBE"/>
    <w:rsid w:val="004000E8"/>
    <w:rsid w:val="004008B0"/>
    <w:rsid w:val="00402353"/>
    <w:rsid w:val="0040255D"/>
    <w:rsid w:val="004028A6"/>
    <w:rsid w:val="00402E2B"/>
    <w:rsid w:val="00402F74"/>
    <w:rsid w:val="00403C08"/>
    <w:rsid w:val="004040C0"/>
    <w:rsid w:val="0040427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07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5593"/>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3C49"/>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1CF"/>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26"/>
    <w:rsid w:val="004B09DB"/>
    <w:rsid w:val="004B1049"/>
    <w:rsid w:val="004B1CFE"/>
    <w:rsid w:val="004B1DB8"/>
    <w:rsid w:val="004B2F6C"/>
    <w:rsid w:val="004B4459"/>
    <w:rsid w:val="004B44CE"/>
    <w:rsid w:val="004B74E1"/>
    <w:rsid w:val="004B7967"/>
    <w:rsid w:val="004B7C0C"/>
    <w:rsid w:val="004C0211"/>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564"/>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24C"/>
    <w:rsid w:val="00517FD4"/>
    <w:rsid w:val="005219CF"/>
    <w:rsid w:val="00522170"/>
    <w:rsid w:val="00522857"/>
    <w:rsid w:val="005234AA"/>
    <w:rsid w:val="005251B0"/>
    <w:rsid w:val="00525A40"/>
    <w:rsid w:val="0052606D"/>
    <w:rsid w:val="00527D68"/>
    <w:rsid w:val="00530D7E"/>
    <w:rsid w:val="00532A25"/>
    <w:rsid w:val="00533C5F"/>
    <w:rsid w:val="00534AE0"/>
    <w:rsid w:val="00534B59"/>
    <w:rsid w:val="00534D24"/>
    <w:rsid w:val="00535499"/>
    <w:rsid w:val="00535666"/>
    <w:rsid w:val="00536759"/>
    <w:rsid w:val="00536B97"/>
    <w:rsid w:val="00536DF7"/>
    <w:rsid w:val="00536F86"/>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578DE"/>
    <w:rsid w:val="00560C31"/>
    <w:rsid w:val="0056121F"/>
    <w:rsid w:val="00563ABE"/>
    <w:rsid w:val="00563BB8"/>
    <w:rsid w:val="00564FBF"/>
    <w:rsid w:val="00565DED"/>
    <w:rsid w:val="0056604F"/>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6E1D"/>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1E34"/>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1BD0"/>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5A3"/>
    <w:rsid w:val="00605854"/>
    <w:rsid w:val="006059C5"/>
    <w:rsid w:val="00606ECD"/>
    <w:rsid w:val="006074C1"/>
    <w:rsid w:val="0060764F"/>
    <w:rsid w:val="00610E1F"/>
    <w:rsid w:val="00611AB9"/>
    <w:rsid w:val="00613257"/>
    <w:rsid w:val="00614994"/>
    <w:rsid w:val="006151D2"/>
    <w:rsid w:val="006157AC"/>
    <w:rsid w:val="00620B97"/>
    <w:rsid w:val="00621662"/>
    <w:rsid w:val="00621751"/>
    <w:rsid w:val="006232E1"/>
    <w:rsid w:val="006234A6"/>
    <w:rsid w:val="00626130"/>
    <w:rsid w:val="0062798D"/>
    <w:rsid w:val="00630001"/>
    <w:rsid w:val="006303AD"/>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29B"/>
    <w:rsid w:val="00650AB9"/>
    <w:rsid w:val="00650EA2"/>
    <w:rsid w:val="00651717"/>
    <w:rsid w:val="00652CED"/>
    <w:rsid w:val="006533E6"/>
    <w:rsid w:val="006538FC"/>
    <w:rsid w:val="00653FB4"/>
    <w:rsid w:val="00655733"/>
    <w:rsid w:val="00655ACD"/>
    <w:rsid w:val="00655CAD"/>
    <w:rsid w:val="00656186"/>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1B7"/>
    <w:rsid w:val="00684C61"/>
    <w:rsid w:val="00685EAF"/>
    <w:rsid w:val="0068608B"/>
    <w:rsid w:val="006867A6"/>
    <w:rsid w:val="006868B0"/>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D42"/>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2C88"/>
    <w:rsid w:val="006F341D"/>
    <w:rsid w:val="006F3B3A"/>
    <w:rsid w:val="006F487D"/>
    <w:rsid w:val="006F56F5"/>
    <w:rsid w:val="006F58D4"/>
    <w:rsid w:val="006F5C9A"/>
    <w:rsid w:val="006F71DC"/>
    <w:rsid w:val="006F796C"/>
    <w:rsid w:val="006F7B5A"/>
    <w:rsid w:val="006F7BC8"/>
    <w:rsid w:val="00700142"/>
    <w:rsid w:val="00700998"/>
    <w:rsid w:val="00701B46"/>
    <w:rsid w:val="00701CC8"/>
    <w:rsid w:val="00702402"/>
    <w:rsid w:val="007028CD"/>
    <w:rsid w:val="00703123"/>
    <w:rsid w:val="0070346E"/>
    <w:rsid w:val="00703660"/>
    <w:rsid w:val="00704647"/>
    <w:rsid w:val="00704736"/>
    <w:rsid w:val="00704EDB"/>
    <w:rsid w:val="00705639"/>
    <w:rsid w:val="00705BC2"/>
    <w:rsid w:val="00705F8A"/>
    <w:rsid w:val="00706101"/>
    <w:rsid w:val="0070666D"/>
    <w:rsid w:val="00706B8A"/>
    <w:rsid w:val="00706DF5"/>
    <w:rsid w:val="00706FAA"/>
    <w:rsid w:val="0070766F"/>
    <w:rsid w:val="00707ADF"/>
    <w:rsid w:val="00707D61"/>
    <w:rsid w:val="007114F1"/>
    <w:rsid w:val="007118CA"/>
    <w:rsid w:val="00711D31"/>
    <w:rsid w:val="00712287"/>
    <w:rsid w:val="00712772"/>
    <w:rsid w:val="007148D3"/>
    <w:rsid w:val="0071551B"/>
    <w:rsid w:val="00715638"/>
    <w:rsid w:val="00715A32"/>
    <w:rsid w:val="00715B9A"/>
    <w:rsid w:val="0071600C"/>
    <w:rsid w:val="007161DA"/>
    <w:rsid w:val="007163B5"/>
    <w:rsid w:val="00716C3F"/>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48D"/>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37A"/>
    <w:rsid w:val="007A58A6"/>
    <w:rsid w:val="007A5EED"/>
    <w:rsid w:val="007A61D2"/>
    <w:rsid w:val="007A6261"/>
    <w:rsid w:val="007A6495"/>
    <w:rsid w:val="007A6549"/>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301B"/>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5D62"/>
    <w:rsid w:val="007F7F41"/>
    <w:rsid w:val="0080009E"/>
    <w:rsid w:val="0080079E"/>
    <w:rsid w:val="00800A4C"/>
    <w:rsid w:val="00800F54"/>
    <w:rsid w:val="00801562"/>
    <w:rsid w:val="0080187F"/>
    <w:rsid w:val="0080253D"/>
    <w:rsid w:val="00802DEB"/>
    <w:rsid w:val="00803546"/>
    <w:rsid w:val="008036C5"/>
    <w:rsid w:val="00803859"/>
    <w:rsid w:val="00803FAE"/>
    <w:rsid w:val="008052C1"/>
    <w:rsid w:val="00805FA4"/>
    <w:rsid w:val="0080605F"/>
    <w:rsid w:val="008075B4"/>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490"/>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1C6C"/>
    <w:rsid w:val="0083207E"/>
    <w:rsid w:val="008326C1"/>
    <w:rsid w:val="008328DA"/>
    <w:rsid w:val="008329C4"/>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3379"/>
    <w:rsid w:val="00854DF6"/>
    <w:rsid w:val="00855BE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86F"/>
    <w:rsid w:val="008669E1"/>
    <w:rsid w:val="00866E1D"/>
    <w:rsid w:val="00867111"/>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1D81"/>
    <w:rsid w:val="00892462"/>
    <w:rsid w:val="00892CFF"/>
    <w:rsid w:val="0089347C"/>
    <w:rsid w:val="00894A88"/>
    <w:rsid w:val="00895310"/>
    <w:rsid w:val="00895386"/>
    <w:rsid w:val="00896985"/>
    <w:rsid w:val="008974A5"/>
    <w:rsid w:val="0089757A"/>
    <w:rsid w:val="008978CA"/>
    <w:rsid w:val="008A0210"/>
    <w:rsid w:val="008A08E0"/>
    <w:rsid w:val="008A0B9C"/>
    <w:rsid w:val="008A21FF"/>
    <w:rsid w:val="008A2CE2"/>
    <w:rsid w:val="008A30AC"/>
    <w:rsid w:val="008A30BD"/>
    <w:rsid w:val="008A3AE2"/>
    <w:rsid w:val="008A4275"/>
    <w:rsid w:val="008A44B8"/>
    <w:rsid w:val="008A4796"/>
    <w:rsid w:val="008A4944"/>
    <w:rsid w:val="008A4E0A"/>
    <w:rsid w:val="008A4E29"/>
    <w:rsid w:val="008A4F62"/>
    <w:rsid w:val="008A51A8"/>
    <w:rsid w:val="008A547F"/>
    <w:rsid w:val="008A54C7"/>
    <w:rsid w:val="008A620C"/>
    <w:rsid w:val="008A646C"/>
    <w:rsid w:val="008A68C2"/>
    <w:rsid w:val="008A76D3"/>
    <w:rsid w:val="008A77D8"/>
    <w:rsid w:val="008B0483"/>
    <w:rsid w:val="008B120C"/>
    <w:rsid w:val="008B2932"/>
    <w:rsid w:val="008B324C"/>
    <w:rsid w:val="008B45A3"/>
    <w:rsid w:val="008B4C5D"/>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C63"/>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4FA"/>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3DC"/>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4B71"/>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0454"/>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5967"/>
    <w:rsid w:val="0099603E"/>
    <w:rsid w:val="009965BD"/>
    <w:rsid w:val="00996BDC"/>
    <w:rsid w:val="009970DD"/>
    <w:rsid w:val="00997142"/>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A75B2"/>
    <w:rsid w:val="009B0D91"/>
    <w:rsid w:val="009B3104"/>
    <w:rsid w:val="009B3558"/>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614"/>
    <w:rsid w:val="009F7BDB"/>
    <w:rsid w:val="009F7DAD"/>
    <w:rsid w:val="00A00254"/>
    <w:rsid w:val="00A0026D"/>
    <w:rsid w:val="00A0039D"/>
    <w:rsid w:val="00A021CA"/>
    <w:rsid w:val="00A02D6D"/>
    <w:rsid w:val="00A037AE"/>
    <w:rsid w:val="00A04232"/>
    <w:rsid w:val="00A04367"/>
    <w:rsid w:val="00A047D2"/>
    <w:rsid w:val="00A048A8"/>
    <w:rsid w:val="00A04968"/>
    <w:rsid w:val="00A04DCB"/>
    <w:rsid w:val="00A05B47"/>
    <w:rsid w:val="00A05C6D"/>
    <w:rsid w:val="00A05E70"/>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8D2"/>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95C"/>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0C8"/>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88D"/>
    <w:rsid w:val="00A85A38"/>
    <w:rsid w:val="00A85D63"/>
    <w:rsid w:val="00A85E98"/>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376B"/>
    <w:rsid w:val="00AA446F"/>
    <w:rsid w:val="00AA51D6"/>
    <w:rsid w:val="00AA52A5"/>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895"/>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50B9"/>
    <w:rsid w:val="00AF5BFB"/>
    <w:rsid w:val="00AF643F"/>
    <w:rsid w:val="00AF6DA0"/>
    <w:rsid w:val="00B006FE"/>
    <w:rsid w:val="00B007CB"/>
    <w:rsid w:val="00B00A65"/>
    <w:rsid w:val="00B02AA9"/>
    <w:rsid w:val="00B02FA3"/>
    <w:rsid w:val="00B03281"/>
    <w:rsid w:val="00B05084"/>
    <w:rsid w:val="00B0601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7"/>
    <w:rsid w:val="00B30309"/>
    <w:rsid w:val="00B30462"/>
    <w:rsid w:val="00B30887"/>
    <w:rsid w:val="00B30929"/>
    <w:rsid w:val="00B30D68"/>
    <w:rsid w:val="00B318DF"/>
    <w:rsid w:val="00B31A5E"/>
    <w:rsid w:val="00B31EC3"/>
    <w:rsid w:val="00B337BC"/>
    <w:rsid w:val="00B34B26"/>
    <w:rsid w:val="00B35997"/>
    <w:rsid w:val="00B36F25"/>
    <w:rsid w:val="00B36F3A"/>
    <w:rsid w:val="00B372AA"/>
    <w:rsid w:val="00B40445"/>
    <w:rsid w:val="00B41888"/>
    <w:rsid w:val="00B44A42"/>
    <w:rsid w:val="00B45A52"/>
    <w:rsid w:val="00B46016"/>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1989"/>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192B"/>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5AA2"/>
    <w:rsid w:val="00BA70BB"/>
    <w:rsid w:val="00BA76E0"/>
    <w:rsid w:val="00BB0A24"/>
    <w:rsid w:val="00BB0DE4"/>
    <w:rsid w:val="00BB21B4"/>
    <w:rsid w:val="00BB2863"/>
    <w:rsid w:val="00BB2A25"/>
    <w:rsid w:val="00BB30F3"/>
    <w:rsid w:val="00BB398D"/>
    <w:rsid w:val="00BB6BE1"/>
    <w:rsid w:val="00BB6E21"/>
    <w:rsid w:val="00BB703C"/>
    <w:rsid w:val="00BC0BC7"/>
    <w:rsid w:val="00BC0CE6"/>
    <w:rsid w:val="00BC0F31"/>
    <w:rsid w:val="00BC0FC0"/>
    <w:rsid w:val="00BC0FDC"/>
    <w:rsid w:val="00BC1353"/>
    <w:rsid w:val="00BC1616"/>
    <w:rsid w:val="00BC4D2E"/>
    <w:rsid w:val="00BC4E54"/>
    <w:rsid w:val="00BC53EE"/>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3A89"/>
    <w:rsid w:val="00BE4265"/>
    <w:rsid w:val="00BE514C"/>
    <w:rsid w:val="00BE5CFC"/>
    <w:rsid w:val="00BE7406"/>
    <w:rsid w:val="00BE7603"/>
    <w:rsid w:val="00BE78D7"/>
    <w:rsid w:val="00BF1291"/>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1EF6"/>
    <w:rsid w:val="00C226CD"/>
    <w:rsid w:val="00C23EAD"/>
    <w:rsid w:val="00C24AA4"/>
    <w:rsid w:val="00C24E3A"/>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CB8"/>
    <w:rsid w:val="00C70D2F"/>
    <w:rsid w:val="00C716D5"/>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354D"/>
    <w:rsid w:val="00C84C4B"/>
    <w:rsid w:val="00C857B3"/>
    <w:rsid w:val="00C85DC0"/>
    <w:rsid w:val="00C860EE"/>
    <w:rsid w:val="00C86CFF"/>
    <w:rsid w:val="00C87AD6"/>
    <w:rsid w:val="00C9027A"/>
    <w:rsid w:val="00C9068E"/>
    <w:rsid w:val="00C90B1C"/>
    <w:rsid w:val="00C91176"/>
    <w:rsid w:val="00C929F7"/>
    <w:rsid w:val="00C93086"/>
    <w:rsid w:val="00C93490"/>
    <w:rsid w:val="00C93BC6"/>
    <w:rsid w:val="00C93C4B"/>
    <w:rsid w:val="00C94083"/>
    <w:rsid w:val="00C944AB"/>
    <w:rsid w:val="00C9469F"/>
    <w:rsid w:val="00C952B1"/>
    <w:rsid w:val="00C958ED"/>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2076"/>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4E8"/>
    <w:rsid w:val="00CE0744"/>
    <w:rsid w:val="00CE0F52"/>
    <w:rsid w:val="00CE1237"/>
    <w:rsid w:val="00CE1A49"/>
    <w:rsid w:val="00CE277C"/>
    <w:rsid w:val="00CE292F"/>
    <w:rsid w:val="00CE2C47"/>
    <w:rsid w:val="00CE4A12"/>
    <w:rsid w:val="00CE4B16"/>
    <w:rsid w:val="00CE59DC"/>
    <w:rsid w:val="00CE5B18"/>
    <w:rsid w:val="00CE7131"/>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47"/>
    <w:rsid w:val="00D26C60"/>
    <w:rsid w:val="00D27938"/>
    <w:rsid w:val="00D27DA6"/>
    <w:rsid w:val="00D32001"/>
    <w:rsid w:val="00D32390"/>
    <w:rsid w:val="00D324BC"/>
    <w:rsid w:val="00D32E0E"/>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AFD"/>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460D"/>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E7C6D"/>
    <w:rsid w:val="00DF0054"/>
    <w:rsid w:val="00DF0280"/>
    <w:rsid w:val="00DF06E5"/>
    <w:rsid w:val="00DF0C4E"/>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2C7B"/>
    <w:rsid w:val="00E140BD"/>
    <w:rsid w:val="00E14C1C"/>
    <w:rsid w:val="00E151C0"/>
    <w:rsid w:val="00E15432"/>
    <w:rsid w:val="00E158A7"/>
    <w:rsid w:val="00E158E4"/>
    <w:rsid w:val="00E17A3B"/>
    <w:rsid w:val="00E17CA0"/>
    <w:rsid w:val="00E17FA2"/>
    <w:rsid w:val="00E20025"/>
    <w:rsid w:val="00E2063D"/>
    <w:rsid w:val="00E208FF"/>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8F5"/>
    <w:rsid w:val="00E419BA"/>
    <w:rsid w:val="00E41B61"/>
    <w:rsid w:val="00E421D0"/>
    <w:rsid w:val="00E422F7"/>
    <w:rsid w:val="00E4266E"/>
    <w:rsid w:val="00E427F9"/>
    <w:rsid w:val="00E43595"/>
    <w:rsid w:val="00E446F1"/>
    <w:rsid w:val="00E44802"/>
    <w:rsid w:val="00E4545A"/>
    <w:rsid w:val="00E46386"/>
    <w:rsid w:val="00E46886"/>
    <w:rsid w:val="00E47AEF"/>
    <w:rsid w:val="00E512D9"/>
    <w:rsid w:val="00E517C3"/>
    <w:rsid w:val="00E5219A"/>
    <w:rsid w:val="00E526D7"/>
    <w:rsid w:val="00E52EB2"/>
    <w:rsid w:val="00E53B75"/>
    <w:rsid w:val="00E53FBA"/>
    <w:rsid w:val="00E5410D"/>
    <w:rsid w:val="00E543D1"/>
    <w:rsid w:val="00E54E3B"/>
    <w:rsid w:val="00E55BAF"/>
    <w:rsid w:val="00E55C28"/>
    <w:rsid w:val="00E5616D"/>
    <w:rsid w:val="00E570AD"/>
    <w:rsid w:val="00E57565"/>
    <w:rsid w:val="00E579A7"/>
    <w:rsid w:val="00E61B94"/>
    <w:rsid w:val="00E622FB"/>
    <w:rsid w:val="00E62374"/>
    <w:rsid w:val="00E629CA"/>
    <w:rsid w:val="00E636A2"/>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55C"/>
    <w:rsid w:val="00E749C9"/>
    <w:rsid w:val="00E758EC"/>
    <w:rsid w:val="00E75B4D"/>
    <w:rsid w:val="00E76421"/>
    <w:rsid w:val="00E7776E"/>
    <w:rsid w:val="00E77A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349"/>
    <w:rsid w:val="00EB4C35"/>
    <w:rsid w:val="00EB4EA2"/>
    <w:rsid w:val="00EB5B44"/>
    <w:rsid w:val="00EB7237"/>
    <w:rsid w:val="00EB7B69"/>
    <w:rsid w:val="00EC168A"/>
    <w:rsid w:val="00EC1DF7"/>
    <w:rsid w:val="00EC27C6"/>
    <w:rsid w:val="00EC3612"/>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566"/>
    <w:rsid w:val="00ED6BD6"/>
    <w:rsid w:val="00ED6E55"/>
    <w:rsid w:val="00ED78C9"/>
    <w:rsid w:val="00EE0F6E"/>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C61"/>
    <w:rsid w:val="00F15491"/>
    <w:rsid w:val="00F15FA5"/>
    <w:rsid w:val="00F163C6"/>
    <w:rsid w:val="00F1664B"/>
    <w:rsid w:val="00F168FA"/>
    <w:rsid w:val="00F16A6F"/>
    <w:rsid w:val="00F16BCD"/>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577F9"/>
    <w:rsid w:val="00F6015A"/>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0BE7"/>
    <w:rsid w:val="00FA20F7"/>
    <w:rsid w:val="00FA2205"/>
    <w:rsid w:val="00FA22F2"/>
    <w:rsid w:val="00FA22F8"/>
    <w:rsid w:val="00FA2BB3"/>
    <w:rsid w:val="00FA3FD7"/>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119D"/>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2BE"/>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styleId="PlaceholderText">
    <w:name w:val="Placeholder Text"/>
    <w:basedOn w:val="DefaultParagraphFont"/>
    <w:uiPriority w:val="67"/>
    <w:semiHidden/>
    <w:rsid w:val="00B060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6897544">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D13E346-834B-4948-ACC8-39A66CEFB9CB}">
  <ds:schemaRefs>
    <ds:schemaRef ds:uri="http://purl.org/dc/dcmitype/"/>
    <ds:schemaRef ds:uri="http://purl.org/dc/elements/1.1/"/>
    <ds:schemaRef ds:uri="http://schemas.microsoft.com/office/2006/documentManagement/types"/>
    <ds:schemaRef ds:uri="a98b0458-14e1-4e1f-a9ed-8418c6586003"/>
    <ds:schemaRef ds:uri="1a6b509d-2589-4a83-a0a0-28d3825bdbf3"/>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53F8B5CD-7DCE-4E36-857F-6F38AFF4B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953</TotalTime>
  <Pages>6</Pages>
  <Words>3034</Words>
  <Characters>17300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20294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Marinier, Paul</cp:lastModifiedBy>
  <cp:revision>16</cp:revision>
  <cp:lastPrinted>2014-08-07T20:35:00Z</cp:lastPrinted>
  <dcterms:created xsi:type="dcterms:W3CDTF">2015-09-25T04:14:00Z</dcterms:created>
  <dcterms:modified xsi:type="dcterms:W3CDTF">2015-09-25T22:27:00Z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