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284" w:rsidRDefault="00975284" w:rsidP="00975284">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 WG1 Meeting #80bis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R1-15</w:t>
      </w:r>
      <w:r w:rsidR="0025078A">
        <w:rPr>
          <w:rFonts w:ascii="Arial" w:eastAsia="SimSun" w:hAnsi="Arial" w:cs="Arial"/>
          <w:b/>
          <w:bCs/>
          <w:noProof/>
          <w:lang w:eastAsia="zh-CN"/>
        </w:rPr>
        <w:t>2003</w:t>
      </w:r>
    </w:p>
    <w:p w:rsidR="00975284" w:rsidRDefault="00975284" w:rsidP="00975284">
      <w:pPr>
        <w:pStyle w:val="FootnoteText"/>
        <w:rPr>
          <w:rFonts w:ascii="Arial" w:eastAsia="SimSun" w:hAnsi="Arial" w:cs="Arial"/>
          <w:b/>
          <w:bCs/>
          <w:noProof/>
          <w:lang w:eastAsia="zh-CN"/>
        </w:rPr>
      </w:pPr>
      <w:r>
        <w:rPr>
          <w:rFonts w:ascii="Arial" w:eastAsia="SimSun" w:hAnsi="Arial" w:cs="Arial"/>
          <w:b/>
          <w:bCs/>
          <w:noProof/>
          <w:lang w:eastAsia="zh-CN"/>
        </w:rPr>
        <w:t>Belgrade, Serbia, 20</w:t>
      </w:r>
      <w:r w:rsidRPr="00917ED6">
        <w:rPr>
          <w:rFonts w:ascii="Arial" w:eastAsia="SimSun" w:hAnsi="Arial" w:cs="Arial"/>
          <w:b/>
          <w:bCs/>
          <w:noProof/>
          <w:vertAlign w:val="superscript"/>
          <w:lang w:eastAsia="zh-CN"/>
        </w:rPr>
        <w:t>th</w:t>
      </w:r>
      <w:r>
        <w:rPr>
          <w:rFonts w:ascii="Arial" w:eastAsia="SimSun" w:hAnsi="Arial" w:cs="Arial"/>
          <w:b/>
          <w:bCs/>
          <w:noProof/>
          <w:lang w:eastAsia="zh-CN"/>
        </w:rPr>
        <w:t xml:space="preserve"> – 24</w:t>
      </w:r>
      <w:r w:rsidRPr="00CD503E">
        <w:rPr>
          <w:rFonts w:ascii="Arial" w:eastAsia="SimSun" w:hAnsi="Arial" w:cs="Arial"/>
          <w:b/>
          <w:bCs/>
          <w:noProof/>
          <w:vertAlign w:val="superscript"/>
          <w:lang w:eastAsia="zh-CN"/>
        </w:rPr>
        <w:t>th</w:t>
      </w:r>
      <w:r>
        <w:rPr>
          <w:rFonts w:ascii="Arial" w:eastAsia="SimSun" w:hAnsi="Arial" w:cs="Arial"/>
          <w:b/>
          <w:bCs/>
          <w:noProof/>
          <w:lang w:eastAsia="zh-CN"/>
        </w:rPr>
        <w:t xml:space="preserve"> April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551800">
        <w:rPr>
          <w:sz w:val="20"/>
          <w:lang w:val="en-US"/>
        </w:rPr>
        <w:t xml:space="preserve">On </w:t>
      </w:r>
      <w:r w:rsidR="006E1BFE">
        <w:rPr>
          <w:sz w:val="20"/>
          <w:lang w:val="en-US"/>
        </w:rPr>
        <w:t xml:space="preserve">UCI </w:t>
      </w:r>
      <w:r w:rsidR="00ED4DCD">
        <w:rPr>
          <w:sz w:val="20"/>
          <w:lang w:val="en-US"/>
        </w:rPr>
        <w:t>D</w:t>
      </w:r>
      <w:r w:rsidR="006E1BFE">
        <w:rPr>
          <w:sz w:val="20"/>
          <w:lang w:val="en-US"/>
        </w:rPr>
        <w:t>esign for</w:t>
      </w:r>
      <w:r w:rsidR="00975284">
        <w:rPr>
          <w:sz w:val="20"/>
          <w:lang w:val="en-US"/>
        </w:rPr>
        <w:t xml:space="preserve"> </w:t>
      </w:r>
      <w:r w:rsidR="00E157F4">
        <w:rPr>
          <w:sz w:val="20"/>
          <w:lang w:val="en-US"/>
        </w:rPr>
        <w:t>LAA</w:t>
      </w:r>
      <w:r w:rsidR="00C92803">
        <w:rPr>
          <w:sz w:val="20"/>
          <w:lang w:val="en-US"/>
        </w:rPr>
        <w:t xml:space="preserve"> with Only Downlink Transmissions</w:t>
      </w:r>
      <w:bookmarkStart w:id="3" w:name="_GoBack"/>
      <w:bookmarkEnd w:id="3"/>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975284">
        <w:rPr>
          <w:sz w:val="20"/>
          <w:lang w:val="en-US"/>
        </w:rPr>
        <w:t>7.</w:t>
      </w:r>
      <w:r w:rsidR="00030673">
        <w:rPr>
          <w:sz w:val="20"/>
          <w:lang w:val="en-US"/>
        </w:rPr>
        <w:t>2.</w:t>
      </w:r>
      <w:r w:rsidR="00975284">
        <w:rPr>
          <w:sz w:val="20"/>
          <w:lang w:val="en-US"/>
        </w:rPr>
        <w:t>4.</w:t>
      </w:r>
      <w:r w:rsidR="00030673">
        <w:rPr>
          <w:sz w:val="20"/>
          <w:lang w:val="en-US"/>
        </w:rPr>
        <w:t>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D2102F" w:rsidRPr="002D1463" w:rsidRDefault="00030673" w:rsidP="00F2315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063E53">
        <w:rPr>
          <w:rFonts w:ascii="Times New Roman" w:hAnsi="Times New Roman" w:cs="Times New Roman"/>
        </w:rPr>
        <w:t xml:space="preserve">some </w:t>
      </w:r>
      <w:r w:rsidR="00A66F08">
        <w:rPr>
          <w:rFonts w:ascii="Times New Roman" w:hAnsi="Times New Roman" w:cs="Times New Roman"/>
        </w:rPr>
        <w:t xml:space="preserve">details </w:t>
      </w:r>
      <w:r w:rsidR="002D1463">
        <w:rPr>
          <w:rFonts w:ascii="Times New Roman" w:hAnsi="Times New Roman" w:cs="Times New Roman"/>
        </w:rPr>
        <w:t>of</w:t>
      </w:r>
      <w:r w:rsidR="00D859E7">
        <w:rPr>
          <w:rFonts w:ascii="Times New Roman" w:hAnsi="Times New Roman" w:cs="Times New Roman"/>
        </w:rPr>
        <w:t xml:space="preserve"> UL control </w:t>
      </w:r>
      <w:r w:rsidR="001C6598">
        <w:rPr>
          <w:rFonts w:ascii="Times New Roman" w:hAnsi="Times New Roman" w:cs="Times New Roman"/>
        </w:rPr>
        <w:t>signaling</w:t>
      </w:r>
      <w:r w:rsidR="00D859E7">
        <w:rPr>
          <w:rFonts w:ascii="Times New Roman" w:hAnsi="Times New Roman" w:cs="Times New Roman"/>
        </w:rPr>
        <w:t xml:space="preserve"> design for</w:t>
      </w:r>
      <w:r w:rsidR="002216C7">
        <w:rPr>
          <w:rFonts w:ascii="Times New Roman" w:hAnsi="Times New Roman" w:cs="Times New Roman"/>
        </w:rPr>
        <w:t xml:space="preserve"> DL-only</w:t>
      </w:r>
      <w:r w:rsidR="002D1463">
        <w:rPr>
          <w:rFonts w:ascii="Times New Roman" w:hAnsi="Times New Roman" w:cs="Times New Roman"/>
        </w:rPr>
        <w:t xml:space="preserve"> LAA operation</w:t>
      </w:r>
      <w:r w:rsidR="00A66F08">
        <w:rPr>
          <w:rFonts w:ascii="Times New Roman" w:hAnsi="Times New Roman" w:cs="Times New Roman"/>
        </w:rPr>
        <w:t>.</w:t>
      </w:r>
      <w:r w:rsidR="00975284">
        <w:rPr>
          <w:rFonts w:ascii="Times New Roman" w:hAnsi="Times New Roman" w:cs="Times New Roman"/>
        </w:rPr>
        <w:t xml:space="preserve"> We discuss the UCI design for UL+DL LAA in </w:t>
      </w:r>
      <w:r w:rsidR="00975284">
        <w:rPr>
          <w:rFonts w:ascii="Times New Roman" w:hAnsi="Times New Roman" w:cs="Times New Roman"/>
        </w:rPr>
        <w:fldChar w:fldCharType="begin"/>
      </w:r>
      <w:r w:rsidR="00975284">
        <w:rPr>
          <w:rFonts w:ascii="Times New Roman" w:hAnsi="Times New Roman" w:cs="Times New Roman"/>
        </w:rPr>
        <w:instrText xml:space="preserve"> REF _Ref414116860 \r \h </w:instrText>
      </w:r>
      <w:r w:rsidR="00975284">
        <w:rPr>
          <w:rFonts w:ascii="Times New Roman" w:hAnsi="Times New Roman" w:cs="Times New Roman"/>
        </w:rPr>
      </w:r>
      <w:r w:rsidR="00975284">
        <w:rPr>
          <w:rFonts w:ascii="Times New Roman" w:hAnsi="Times New Roman" w:cs="Times New Roman"/>
        </w:rPr>
        <w:fldChar w:fldCharType="separate"/>
      </w:r>
      <w:r w:rsidR="00975284">
        <w:rPr>
          <w:rFonts w:ascii="Times New Roman" w:hAnsi="Times New Roman" w:cs="Times New Roman"/>
        </w:rPr>
        <w:t>[1]</w:t>
      </w:r>
      <w:r w:rsidR="00975284">
        <w:rPr>
          <w:rFonts w:ascii="Times New Roman" w:hAnsi="Times New Roman" w:cs="Times New Roman"/>
        </w:rPr>
        <w:fldChar w:fldCharType="end"/>
      </w:r>
      <w:r w:rsidR="00975284">
        <w:rPr>
          <w:rFonts w:ascii="Times New Roman" w:hAnsi="Times New Roman" w:cs="Times New Roman"/>
        </w:rPr>
        <w:t>.</w:t>
      </w:r>
    </w:p>
    <w:p w:rsidR="00A66F08" w:rsidRPr="00A66F08" w:rsidRDefault="002216C7" w:rsidP="00A66F08">
      <w:pPr>
        <w:pStyle w:val="Heading1"/>
      </w:pPr>
      <w:r>
        <w:t>Discussion</w:t>
      </w:r>
    </w:p>
    <w:p w:rsidR="00864AF7" w:rsidRDefault="00864AF7" w:rsidP="004C6A77">
      <w:pPr>
        <w:pStyle w:val="Heading2"/>
      </w:pPr>
      <w:r>
        <w:t>HARQ-ACK</w:t>
      </w:r>
    </w:p>
    <w:p w:rsidR="0028294E" w:rsidRDefault="0028294E" w:rsidP="0025078A">
      <w:pPr>
        <w:pStyle w:val="BodyText"/>
      </w:pPr>
      <w:r>
        <w:t>For the case of DL-only LAA operation, UCI is always sent on licensed carrier</w:t>
      </w:r>
      <w:r w:rsidR="00E659C7">
        <w:t>(s)</w:t>
      </w:r>
      <w:r>
        <w:t xml:space="preserve"> in the UL as there is no UL in the unlicensed spectrum. </w:t>
      </w:r>
      <w:r w:rsidR="004A70E4">
        <w:t>S</w:t>
      </w:r>
      <w:r>
        <w:t>pecifically</w:t>
      </w:r>
      <w:r w:rsidR="004A70E4">
        <w:t>,</w:t>
      </w:r>
      <w:r>
        <w:t xml:space="preserve"> the PUCCH is always transmitted on the </w:t>
      </w:r>
      <w:proofErr w:type="spellStart"/>
      <w:r>
        <w:t>PCell</w:t>
      </w:r>
      <w:proofErr w:type="spellEnd"/>
      <w:r w:rsidR="00EB62B2">
        <w:t xml:space="preserve"> and/or PUCCH-</w:t>
      </w:r>
      <w:proofErr w:type="spellStart"/>
      <w:r w:rsidR="00EB62B2">
        <w:t>SCell</w:t>
      </w:r>
      <w:proofErr w:type="spellEnd"/>
      <w:r w:rsidR="00EB62B2">
        <w:t xml:space="preserve"> in the licensed spectrum</w:t>
      </w:r>
      <w:r>
        <w:t xml:space="preserve"> and the UCI</w:t>
      </w:r>
      <w:r w:rsidR="004A70E4">
        <w:t>,</w:t>
      </w:r>
      <w:r>
        <w:t xml:space="preserve"> in case it is mapped to a PUSCH</w:t>
      </w:r>
      <w:r w:rsidR="004A70E4">
        <w:t>,</w:t>
      </w:r>
      <w:r>
        <w:t xml:space="preserve"> is mapped to PUSCH transmission on a </w:t>
      </w:r>
      <w:r w:rsidR="004A70E4">
        <w:t>c</w:t>
      </w:r>
      <w:r>
        <w:t xml:space="preserve">ell based on the Rel-12 </w:t>
      </w:r>
      <w:r w:rsidR="00F3459C">
        <w:t>prioritisation</w:t>
      </w:r>
      <w:r>
        <w:t xml:space="preserve"> rules. It is further clear that for DL-only LAA transmission</w:t>
      </w:r>
      <w:r w:rsidR="0025078A">
        <w:t>s</w:t>
      </w:r>
      <w:r w:rsidR="00863D0F">
        <w:t>,</w:t>
      </w:r>
      <w:r>
        <w:t xml:space="preserve"> the HARQ timing rules from </w:t>
      </w:r>
      <w:r w:rsidR="00D96E6C">
        <w:t xml:space="preserve">Rel-12 </w:t>
      </w:r>
      <w:r>
        <w:t xml:space="preserve">FDD-TDD CA can be reused assuming that the LAA DL-only </w:t>
      </w:r>
      <w:proofErr w:type="spellStart"/>
      <w:r>
        <w:t>SCell</w:t>
      </w:r>
      <w:proofErr w:type="spellEnd"/>
      <w:r>
        <w:t xml:space="preserve"> is </w:t>
      </w:r>
      <w:r w:rsidR="0025078A">
        <w:t>considered as</w:t>
      </w:r>
      <w:r w:rsidR="00D96E6C">
        <w:t xml:space="preserve"> an</w:t>
      </w:r>
      <w:r>
        <w:t xml:space="preserve"> FDD </w:t>
      </w:r>
      <w:proofErr w:type="spellStart"/>
      <w:r>
        <w:t>SCell</w:t>
      </w:r>
      <w:proofErr w:type="spellEnd"/>
      <w:r>
        <w:t>. The applicable specification language for this may however be different if both DL+UL LAA and DL-only LAA should fit within the same description. This could however be handled during the work item phase.</w:t>
      </w:r>
    </w:p>
    <w:p w:rsidR="002216C7" w:rsidRDefault="002216C7" w:rsidP="0025078A">
      <w:pPr>
        <w:pStyle w:val="BodyText"/>
      </w:pPr>
      <w:r>
        <w:t>An additional aspect that has been discussed for several RAN1 meeting</w:t>
      </w:r>
      <w:r w:rsidR="0025078A">
        <w:t>s</w:t>
      </w:r>
      <w:r>
        <w:t xml:space="preserve"> is a TTI that is only a portion of a subframe together with an additional alternative to have a TTI that is longer than 1 </w:t>
      </w:r>
      <w:proofErr w:type="spellStart"/>
      <w:r>
        <w:t>ms</w:t>
      </w:r>
      <w:proofErr w:type="spellEnd"/>
      <w:r>
        <w:t xml:space="preserve">. </w:t>
      </w:r>
      <w:proofErr w:type="gramStart"/>
      <w:r>
        <w:t>It</w:t>
      </w:r>
      <w:proofErr w:type="gramEnd"/>
      <w:r>
        <w:t xml:space="preserve"> is noted that both alternative</w:t>
      </w:r>
      <w:r w:rsidR="00E659C7">
        <w:t>s</w:t>
      </w:r>
      <w:r>
        <w:t xml:space="preserve"> </w:t>
      </w:r>
      <w:r w:rsidR="00E659C7">
        <w:t>are</w:t>
      </w:r>
      <w:r>
        <w:t xml:space="preserve"> not yet agreed to be included. However if they are agreed </w:t>
      </w:r>
      <w:r w:rsidR="00E659C7">
        <w:t xml:space="preserve">to be introduced </w:t>
      </w:r>
      <w:r>
        <w:t>it should be rather straight forward to design the HARQ timing for the</w:t>
      </w:r>
      <w:r w:rsidR="00E659C7">
        <w:t>se</w:t>
      </w:r>
      <w:r>
        <w:t xml:space="preserve"> case</w:t>
      </w:r>
      <w:r w:rsidR="00E659C7">
        <w:t>s</w:t>
      </w:r>
      <w:r>
        <w:t xml:space="preserve">. The HARQ timing should in principle be based on the ending time of the TTI. </w:t>
      </w:r>
      <w:r w:rsidR="00561EFE">
        <w:t>For example for DL-only LAA operation</w:t>
      </w:r>
      <w:r w:rsidR="00A23402">
        <w:t>, t</w:t>
      </w:r>
      <w:r w:rsidR="00A23402" w:rsidRPr="00A23402">
        <w:t xml:space="preserve">he time between the subframe when the data transmission ends and the HARQ-ACK feedback for the data transmission </w:t>
      </w:r>
      <w:r w:rsidR="00A23402">
        <w:t>can follow</w:t>
      </w:r>
      <w:r w:rsidR="00A23402" w:rsidRPr="00A23402">
        <w:t xml:space="preserve"> the DL HARQ-ACK timing based on existing CA </w:t>
      </w:r>
      <w:r w:rsidR="00A23402">
        <w:t>scheme</w:t>
      </w:r>
      <w:r w:rsidR="00A23402" w:rsidRPr="00A23402">
        <w:t xml:space="preserve"> assuming that </w:t>
      </w:r>
      <w:r w:rsidR="00A23402">
        <w:t xml:space="preserve">the LAA DL-only </w:t>
      </w:r>
      <w:proofErr w:type="spellStart"/>
      <w:r w:rsidR="00A23402">
        <w:t>SCell</w:t>
      </w:r>
      <w:proofErr w:type="spellEnd"/>
      <w:r w:rsidR="00A23402">
        <w:t xml:space="preserve"> </w:t>
      </w:r>
      <w:r w:rsidR="00A23402" w:rsidRPr="00A23402">
        <w:t xml:space="preserve">is </w:t>
      </w:r>
      <w:r w:rsidR="0025078A">
        <w:t>considered as</w:t>
      </w:r>
      <w:r w:rsidR="00A23402">
        <w:t xml:space="preserve"> an FDD </w:t>
      </w:r>
      <w:proofErr w:type="spellStart"/>
      <w:r w:rsidR="00A23402">
        <w:t>SCell</w:t>
      </w:r>
      <w:proofErr w:type="spellEnd"/>
      <w:r w:rsidR="00A23402">
        <w:t xml:space="preserve">. </w:t>
      </w:r>
    </w:p>
    <w:p w:rsidR="0036590F" w:rsidRDefault="00F67DAE" w:rsidP="0025078A">
      <w:pPr>
        <w:pStyle w:val="BodyText"/>
      </w:pPr>
      <w:r>
        <w:t xml:space="preserve">One aspect to </w:t>
      </w:r>
      <w:r w:rsidR="0062692A">
        <w:t xml:space="preserve">be </w:t>
      </w:r>
      <w:r>
        <w:t>consider</w:t>
      </w:r>
      <w:r w:rsidR="0062692A">
        <w:t>ed</w:t>
      </w:r>
      <w:r>
        <w:t xml:space="preserve"> is that the capacity of the</w:t>
      </w:r>
      <w:r w:rsidR="00A37652">
        <w:t xml:space="preserve"> UCI</w:t>
      </w:r>
      <w:r>
        <w:t xml:space="preserve"> feedback need</w:t>
      </w:r>
      <w:r w:rsidR="00C51158">
        <w:t>s</w:t>
      </w:r>
      <w:r>
        <w:t xml:space="preserve"> to be enhanced due to the aggregation of more carriers</w:t>
      </w:r>
      <w:r w:rsidR="00A37652">
        <w:t xml:space="preserve"> than Rel-12</w:t>
      </w:r>
      <w:r>
        <w:t xml:space="preserve"> since there could be a large number of unlicensed carriers in DL. </w:t>
      </w:r>
      <w:r w:rsidR="009D15DE">
        <w:t>In addition, it may be requi</w:t>
      </w:r>
      <w:r w:rsidR="00C51158">
        <w:t>red to support PUCCH on secondary</w:t>
      </w:r>
      <w:r w:rsidR="00F3459C">
        <w:t xml:space="preserve"> licensed</w:t>
      </w:r>
      <w:r w:rsidR="00C51158">
        <w:t xml:space="preserve"> cell(s)</w:t>
      </w:r>
      <w:r w:rsidR="009D15DE">
        <w:t xml:space="preserve">. </w:t>
      </w:r>
      <w:r w:rsidR="0036590F">
        <w:t xml:space="preserve">These enhancements </w:t>
      </w:r>
      <w:r w:rsidR="00C51158">
        <w:t>shall</w:t>
      </w:r>
      <w:r w:rsidR="0036590F">
        <w:t xml:space="preserve"> be discussed and designed in </w:t>
      </w:r>
      <w:r w:rsidR="00863D0F">
        <w:t xml:space="preserve">the </w:t>
      </w:r>
      <w:r w:rsidR="0036590F">
        <w:t>CA enhancement WI in Rel-13.</w:t>
      </w:r>
      <w:r>
        <w:t xml:space="preserve"> </w:t>
      </w:r>
    </w:p>
    <w:p w:rsidR="00F56C6C" w:rsidRPr="0025078A" w:rsidRDefault="00F56C6C" w:rsidP="0025078A">
      <w:pPr>
        <w:pStyle w:val="BodyText"/>
        <w:rPr>
          <w:b/>
        </w:rPr>
      </w:pPr>
      <w:r w:rsidRPr="0025078A">
        <w:rPr>
          <w:b/>
        </w:rPr>
        <w:t>Proposal</w:t>
      </w:r>
      <w:r w:rsidR="00C3415A" w:rsidRPr="0025078A">
        <w:rPr>
          <w:b/>
        </w:rPr>
        <w:t>:</w:t>
      </w:r>
    </w:p>
    <w:p w:rsidR="00975284" w:rsidRDefault="00F56C6C" w:rsidP="0025078A">
      <w:pPr>
        <w:pStyle w:val="BodyText"/>
        <w:numPr>
          <w:ilvl w:val="0"/>
          <w:numId w:val="23"/>
        </w:numPr>
        <w:rPr>
          <w:i/>
        </w:rPr>
      </w:pPr>
      <w:r w:rsidRPr="002216C7">
        <w:rPr>
          <w:i/>
        </w:rPr>
        <w:t xml:space="preserve">In case of DL-only LAA, </w:t>
      </w:r>
      <w:r w:rsidR="00975284">
        <w:rPr>
          <w:i/>
        </w:rPr>
        <w:t xml:space="preserve">it is recommended </w:t>
      </w:r>
      <w:r w:rsidRPr="002216C7">
        <w:rPr>
          <w:i/>
        </w:rPr>
        <w:t xml:space="preserve"> is to reuse the Rel-12 UCI mapping and timing rules</w:t>
      </w:r>
    </w:p>
    <w:p w:rsidR="00F56C6C" w:rsidRPr="002216C7" w:rsidRDefault="00975284" w:rsidP="0025078A">
      <w:pPr>
        <w:pStyle w:val="BodyText"/>
        <w:numPr>
          <w:ilvl w:val="0"/>
          <w:numId w:val="23"/>
        </w:numPr>
        <w:rPr>
          <w:i/>
        </w:rPr>
      </w:pPr>
      <w:r>
        <w:rPr>
          <w:i/>
        </w:rPr>
        <w:t xml:space="preserve">The applicability of UCI mapping rules defined within </w:t>
      </w:r>
      <w:proofErr w:type="spellStart"/>
      <w:r>
        <w:rPr>
          <w:i/>
        </w:rPr>
        <w:t>FeCA</w:t>
      </w:r>
      <w:proofErr w:type="spellEnd"/>
      <w:r>
        <w:rPr>
          <w:i/>
        </w:rPr>
        <w:t xml:space="preserve"> should be considered for LAA</w:t>
      </w:r>
    </w:p>
    <w:p w:rsidR="00864AF7" w:rsidRDefault="00864AF7" w:rsidP="00864AF7">
      <w:pPr>
        <w:pStyle w:val="Heading2"/>
      </w:pPr>
      <w:r>
        <w:t>Periodic CSI</w:t>
      </w:r>
    </w:p>
    <w:p w:rsidR="00864AF7" w:rsidRDefault="006C5B53" w:rsidP="0025078A">
      <w:pPr>
        <w:pStyle w:val="BodyText"/>
      </w:pPr>
      <w:r>
        <w:t xml:space="preserve">We discuss </w:t>
      </w:r>
      <w:r w:rsidR="00864AF7">
        <w:t xml:space="preserve">periodic CSI feedback in </w:t>
      </w:r>
      <w:r w:rsidR="00864AF7" w:rsidRPr="00F02CA0">
        <w:t>our companion contribution</w:t>
      </w:r>
      <w:r w:rsidR="00864AF7">
        <w:t xml:space="preserve"> </w:t>
      </w:r>
      <w:r w:rsidR="00864AF7">
        <w:fldChar w:fldCharType="begin"/>
      </w:r>
      <w:r w:rsidR="00864AF7">
        <w:instrText xml:space="preserve"> REF _Ref413847925 \r \h  \* MERGEFORMAT </w:instrText>
      </w:r>
      <w:r w:rsidR="00864AF7">
        <w:fldChar w:fldCharType="separate"/>
      </w:r>
      <w:r w:rsidR="00864AF7">
        <w:t>[2]</w:t>
      </w:r>
      <w:r w:rsidR="00864AF7">
        <w:fldChar w:fldCharType="end"/>
      </w:r>
      <w:r w:rsidR="00864AF7">
        <w:t xml:space="preserve"> </w:t>
      </w:r>
      <w:r>
        <w:t xml:space="preserve">and conclude </w:t>
      </w:r>
      <w:r w:rsidR="00864AF7">
        <w:t xml:space="preserve">that it is not necessary to support periodic CSI reports on LAA </w:t>
      </w:r>
      <w:proofErr w:type="spellStart"/>
      <w:r w:rsidR="00864AF7">
        <w:t>SCell</w:t>
      </w:r>
      <w:proofErr w:type="spellEnd"/>
      <w:r w:rsidR="00864AF7">
        <w:t xml:space="preserve"> due to the limited resolution and application. If, however, periodic CSI reporting is supported, the same principle as for HARQ-ACK feedback can be reused.</w:t>
      </w:r>
    </w:p>
    <w:p w:rsidR="00864AF7" w:rsidRPr="00172C60" w:rsidRDefault="00864AF7" w:rsidP="0025078A">
      <w:pPr>
        <w:pStyle w:val="BodyText"/>
        <w:rPr>
          <w:b/>
        </w:rPr>
      </w:pPr>
      <w:r w:rsidRPr="00172C60">
        <w:rPr>
          <w:b/>
        </w:rPr>
        <w:t>Proposal</w:t>
      </w:r>
    </w:p>
    <w:p w:rsidR="00864AF7" w:rsidRPr="00172C60" w:rsidRDefault="00864AF7" w:rsidP="00864AF7">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Periodic CSI reporting is not supported for an LAA </w:t>
      </w:r>
      <w:proofErr w:type="spellStart"/>
      <w:r w:rsidRPr="00172C60">
        <w:rPr>
          <w:rFonts w:ascii="Times New Roman" w:hAnsi="Times New Roman" w:cs="Times New Roman"/>
          <w:i/>
          <w:lang w:val="en-GB" w:eastAsia="zh-CN"/>
        </w:rPr>
        <w:t>SCell</w:t>
      </w:r>
      <w:proofErr w:type="spellEnd"/>
    </w:p>
    <w:p w:rsidR="00864AF7" w:rsidRDefault="00864AF7" w:rsidP="00864AF7">
      <w:pPr>
        <w:pStyle w:val="Heading2"/>
      </w:pPr>
      <w:r>
        <w:lastRenderedPageBreak/>
        <w:t>Aperiodic CSI</w:t>
      </w:r>
    </w:p>
    <w:p w:rsidR="00864AF7" w:rsidRDefault="00864AF7" w:rsidP="0025078A">
      <w:pPr>
        <w:pStyle w:val="BodyText"/>
      </w:pPr>
      <w:r>
        <w:t xml:space="preserve">Finally we consider how to support aperiodic CSI reporting for an LAA </w:t>
      </w:r>
      <w:proofErr w:type="spellStart"/>
      <w:r>
        <w:t>SCell</w:t>
      </w:r>
      <w:proofErr w:type="spellEnd"/>
      <w:r>
        <w:t xml:space="preserve">. If we operate with DL-only LAA </w:t>
      </w:r>
      <w:proofErr w:type="spellStart"/>
      <w:r>
        <w:t>SCell</w:t>
      </w:r>
      <w:proofErr w:type="spellEnd"/>
      <w:r>
        <w:t xml:space="preserve">, all the aperiodic CSI feedback will be reported on a carrier in licensed spectrum based on the Rel-12 specification and any additional enhancements from the </w:t>
      </w:r>
      <w:proofErr w:type="spellStart"/>
      <w:r>
        <w:t>FeCA</w:t>
      </w:r>
      <w:proofErr w:type="spellEnd"/>
      <w:r>
        <w:t xml:space="preserve"> Rel-13 WI. Similar to the HARQ-ACK feedback, the reporting timing framework in Rel-12 can be reused and no additional specification work is foreseen when considering the timing of when the aperiodic CSI is reported. However, how the UE does its measurements will be impacted by an LAA </w:t>
      </w:r>
      <w:proofErr w:type="spellStart"/>
      <w:r>
        <w:t>SCell</w:t>
      </w:r>
      <w:proofErr w:type="spellEnd"/>
      <w:r>
        <w:t xml:space="preserve"> and is further described in </w:t>
      </w:r>
      <w:r w:rsidRPr="00F02CA0">
        <w:t>our companion contribution</w:t>
      </w:r>
      <w:r>
        <w:t xml:space="preserve"> </w:t>
      </w:r>
      <w:r>
        <w:fldChar w:fldCharType="begin"/>
      </w:r>
      <w:r>
        <w:instrText xml:space="preserve"> REF _Ref413847925 \r \h  \* MERGEFORMAT </w:instrText>
      </w:r>
      <w:r>
        <w:fldChar w:fldCharType="separate"/>
      </w:r>
      <w:r>
        <w:t>[2]</w:t>
      </w:r>
      <w:r>
        <w:fldChar w:fldCharType="end"/>
      </w:r>
      <w:r>
        <w:t>.</w:t>
      </w:r>
    </w:p>
    <w:p w:rsidR="00864AF7" w:rsidRPr="00172C60" w:rsidRDefault="00864AF7" w:rsidP="0025078A">
      <w:pPr>
        <w:pStyle w:val="BodyText"/>
        <w:rPr>
          <w:b/>
        </w:rPr>
      </w:pPr>
      <w:r w:rsidRPr="00172C60">
        <w:rPr>
          <w:b/>
        </w:rPr>
        <w:t>Proposal</w:t>
      </w:r>
    </w:p>
    <w:p w:rsidR="00975284" w:rsidRPr="004C6A77" w:rsidRDefault="00864AF7" w:rsidP="004C6A77">
      <w:pPr>
        <w:pStyle w:val="ListParagraph"/>
        <w:numPr>
          <w:ilvl w:val="0"/>
          <w:numId w:val="17"/>
        </w:numPr>
        <w:jc w:val="both"/>
        <w:rPr>
          <w:rFonts w:ascii="Times New Roman" w:hAnsi="Times New Roman" w:cs="Times New Roman"/>
          <w:i/>
        </w:rPr>
      </w:pPr>
      <w:r>
        <w:rPr>
          <w:rFonts w:ascii="Times New Roman" w:hAnsi="Times New Roman" w:cs="Times New Roman"/>
          <w:i/>
        </w:rPr>
        <w:t xml:space="preserve">For DL-only LAA </w:t>
      </w:r>
      <w:proofErr w:type="spellStart"/>
      <w:r>
        <w:rPr>
          <w:rFonts w:ascii="Times New Roman" w:hAnsi="Times New Roman" w:cs="Times New Roman"/>
          <w:i/>
        </w:rPr>
        <w:t>SCell</w:t>
      </w:r>
      <w:proofErr w:type="spellEnd"/>
      <w:r>
        <w:rPr>
          <w:rFonts w:ascii="Times New Roman" w:hAnsi="Times New Roman" w:cs="Times New Roman"/>
          <w:i/>
        </w:rPr>
        <w:t xml:space="preserve"> no changes are foreseen </w:t>
      </w:r>
      <w:r w:rsidR="006C5B53">
        <w:rPr>
          <w:rFonts w:ascii="Times New Roman" w:hAnsi="Times New Roman" w:cs="Times New Roman"/>
          <w:i/>
        </w:rPr>
        <w:t>for aperiodic CSI report</w:t>
      </w:r>
      <w:r w:rsidR="006C5B53" w:rsidDel="00561EFE">
        <w:rPr>
          <w:rFonts w:ascii="Times New Roman" w:hAnsi="Times New Roman" w:cs="Times New Roman"/>
          <w:i/>
        </w:rPr>
        <w:t xml:space="preserve"> </w:t>
      </w:r>
      <w:r>
        <w:rPr>
          <w:rFonts w:ascii="Times New Roman" w:hAnsi="Times New Roman" w:cs="Times New Roman"/>
          <w:i/>
        </w:rPr>
        <w:t xml:space="preserve">timing </w:t>
      </w:r>
    </w:p>
    <w:p w:rsidR="001572E9" w:rsidRPr="001572E9" w:rsidRDefault="001572E9" w:rsidP="002216C7">
      <w:pPr>
        <w:pStyle w:val="Heading1"/>
        <w:jc w:val="both"/>
      </w:pPr>
      <w:r>
        <w:t>Conclusions</w:t>
      </w:r>
    </w:p>
    <w:p w:rsidR="00B7082B" w:rsidRDefault="001B746F" w:rsidP="0025078A">
      <w:pPr>
        <w:pStyle w:val="BodyText"/>
      </w:pPr>
      <w:r w:rsidRPr="00B04133">
        <w:rPr>
          <w:noProof/>
        </w:rPr>
        <w:t xml:space="preserve">In this contribution, we discussed </w:t>
      </w:r>
      <w:r w:rsidRPr="00B04133">
        <w:rPr>
          <w:iCs/>
        </w:rPr>
        <w:t xml:space="preserve">potential solutions for </w:t>
      </w:r>
      <w:r w:rsidR="00483EB6">
        <w:rPr>
          <w:iCs/>
        </w:rPr>
        <w:t>UCI design</w:t>
      </w:r>
      <w:r w:rsidRPr="00B04133">
        <w:rPr>
          <w:iCs/>
        </w:rPr>
        <w:t xml:space="preserve"> </w:t>
      </w:r>
      <w:r w:rsidR="00975284">
        <w:rPr>
          <w:iCs/>
        </w:rPr>
        <w:t>for DL-only</w:t>
      </w:r>
      <w:r w:rsidRPr="00B04133">
        <w:rPr>
          <w:iCs/>
        </w:rPr>
        <w:t xml:space="preserve"> LAA.</w:t>
      </w:r>
      <w:r w:rsidRPr="00B04133">
        <w:t xml:space="preserve"> </w:t>
      </w:r>
      <w:r w:rsidR="00975284">
        <w:t xml:space="preserve">Based on the discussion we </w:t>
      </w:r>
      <w:r w:rsidR="00B7082B">
        <w:t>make the following proposals</w:t>
      </w:r>
      <w:r w:rsidR="00975284">
        <w:t>:</w:t>
      </w:r>
    </w:p>
    <w:p w:rsidR="001572E9" w:rsidRDefault="00B7082B" w:rsidP="0025078A">
      <w:pPr>
        <w:pStyle w:val="BodyText"/>
      </w:pPr>
      <w:r w:rsidRPr="00172C60">
        <w:rPr>
          <w:b/>
        </w:rPr>
        <w:t>Proposal</w:t>
      </w:r>
      <w:r>
        <w:rPr>
          <w:b/>
        </w:rPr>
        <w:t>:</w:t>
      </w:r>
    </w:p>
    <w:p w:rsidR="00975284" w:rsidRPr="004C6A77" w:rsidRDefault="00975284" w:rsidP="00975284">
      <w:pPr>
        <w:pStyle w:val="ListParagraph"/>
        <w:numPr>
          <w:ilvl w:val="0"/>
          <w:numId w:val="17"/>
        </w:numPr>
        <w:jc w:val="both"/>
        <w:rPr>
          <w:rFonts w:ascii="Times New Roman" w:hAnsi="Times New Roman" w:cs="Times New Roman"/>
          <w:lang w:val="en-GB" w:eastAsia="zh-CN"/>
        </w:rPr>
      </w:pPr>
      <w:r w:rsidRPr="004C6A77">
        <w:rPr>
          <w:rFonts w:ascii="Times New Roman" w:hAnsi="Times New Roman" w:cs="Times New Roman"/>
          <w:lang w:val="en-GB" w:eastAsia="zh-CN"/>
        </w:rPr>
        <w:t>In case of DL-only LAA, it is recommended to reuse the Rel-12 UCI mapping and timing rules</w:t>
      </w:r>
    </w:p>
    <w:p w:rsidR="00975284" w:rsidRDefault="00975284" w:rsidP="00975284">
      <w:pPr>
        <w:pStyle w:val="ListParagraph"/>
        <w:numPr>
          <w:ilvl w:val="0"/>
          <w:numId w:val="17"/>
        </w:numPr>
        <w:jc w:val="both"/>
        <w:rPr>
          <w:rFonts w:ascii="Times New Roman" w:hAnsi="Times New Roman" w:cs="Times New Roman"/>
          <w:lang w:val="en-GB" w:eastAsia="zh-CN"/>
        </w:rPr>
      </w:pPr>
      <w:r w:rsidRPr="004C6A77">
        <w:rPr>
          <w:rFonts w:ascii="Times New Roman" w:hAnsi="Times New Roman" w:cs="Times New Roman"/>
          <w:lang w:val="en-GB" w:eastAsia="zh-CN"/>
        </w:rPr>
        <w:t xml:space="preserve">The applicability of UCI mapping rules defined within </w:t>
      </w:r>
      <w:proofErr w:type="spellStart"/>
      <w:r w:rsidRPr="004C6A77">
        <w:rPr>
          <w:rFonts w:ascii="Times New Roman" w:hAnsi="Times New Roman" w:cs="Times New Roman"/>
          <w:lang w:val="en-GB" w:eastAsia="zh-CN"/>
        </w:rPr>
        <w:t>FeCA</w:t>
      </w:r>
      <w:proofErr w:type="spellEnd"/>
      <w:r w:rsidRPr="004C6A77">
        <w:rPr>
          <w:rFonts w:ascii="Times New Roman" w:hAnsi="Times New Roman" w:cs="Times New Roman"/>
          <w:lang w:val="en-GB" w:eastAsia="zh-CN"/>
        </w:rPr>
        <w:t xml:space="preserve"> should be considered for LAA</w:t>
      </w:r>
    </w:p>
    <w:p w:rsidR="00864AF7" w:rsidRPr="004C6A77" w:rsidRDefault="00864AF7">
      <w:pPr>
        <w:pStyle w:val="ListParagraph"/>
        <w:numPr>
          <w:ilvl w:val="0"/>
          <w:numId w:val="17"/>
        </w:numPr>
        <w:jc w:val="both"/>
        <w:rPr>
          <w:rFonts w:ascii="Times New Roman" w:hAnsi="Times New Roman" w:cs="Times New Roman"/>
          <w:lang w:val="en-GB" w:eastAsia="zh-CN"/>
        </w:rPr>
      </w:pPr>
      <w:r w:rsidRPr="004C6A77">
        <w:rPr>
          <w:rFonts w:ascii="Times New Roman" w:hAnsi="Times New Roman" w:cs="Times New Roman"/>
          <w:lang w:val="en-GB" w:eastAsia="zh-CN"/>
        </w:rPr>
        <w:t xml:space="preserve">Periodic CSI reporting is not supported for an LAA </w:t>
      </w:r>
      <w:proofErr w:type="spellStart"/>
      <w:r w:rsidRPr="004C6A77">
        <w:rPr>
          <w:rFonts w:ascii="Times New Roman" w:hAnsi="Times New Roman" w:cs="Times New Roman"/>
          <w:lang w:val="en-GB" w:eastAsia="zh-CN"/>
        </w:rPr>
        <w:t>SCell</w:t>
      </w:r>
      <w:proofErr w:type="spellEnd"/>
    </w:p>
    <w:p w:rsidR="00864AF7" w:rsidRPr="004C6A77" w:rsidRDefault="00864AF7">
      <w:pPr>
        <w:pStyle w:val="ListParagraph"/>
        <w:numPr>
          <w:ilvl w:val="0"/>
          <w:numId w:val="17"/>
        </w:numPr>
        <w:jc w:val="both"/>
        <w:rPr>
          <w:rFonts w:ascii="Times New Roman" w:hAnsi="Times New Roman" w:cs="Times New Roman"/>
        </w:rPr>
      </w:pPr>
      <w:r w:rsidRPr="004C6A77">
        <w:rPr>
          <w:rFonts w:ascii="Times New Roman" w:hAnsi="Times New Roman" w:cs="Times New Roman"/>
        </w:rPr>
        <w:t xml:space="preserve">For DL-only LAA </w:t>
      </w:r>
      <w:proofErr w:type="spellStart"/>
      <w:r w:rsidRPr="004C6A77">
        <w:rPr>
          <w:rFonts w:ascii="Times New Roman" w:hAnsi="Times New Roman" w:cs="Times New Roman"/>
        </w:rPr>
        <w:t>SCell</w:t>
      </w:r>
      <w:proofErr w:type="spellEnd"/>
      <w:r w:rsidRPr="004C6A77">
        <w:rPr>
          <w:rFonts w:ascii="Times New Roman" w:hAnsi="Times New Roman" w:cs="Times New Roman"/>
        </w:rPr>
        <w:t xml:space="preserve"> no changes are foreseen for</w:t>
      </w:r>
      <w:r w:rsidR="006C5B53" w:rsidRPr="006C5B53">
        <w:rPr>
          <w:rFonts w:ascii="Times New Roman" w:hAnsi="Times New Roman" w:cs="Times New Roman"/>
        </w:rPr>
        <w:t xml:space="preserve"> </w:t>
      </w:r>
      <w:r w:rsidR="006C5B53" w:rsidRPr="00895867">
        <w:rPr>
          <w:rFonts w:ascii="Times New Roman" w:hAnsi="Times New Roman" w:cs="Times New Roman"/>
        </w:rPr>
        <w:t>aperiodic CSI report</w:t>
      </w:r>
      <w:r w:rsidR="006C5B53">
        <w:rPr>
          <w:rFonts w:ascii="Times New Roman" w:hAnsi="Times New Roman" w:cs="Times New Roman"/>
        </w:rPr>
        <w:t xml:space="preserve"> </w:t>
      </w:r>
      <w:r w:rsidRPr="004C6A77">
        <w:rPr>
          <w:rFonts w:ascii="Times New Roman" w:hAnsi="Times New Roman" w:cs="Times New Roman"/>
        </w:rPr>
        <w:t xml:space="preserve">timing </w:t>
      </w:r>
    </w:p>
    <w:p w:rsidR="00930889" w:rsidRPr="002216C7" w:rsidRDefault="00930889" w:rsidP="002216C7">
      <w:pPr>
        <w:jc w:val="both"/>
        <w:rPr>
          <w:rFonts w:ascii="Times New Roman" w:hAnsi="Times New Roman" w:cs="Times New Roman"/>
          <w:lang w:val="en-GB"/>
        </w:rPr>
      </w:pPr>
    </w:p>
    <w:p w:rsidR="002F01B6" w:rsidRPr="00D2102F" w:rsidRDefault="00B04133" w:rsidP="00D2102F">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p w:rsidR="00135B0D" w:rsidRDefault="00A66F08">
      <w:pPr>
        <w:pStyle w:val="Reference"/>
        <w:rPr>
          <w:lang w:val="en-US"/>
        </w:rPr>
      </w:pPr>
      <w:bookmarkStart w:id="13" w:name="_Ref409516346"/>
      <w:bookmarkStart w:id="14" w:name="_Ref413672092"/>
      <w:r>
        <w:rPr>
          <w:lang w:val="en-US"/>
        </w:rPr>
        <w:t>R1-15</w:t>
      </w:r>
      <w:r w:rsidR="0025078A">
        <w:rPr>
          <w:lang w:val="en-US"/>
        </w:rPr>
        <w:t>2004</w:t>
      </w:r>
      <w:r w:rsidR="0036590F" w:rsidRPr="0036590F">
        <w:t xml:space="preserve"> </w:t>
      </w:r>
      <w:r w:rsidR="00975284">
        <w:rPr>
          <w:lang w:val="en-US"/>
        </w:rPr>
        <w:t>On UCI Design for UL+DL LAA</w:t>
      </w:r>
      <w:r w:rsidR="0036590F">
        <w:rPr>
          <w:lang w:val="en-US"/>
        </w:rPr>
        <w:t>,</w:t>
      </w:r>
      <w:r>
        <w:rPr>
          <w:lang w:val="en-US"/>
        </w:rPr>
        <w:t xml:space="preserve"> Ericsson</w:t>
      </w:r>
    </w:p>
    <w:p w:rsidR="009165ED" w:rsidRDefault="00135B0D" w:rsidP="00135B0D">
      <w:pPr>
        <w:pStyle w:val="Reference"/>
      </w:pPr>
      <w:r>
        <w:rPr>
          <w:lang w:val="en-US"/>
        </w:rPr>
        <w:t xml:space="preserve">R1-152011 </w:t>
      </w:r>
      <w:r w:rsidRPr="00135B0D">
        <w:rPr>
          <w:lang w:val="en-US"/>
        </w:rPr>
        <w:t>Further Discussion on  Support of CSI Measurement and Reporting for LAA</w:t>
      </w:r>
      <w:bookmarkEnd w:id="5"/>
      <w:bookmarkEnd w:id="6"/>
      <w:bookmarkEnd w:id="7"/>
      <w:bookmarkEnd w:id="8"/>
      <w:bookmarkEnd w:id="9"/>
      <w:bookmarkEnd w:id="10"/>
      <w:bookmarkEnd w:id="11"/>
      <w:bookmarkEnd w:id="12"/>
      <w:bookmarkEnd w:id="13"/>
      <w:bookmarkEnd w:id="14"/>
      <w:r>
        <w:t>, Ericsson</w:t>
      </w:r>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307D0E"/>
    <w:multiLevelType w:val="hybridMultilevel"/>
    <w:tmpl w:val="867A8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16"/>
  </w:num>
  <w:num w:numId="6">
    <w:abstractNumId w:val="19"/>
  </w:num>
  <w:num w:numId="7">
    <w:abstractNumId w:val="0"/>
  </w:num>
  <w:num w:numId="8">
    <w:abstractNumId w:val="3"/>
  </w:num>
  <w:num w:numId="9">
    <w:abstractNumId w:val="2"/>
  </w:num>
  <w:num w:numId="10">
    <w:abstractNumId w:val="18"/>
  </w:num>
  <w:num w:numId="11">
    <w:abstractNumId w:val="17"/>
  </w:num>
  <w:num w:numId="12">
    <w:abstractNumId w:val="7"/>
  </w:num>
  <w:num w:numId="13">
    <w:abstractNumId w:val="13"/>
  </w:num>
  <w:num w:numId="14">
    <w:abstractNumId w:val="1"/>
  </w:num>
  <w:num w:numId="15">
    <w:abstractNumId w:val="1"/>
  </w:num>
  <w:num w:numId="16">
    <w:abstractNumId w:val="1"/>
  </w:num>
  <w:num w:numId="17">
    <w:abstractNumId w:val="15"/>
  </w:num>
  <w:num w:numId="18">
    <w:abstractNumId w:val="14"/>
  </w:num>
  <w:num w:numId="19">
    <w:abstractNumId w:val="8"/>
  </w:num>
  <w:num w:numId="20">
    <w:abstractNumId w:val="10"/>
  </w:num>
  <w:num w:numId="21">
    <w:abstractNumId w:val="9"/>
  </w:num>
  <w:num w:numId="22">
    <w:abstractNumId w:val="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266F6"/>
    <w:rsid w:val="00030673"/>
    <w:rsid w:val="0003302C"/>
    <w:rsid w:val="00057504"/>
    <w:rsid w:val="00063E53"/>
    <w:rsid w:val="000856C4"/>
    <w:rsid w:val="0009453A"/>
    <w:rsid w:val="000A3D9A"/>
    <w:rsid w:val="000D1B56"/>
    <w:rsid w:val="000D76C9"/>
    <w:rsid w:val="000F1467"/>
    <w:rsid w:val="001015B2"/>
    <w:rsid w:val="0011282E"/>
    <w:rsid w:val="001236DF"/>
    <w:rsid w:val="00125144"/>
    <w:rsid w:val="00135B0D"/>
    <w:rsid w:val="00152B34"/>
    <w:rsid w:val="001572E9"/>
    <w:rsid w:val="001715F3"/>
    <w:rsid w:val="00173267"/>
    <w:rsid w:val="001759E6"/>
    <w:rsid w:val="00183286"/>
    <w:rsid w:val="001A54F7"/>
    <w:rsid w:val="001B746F"/>
    <w:rsid w:val="001C6598"/>
    <w:rsid w:val="001E34C7"/>
    <w:rsid w:val="001F1C68"/>
    <w:rsid w:val="002204F5"/>
    <w:rsid w:val="002216C7"/>
    <w:rsid w:val="0025078A"/>
    <w:rsid w:val="0028294E"/>
    <w:rsid w:val="002A46AF"/>
    <w:rsid w:val="002B1C81"/>
    <w:rsid w:val="002D1463"/>
    <w:rsid w:val="002E414E"/>
    <w:rsid w:val="002F01B6"/>
    <w:rsid w:val="002F6DD6"/>
    <w:rsid w:val="00313386"/>
    <w:rsid w:val="003517AC"/>
    <w:rsid w:val="00355C18"/>
    <w:rsid w:val="00363C5A"/>
    <w:rsid w:val="0036590F"/>
    <w:rsid w:val="003677C3"/>
    <w:rsid w:val="00387607"/>
    <w:rsid w:val="003A4634"/>
    <w:rsid w:val="003B3878"/>
    <w:rsid w:val="003D70AB"/>
    <w:rsid w:val="003E5855"/>
    <w:rsid w:val="003F259B"/>
    <w:rsid w:val="003F3DC9"/>
    <w:rsid w:val="004040EB"/>
    <w:rsid w:val="00412317"/>
    <w:rsid w:val="00413AB3"/>
    <w:rsid w:val="0043007F"/>
    <w:rsid w:val="00431084"/>
    <w:rsid w:val="0043623A"/>
    <w:rsid w:val="00442407"/>
    <w:rsid w:val="00454A70"/>
    <w:rsid w:val="00461D53"/>
    <w:rsid w:val="0047596D"/>
    <w:rsid w:val="00483EB6"/>
    <w:rsid w:val="00493F97"/>
    <w:rsid w:val="004A6921"/>
    <w:rsid w:val="004A6D97"/>
    <w:rsid w:val="004A70E4"/>
    <w:rsid w:val="004B5767"/>
    <w:rsid w:val="004C30B9"/>
    <w:rsid w:val="004C6A77"/>
    <w:rsid w:val="004E048A"/>
    <w:rsid w:val="004E2868"/>
    <w:rsid w:val="004E28F0"/>
    <w:rsid w:val="004F40C8"/>
    <w:rsid w:val="00504232"/>
    <w:rsid w:val="00506833"/>
    <w:rsid w:val="005424C7"/>
    <w:rsid w:val="00547DF7"/>
    <w:rsid w:val="00551800"/>
    <w:rsid w:val="00561EFE"/>
    <w:rsid w:val="00574F44"/>
    <w:rsid w:val="005812D6"/>
    <w:rsid w:val="005873E6"/>
    <w:rsid w:val="0059205B"/>
    <w:rsid w:val="00595690"/>
    <w:rsid w:val="005A0EC1"/>
    <w:rsid w:val="005D1738"/>
    <w:rsid w:val="005E4668"/>
    <w:rsid w:val="005F4415"/>
    <w:rsid w:val="00603796"/>
    <w:rsid w:val="0062163A"/>
    <w:rsid w:val="0062692A"/>
    <w:rsid w:val="0067044E"/>
    <w:rsid w:val="00672F37"/>
    <w:rsid w:val="00675CBC"/>
    <w:rsid w:val="00676F4E"/>
    <w:rsid w:val="00680856"/>
    <w:rsid w:val="0069692A"/>
    <w:rsid w:val="006C5B53"/>
    <w:rsid w:val="006D485B"/>
    <w:rsid w:val="006E1BFE"/>
    <w:rsid w:val="006F08AE"/>
    <w:rsid w:val="00715C06"/>
    <w:rsid w:val="007240E2"/>
    <w:rsid w:val="007356C1"/>
    <w:rsid w:val="00747EC0"/>
    <w:rsid w:val="00761079"/>
    <w:rsid w:val="007815FB"/>
    <w:rsid w:val="007907E8"/>
    <w:rsid w:val="007A414C"/>
    <w:rsid w:val="007B109C"/>
    <w:rsid w:val="007B182D"/>
    <w:rsid w:val="007C1E85"/>
    <w:rsid w:val="007D58A6"/>
    <w:rsid w:val="007D5AE9"/>
    <w:rsid w:val="007E5CBE"/>
    <w:rsid w:val="007F6E43"/>
    <w:rsid w:val="0080007E"/>
    <w:rsid w:val="0080079B"/>
    <w:rsid w:val="00816C12"/>
    <w:rsid w:val="00843E15"/>
    <w:rsid w:val="00852F62"/>
    <w:rsid w:val="00863D0F"/>
    <w:rsid w:val="00864AF7"/>
    <w:rsid w:val="00872340"/>
    <w:rsid w:val="0087349C"/>
    <w:rsid w:val="00887A31"/>
    <w:rsid w:val="008908E0"/>
    <w:rsid w:val="008924E1"/>
    <w:rsid w:val="008B44E3"/>
    <w:rsid w:val="008D48DE"/>
    <w:rsid w:val="00907A6B"/>
    <w:rsid w:val="009165ED"/>
    <w:rsid w:val="00930889"/>
    <w:rsid w:val="0093259E"/>
    <w:rsid w:val="00943557"/>
    <w:rsid w:val="00946EA2"/>
    <w:rsid w:val="009536D6"/>
    <w:rsid w:val="009570EC"/>
    <w:rsid w:val="0096116B"/>
    <w:rsid w:val="009632F8"/>
    <w:rsid w:val="00965B83"/>
    <w:rsid w:val="009732A1"/>
    <w:rsid w:val="00975284"/>
    <w:rsid w:val="0098243A"/>
    <w:rsid w:val="00985921"/>
    <w:rsid w:val="00985BF0"/>
    <w:rsid w:val="00995FA7"/>
    <w:rsid w:val="009B2EA8"/>
    <w:rsid w:val="009C1315"/>
    <w:rsid w:val="009D15DE"/>
    <w:rsid w:val="009D3787"/>
    <w:rsid w:val="009F4B23"/>
    <w:rsid w:val="00A02495"/>
    <w:rsid w:val="00A23402"/>
    <w:rsid w:val="00A33581"/>
    <w:rsid w:val="00A35371"/>
    <w:rsid w:val="00A37652"/>
    <w:rsid w:val="00A40B54"/>
    <w:rsid w:val="00A451C9"/>
    <w:rsid w:val="00A617FE"/>
    <w:rsid w:val="00A66F08"/>
    <w:rsid w:val="00A844F9"/>
    <w:rsid w:val="00A906FF"/>
    <w:rsid w:val="00AA2290"/>
    <w:rsid w:val="00AB2A33"/>
    <w:rsid w:val="00AC3390"/>
    <w:rsid w:val="00AE7B4D"/>
    <w:rsid w:val="00B04133"/>
    <w:rsid w:val="00B36E6D"/>
    <w:rsid w:val="00B50189"/>
    <w:rsid w:val="00B51417"/>
    <w:rsid w:val="00B54C33"/>
    <w:rsid w:val="00B67B7B"/>
    <w:rsid w:val="00B7082B"/>
    <w:rsid w:val="00B74694"/>
    <w:rsid w:val="00B80AA5"/>
    <w:rsid w:val="00B90101"/>
    <w:rsid w:val="00B9047A"/>
    <w:rsid w:val="00BA6C17"/>
    <w:rsid w:val="00BF0A50"/>
    <w:rsid w:val="00BF3E81"/>
    <w:rsid w:val="00C3415A"/>
    <w:rsid w:val="00C3535D"/>
    <w:rsid w:val="00C4425B"/>
    <w:rsid w:val="00C509F9"/>
    <w:rsid w:val="00C51158"/>
    <w:rsid w:val="00C732DA"/>
    <w:rsid w:val="00C7707B"/>
    <w:rsid w:val="00C853EC"/>
    <w:rsid w:val="00C9274F"/>
    <w:rsid w:val="00C92803"/>
    <w:rsid w:val="00C93FA6"/>
    <w:rsid w:val="00CE3A7A"/>
    <w:rsid w:val="00CF2A3D"/>
    <w:rsid w:val="00D0015E"/>
    <w:rsid w:val="00D05639"/>
    <w:rsid w:val="00D06F20"/>
    <w:rsid w:val="00D11FD8"/>
    <w:rsid w:val="00D2102F"/>
    <w:rsid w:val="00D224FF"/>
    <w:rsid w:val="00D32C73"/>
    <w:rsid w:val="00D52433"/>
    <w:rsid w:val="00D526CD"/>
    <w:rsid w:val="00D56EE7"/>
    <w:rsid w:val="00D64190"/>
    <w:rsid w:val="00D73540"/>
    <w:rsid w:val="00D825E9"/>
    <w:rsid w:val="00D84A9C"/>
    <w:rsid w:val="00D859E7"/>
    <w:rsid w:val="00D922C2"/>
    <w:rsid w:val="00D94792"/>
    <w:rsid w:val="00D96E6C"/>
    <w:rsid w:val="00DD2C4D"/>
    <w:rsid w:val="00E11063"/>
    <w:rsid w:val="00E112BE"/>
    <w:rsid w:val="00E12272"/>
    <w:rsid w:val="00E157F4"/>
    <w:rsid w:val="00E25CCE"/>
    <w:rsid w:val="00E659C7"/>
    <w:rsid w:val="00E7284C"/>
    <w:rsid w:val="00E91B4C"/>
    <w:rsid w:val="00EB62B2"/>
    <w:rsid w:val="00EC3378"/>
    <w:rsid w:val="00EC75B5"/>
    <w:rsid w:val="00ED4DCD"/>
    <w:rsid w:val="00F04084"/>
    <w:rsid w:val="00F102E3"/>
    <w:rsid w:val="00F166F4"/>
    <w:rsid w:val="00F20C2C"/>
    <w:rsid w:val="00F23153"/>
    <w:rsid w:val="00F3459C"/>
    <w:rsid w:val="00F40CA9"/>
    <w:rsid w:val="00F51694"/>
    <w:rsid w:val="00F56C6C"/>
    <w:rsid w:val="00F67DAE"/>
    <w:rsid w:val="00F72B46"/>
    <w:rsid w:val="00F92831"/>
    <w:rsid w:val="00F94C81"/>
    <w:rsid w:val="00FA2F60"/>
    <w:rsid w:val="00FB7AAA"/>
    <w:rsid w:val="00FC5B84"/>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49060481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044479771">
      <w:bodyDiv w:val="1"/>
      <w:marLeft w:val="0"/>
      <w:marRight w:val="0"/>
      <w:marTop w:val="0"/>
      <w:marBottom w:val="0"/>
      <w:divBdr>
        <w:top w:val="none" w:sz="0" w:space="0" w:color="auto"/>
        <w:left w:val="none" w:sz="0" w:space="0" w:color="auto"/>
        <w:bottom w:val="none" w:sz="0" w:space="0" w:color="auto"/>
        <w:right w:val="none" w:sz="0" w:space="0" w:color="auto"/>
      </w:divBdr>
      <w:divsChild>
        <w:div w:id="426466105">
          <w:marLeft w:val="1166"/>
          <w:marRight w:val="0"/>
          <w:marTop w:val="134"/>
          <w:marBottom w:val="0"/>
          <w:divBdr>
            <w:top w:val="none" w:sz="0" w:space="0" w:color="auto"/>
            <w:left w:val="none" w:sz="0" w:space="0" w:color="auto"/>
            <w:bottom w:val="none" w:sz="0" w:space="0" w:color="auto"/>
            <w:right w:val="none" w:sz="0" w:space="0" w:color="auto"/>
          </w:divBdr>
        </w:div>
      </w:divsChild>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43376-9498-499C-AA3A-DF6A0EAC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2015-04-11T02:20:00Z</dcterms:created>
  <dcterms:modified xsi:type="dcterms:W3CDTF">2015-04-11T03:49:00Z</dcterms:modified>
</cp:coreProperties>
</file>