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D7B" w:rsidRDefault="00366D7B" w:rsidP="00051368">
      <w:pPr>
        <w:tabs>
          <w:tab w:val="right" w:pos="9360"/>
        </w:tabs>
        <w:jc w:val="both"/>
        <w:rPr>
          <w:rFonts w:ascii="Arial" w:eastAsia="MS Mincho" w:hAnsi="Arial"/>
          <w:b/>
          <w:bCs/>
        </w:rPr>
      </w:pPr>
      <w:bookmarkStart w:id="0" w:name="OLE_LINK1"/>
      <w:r>
        <w:rPr>
          <w:rFonts w:ascii="Arial" w:eastAsia="MS Mincho" w:hAnsi="Arial"/>
          <w:b/>
          <w:bCs/>
        </w:rPr>
        <w:t>3GPP TSG RAN WG1 Meeting #80</w:t>
      </w:r>
      <w:r w:rsidR="00051368" w:rsidRPr="00051368">
        <w:rPr>
          <w:rFonts w:ascii="Arial" w:eastAsia="MS Mincho" w:hAnsi="Arial"/>
          <w:b/>
          <w:bCs/>
        </w:rPr>
        <w:t xml:space="preserve">                              </w:t>
      </w:r>
      <w:r>
        <w:rPr>
          <w:rFonts w:ascii="Arial" w:eastAsia="MS Mincho" w:hAnsi="Arial"/>
          <w:b/>
          <w:bCs/>
        </w:rPr>
        <w:t xml:space="preserve">                               </w:t>
      </w:r>
      <w:r w:rsidR="00051368" w:rsidRPr="00051368">
        <w:rPr>
          <w:rFonts w:ascii="Arial" w:eastAsia="MS Mincho" w:hAnsi="Arial"/>
          <w:b/>
          <w:bCs/>
        </w:rPr>
        <w:t xml:space="preserve">               R1-1</w:t>
      </w:r>
      <w:r>
        <w:rPr>
          <w:rFonts w:ascii="Arial" w:eastAsia="MS Mincho" w:hAnsi="Arial"/>
          <w:b/>
          <w:bCs/>
        </w:rPr>
        <w:t>5</w:t>
      </w:r>
      <w:r w:rsidR="003C0FD2">
        <w:rPr>
          <w:rFonts w:ascii="Arial" w:eastAsia="MS Mincho" w:hAnsi="Arial"/>
          <w:b/>
          <w:bCs/>
        </w:rPr>
        <w:t>0583</w:t>
      </w:r>
    </w:p>
    <w:p w:rsidR="00051368" w:rsidRDefault="00366D7B" w:rsidP="00051368">
      <w:pPr>
        <w:tabs>
          <w:tab w:val="right" w:pos="9360"/>
        </w:tabs>
        <w:jc w:val="both"/>
        <w:rPr>
          <w:rFonts w:ascii="Arial" w:eastAsia="MS Mincho" w:hAnsi="Arial"/>
          <w:b/>
          <w:bCs/>
        </w:rPr>
      </w:pPr>
      <w:r w:rsidRPr="00366D7B">
        <w:rPr>
          <w:rFonts w:ascii="Arial" w:eastAsia="MS Mincho" w:hAnsi="Arial"/>
          <w:b/>
          <w:bCs/>
        </w:rPr>
        <w:t>Athens, Greece, 9th – 13th February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7E4D40" w:rsidRPr="00E70914" w:rsidRDefault="007E4D40" w:rsidP="007E4D40">
      <w:pPr>
        <w:pStyle w:val="Header"/>
        <w:tabs>
          <w:tab w:val="clear" w:pos="4536"/>
          <w:tab w:val="left" w:pos="1800"/>
        </w:tabs>
        <w:jc w:val="both"/>
      </w:pPr>
      <w:r w:rsidRPr="00E70914">
        <w:t>Title:</w:t>
      </w:r>
      <w:r w:rsidRPr="00E70914">
        <w:tab/>
      </w:r>
      <w:r w:rsidR="0059550C">
        <w:t>Discussion on UL HARQ handling in LAA</w:t>
      </w:r>
    </w:p>
    <w:p w:rsidR="007E4D40" w:rsidRPr="00E70914" w:rsidRDefault="00366D7B" w:rsidP="007E4D40">
      <w:pPr>
        <w:pStyle w:val="Header"/>
        <w:tabs>
          <w:tab w:val="left" w:pos="1800"/>
        </w:tabs>
        <w:jc w:val="both"/>
      </w:pPr>
      <w:r>
        <w:t>Agenda Item:</w:t>
      </w:r>
      <w:r w:rsidR="0059550C">
        <w:tab/>
        <w:t>7.2.3.3</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1" w:name="_Ref301342314"/>
      <w:r w:rsidRPr="00E70914">
        <w:t>Introduction</w:t>
      </w:r>
      <w:bookmarkEnd w:id="1"/>
    </w:p>
    <w:p w:rsidR="007A6ADF" w:rsidRDefault="00570E60" w:rsidP="00A44E83">
      <w:pPr>
        <w:pStyle w:val="BodyText"/>
      </w:pPr>
      <w:r>
        <w:t xml:space="preserve">Substantial progress </w:t>
      </w:r>
      <w:r w:rsidR="003C0FD2">
        <w:t>was</w:t>
      </w:r>
      <w:r w:rsidR="005C3E91">
        <w:t xml:space="preserve"> made </w:t>
      </w:r>
      <w:r w:rsidR="003C0FD2">
        <w:t>on</w:t>
      </w:r>
      <w:r w:rsidR="005C3E91">
        <w:t xml:space="preserve"> </w:t>
      </w:r>
      <w:r w:rsidR="003C0FD2">
        <w:t xml:space="preserve">the </w:t>
      </w:r>
      <w:r w:rsidR="005C3E91" w:rsidRPr="005C3E91">
        <w:t>Study Item on Licensed-Assisted Access (LAA)</w:t>
      </w:r>
      <w:r w:rsidR="005C3E91">
        <w:t xml:space="preserve"> </w:t>
      </w:r>
      <w:r w:rsidR="005C3E91">
        <w:fldChar w:fldCharType="begin"/>
      </w:r>
      <w:r w:rsidR="005C3E91">
        <w:instrText xml:space="preserve"> REF _Ref410045759 \r \h </w:instrText>
      </w:r>
      <w:r w:rsidR="005C3E91">
        <w:fldChar w:fldCharType="separate"/>
      </w:r>
      <w:r w:rsidR="00623FE9">
        <w:t>[1]</w:t>
      </w:r>
      <w:r w:rsidR="005C3E91">
        <w:fldChar w:fldCharType="end"/>
      </w:r>
      <w:r w:rsidR="005C3E91">
        <w:t xml:space="preserve"> in RAN1 WG #79 </w:t>
      </w:r>
      <w:r w:rsidR="005C3E91">
        <w:fldChar w:fldCharType="begin"/>
      </w:r>
      <w:r w:rsidR="005C3E91">
        <w:instrText xml:space="preserve"> REF _Ref410045778 \r \h </w:instrText>
      </w:r>
      <w:r w:rsidR="005C3E91">
        <w:fldChar w:fldCharType="separate"/>
      </w:r>
      <w:r w:rsidR="00623FE9">
        <w:t>[2]</w:t>
      </w:r>
      <w:r w:rsidR="005C3E91">
        <w:fldChar w:fldCharType="end"/>
      </w:r>
      <w:r w:rsidR="005C3E91">
        <w:t xml:space="preserve">. </w:t>
      </w:r>
      <w:r w:rsidR="00A44E83">
        <w:t xml:space="preserve">In this contribution, we discuss </w:t>
      </w:r>
      <w:r w:rsidR="009E25DF">
        <w:t>the implication of LAA operations on the UL HARQ protocol.</w:t>
      </w:r>
    </w:p>
    <w:p w:rsidR="00AB6D8B" w:rsidRDefault="00AB6D8B" w:rsidP="005A772A">
      <w:pPr>
        <w:pStyle w:val="Heading1"/>
        <w:jc w:val="both"/>
      </w:pPr>
      <w:r>
        <w:t xml:space="preserve">LTE UL HARQ </w:t>
      </w:r>
      <w:r w:rsidR="00B23AEA">
        <w:t>O</w:t>
      </w:r>
      <w:r>
        <w:t>verview</w:t>
      </w:r>
    </w:p>
    <w:p w:rsidR="00AB6D8B" w:rsidRDefault="00AB6D8B" w:rsidP="00AB6D8B">
      <w:pPr>
        <w:pStyle w:val="BodyText"/>
      </w:pPr>
      <w:r>
        <w:t>In</w:t>
      </w:r>
      <w:r w:rsidR="007A6ADF">
        <w:t xml:space="preserve"> LTE</w:t>
      </w:r>
      <w:r>
        <w:t xml:space="preserve"> uplink</w:t>
      </w:r>
      <w:r w:rsidR="007A6ADF">
        <w:t>,</w:t>
      </w:r>
      <w:r>
        <w:t xml:space="preserve"> the HARQ timing is synchronous</w:t>
      </w:r>
      <w:r w:rsidR="000A6DF6">
        <w:t>,</w:t>
      </w:r>
      <w:r>
        <w:t xml:space="preserve"> meaning that the timing between UL transmissions and </w:t>
      </w:r>
      <w:bookmarkStart w:id="2" w:name="_GoBack"/>
      <w:bookmarkEnd w:id="2"/>
      <w:r>
        <w:t xml:space="preserve">the HARQ feedback in downlink as well as the timing between the HARQ feedback and retransmissions is fixed. </w:t>
      </w:r>
      <w:r w:rsidR="007A6ADF">
        <w:t xml:space="preserve">In this way, there is no need to signal information such as HARQ process number, as this can be inferred from the transmission timing. </w:t>
      </w:r>
    </w:p>
    <w:p w:rsidR="00AB6D8B" w:rsidRDefault="00AB6D8B" w:rsidP="00AB6D8B">
      <w:pPr>
        <w:pStyle w:val="BodyText"/>
      </w:pPr>
      <w:r>
        <w:t xml:space="preserve">When the UE receives an UL grant </w:t>
      </w:r>
      <w:r w:rsidR="003249E1">
        <w:t xml:space="preserve">via PDCCH/EPDCCH </w:t>
      </w:r>
      <w:r>
        <w:t xml:space="preserve">for a new transmission (e.g. with NDI = 1 and RVI = 0) the UE will perform the PUSCH transmission 4 </w:t>
      </w:r>
      <w:proofErr w:type="spellStart"/>
      <w:r>
        <w:t>ms</w:t>
      </w:r>
      <w:proofErr w:type="spellEnd"/>
      <w:r>
        <w:t xml:space="preserve"> later. If the data was </w:t>
      </w:r>
      <w:r w:rsidRPr="00AB6D8B">
        <w:t>not</w:t>
      </w:r>
      <w:r>
        <w:t xml:space="preserve"> correctly decoded by the network</w:t>
      </w:r>
      <w:r w:rsidR="000A6DF6">
        <w:t>,</w:t>
      </w:r>
      <w:r>
        <w:t xml:space="preserve"> the network will respond with an NACK </w:t>
      </w:r>
      <w:r w:rsidR="00A44747">
        <w:t xml:space="preserve">on the PHICH </w:t>
      </w:r>
      <w:r>
        <w:t>in case the network want</w:t>
      </w:r>
      <w:r w:rsidR="000A6DF6">
        <w:t>s</w:t>
      </w:r>
      <w:r>
        <w:t xml:space="preserve"> the UE to perform the retransmission with another redundancy version, or send another PDCCH with UL grant with NDI = 1 in case</w:t>
      </w:r>
      <w:r w:rsidR="00B23AEA">
        <w:t xml:space="preserve"> no uplink transmission was detected</w:t>
      </w:r>
      <w:r>
        <w:t xml:space="preserve">, and the UE will perform a retransmission 4 </w:t>
      </w:r>
      <w:proofErr w:type="spellStart"/>
      <w:r>
        <w:t>ms</w:t>
      </w:r>
      <w:proofErr w:type="spellEnd"/>
      <w:r>
        <w:t xml:space="preserve"> later. If the data was correctly decoded after the retransmission</w:t>
      </w:r>
      <w:r w:rsidR="000A6DF6">
        <w:t>,</w:t>
      </w:r>
      <w:r>
        <w:t xml:space="preserve"> the network will respond with an ACK </w:t>
      </w:r>
      <w:r w:rsidR="00A44747">
        <w:t xml:space="preserve">on the PHICH </w:t>
      </w:r>
      <w:r>
        <w:t>and may send a PDCCH with an UL grant with toggled NDI to trigger the UE to send the next data.</w:t>
      </w:r>
    </w:p>
    <w:p w:rsidR="00AB6D8B" w:rsidRDefault="00AB6D8B" w:rsidP="00AB6D8B">
      <w:pPr>
        <w:pStyle w:val="BodyText"/>
      </w:pPr>
      <w:r>
        <w:t xml:space="preserve">A timing example of one UL HARQ process is shown in </w:t>
      </w:r>
      <w:r>
        <w:fldChar w:fldCharType="begin"/>
      </w:r>
      <w:r>
        <w:instrText xml:space="preserve"> REF _Ref410121996 \h </w:instrText>
      </w:r>
      <w:r>
        <w:fldChar w:fldCharType="separate"/>
      </w:r>
      <w:r>
        <w:t xml:space="preserve">Figure </w:t>
      </w:r>
      <w:r>
        <w:rPr>
          <w:noProof/>
        </w:rPr>
        <w:t>1</w:t>
      </w:r>
      <w:r>
        <w:fldChar w:fldCharType="end"/>
      </w:r>
      <w:r>
        <w:t xml:space="preserve"> below. It is shown </w:t>
      </w:r>
      <w:r w:rsidR="00B23AEA">
        <w:t xml:space="preserve">that </w:t>
      </w:r>
      <w:r>
        <w:t xml:space="preserve">the opportunities for the network to control the UE and for the UE to respond are placed on a fixed grid. </w:t>
      </w:r>
      <w:r w:rsidR="00995B93">
        <w:t>Each TTI is associated with a fixed specific HARQ process number.</w:t>
      </w:r>
    </w:p>
    <w:p w:rsidR="00AB6D8B" w:rsidRDefault="00AB6D8B" w:rsidP="00AB6D8B">
      <w:pPr>
        <w:pStyle w:val="BodyText"/>
        <w:jc w:val="center"/>
      </w:pPr>
      <w:r>
        <w:rPr>
          <w:noProof/>
        </w:rPr>
        <w:drawing>
          <wp:inline distT="0" distB="0" distL="0" distR="0" wp14:anchorId="00262061" wp14:editId="51B4DBD0">
            <wp:extent cx="4694555" cy="13290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94555" cy="1329055"/>
                    </a:xfrm>
                    <a:prstGeom prst="rect">
                      <a:avLst/>
                    </a:prstGeom>
                    <a:noFill/>
                  </pic:spPr>
                </pic:pic>
              </a:graphicData>
            </a:graphic>
          </wp:inline>
        </w:drawing>
      </w:r>
    </w:p>
    <w:p w:rsidR="00AB6D8B" w:rsidRDefault="00AB6D8B" w:rsidP="00AB6D8B">
      <w:pPr>
        <w:pStyle w:val="Caption"/>
        <w:jc w:val="center"/>
      </w:pPr>
      <w:bookmarkStart w:id="3" w:name="_Ref410121996"/>
      <w:r>
        <w:t xml:space="preserve">Figure </w:t>
      </w:r>
      <w:r w:rsidR="00C6488A">
        <w:fldChar w:fldCharType="begin"/>
      </w:r>
      <w:r w:rsidR="00C6488A">
        <w:instrText xml:space="preserve"> SEQ Figure \* ARABIC </w:instrText>
      </w:r>
      <w:r w:rsidR="00C6488A">
        <w:fldChar w:fldCharType="separate"/>
      </w:r>
      <w:r>
        <w:rPr>
          <w:noProof/>
        </w:rPr>
        <w:t>1</w:t>
      </w:r>
      <w:r w:rsidR="00C6488A">
        <w:rPr>
          <w:noProof/>
        </w:rPr>
        <w:fldChar w:fldCharType="end"/>
      </w:r>
      <w:bookmarkEnd w:id="3"/>
      <w:r>
        <w:t xml:space="preserve"> Timing illustration of one synchronous UL HARQ process</w:t>
      </w:r>
    </w:p>
    <w:p w:rsidR="00AB6D8B" w:rsidRDefault="00AB6D8B" w:rsidP="00AB6D8B">
      <w:pPr>
        <w:pStyle w:val="BodyText"/>
      </w:pPr>
    </w:p>
    <w:p w:rsidR="001570B7" w:rsidRDefault="001570B7" w:rsidP="001570B7">
      <w:pPr>
        <w:pStyle w:val="Heading1"/>
      </w:pPr>
      <w:r>
        <w:t>Discussion on UL HARQ handling in LAA</w:t>
      </w:r>
    </w:p>
    <w:p w:rsidR="00B70029" w:rsidRDefault="00A44747" w:rsidP="00A44747">
      <w:pPr>
        <w:pStyle w:val="BodyText"/>
      </w:pPr>
      <w:r>
        <w:t xml:space="preserve">For LAA operations in the unlicensed band, DL transmissions from the eNB can be subject to listen-before-talk coexistence protocol and maximum transmission duration limitation. With properly designed coexistence protocols, an LAA eNB can obtain proportionate chances </w:t>
      </w:r>
      <w:r w:rsidR="00B23AEA">
        <w:t>to</w:t>
      </w:r>
      <w:r>
        <w:t xml:space="preserve"> access the channel. However, obtaining channel access at a particular point in time may prove to be difficult under such protocol and behavior limitations</w:t>
      </w:r>
      <w:r w:rsidR="00B23AEA">
        <w:t>,</w:t>
      </w:r>
      <w:r>
        <w:t xml:space="preserve"> particular</w:t>
      </w:r>
      <w:r w:rsidR="00B23AEA">
        <w:t>ly</w:t>
      </w:r>
      <w:r>
        <w:t xml:space="preserve"> in high load situations. </w:t>
      </w:r>
      <w:r w:rsidR="005D5EDF">
        <w:t xml:space="preserve">This could cause problems for operation with self-scheduling on the unlicensed band which </w:t>
      </w:r>
      <w:proofErr w:type="gramStart"/>
      <w:r w:rsidR="005D5EDF">
        <w:t>is desirable</w:t>
      </w:r>
      <w:proofErr w:type="gramEnd"/>
      <w:r w:rsidR="005D5EDF">
        <w:t xml:space="preserve"> considering the large number of available </w:t>
      </w:r>
      <w:r w:rsidR="005D5EDF">
        <w:lastRenderedPageBreak/>
        <w:t xml:space="preserve">carriers in the 5 GHz unlicensed bands. </w:t>
      </w:r>
      <w:r w:rsidR="007A6ADF">
        <w:t xml:space="preserve">For instance, consider a case where the maximum transmission duration is 4ms. In this case, to provide an HARQ-ACK feedback at TTI </w:t>
      </w:r>
      <w:r w:rsidR="007A6ADF" w:rsidRPr="007A6ADF">
        <w:rPr>
          <w:i/>
        </w:rPr>
        <w:t>n</w:t>
      </w:r>
      <w:r w:rsidR="007A6ADF">
        <w:t xml:space="preserve">, the eNB shall attempt to obtain the channel access from TTI </w:t>
      </w:r>
      <w:r w:rsidR="007A6ADF" w:rsidRPr="007A6ADF">
        <w:rPr>
          <w:i/>
        </w:rPr>
        <w:t>n</w:t>
      </w:r>
      <w:r w:rsidR="007A6ADF">
        <w:t xml:space="preserve">-3 </w:t>
      </w:r>
      <w:proofErr w:type="spellStart"/>
      <w:r w:rsidR="007A6ADF">
        <w:t xml:space="preserve">to </w:t>
      </w:r>
      <w:r w:rsidR="007A6ADF" w:rsidRPr="007A6ADF">
        <w:rPr>
          <w:i/>
        </w:rPr>
        <w:t>n</w:t>
      </w:r>
      <w:proofErr w:type="spellEnd"/>
      <w:r w:rsidR="007A6ADF">
        <w:t xml:space="preserve">. The eNB will not be able to provide the HARQ-ACK feedback if it obtains the channel too early or too late. Furthermore, even if the eNB obtains the channel at TTI </w:t>
      </w:r>
      <w:r w:rsidR="007A6ADF" w:rsidRPr="003249E1">
        <w:rPr>
          <w:i/>
        </w:rPr>
        <w:t>n</w:t>
      </w:r>
      <w:r w:rsidR="007A6ADF">
        <w:t xml:space="preserve">-3, it may not necessarily have enough data to transmit to occupy the channel until TTI </w:t>
      </w:r>
      <w:r w:rsidR="007A6ADF" w:rsidRPr="003249E1">
        <w:rPr>
          <w:i/>
        </w:rPr>
        <w:t>n</w:t>
      </w:r>
      <w:r w:rsidR="007A6ADF">
        <w:t>. Therefore, f</w:t>
      </w:r>
      <w:r w:rsidR="00B70029">
        <w:t xml:space="preserve">ollowing the synchronous HARQ protocol for LAA UL may </w:t>
      </w:r>
      <w:r w:rsidR="007A6ADF">
        <w:t xml:space="preserve">cause problems </w:t>
      </w:r>
      <w:r w:rsidR="00BC1ABE">
        <w:t>for</w:t>
      </w:r>
      <w:r w:rsidR="007A6ADF">
        <w:t xml:space="preserve"> system performance and user experience.</w:t>
      </w:r>
    </w:p>
    <w:p w:rsidR="007A6ADF" w:rsidRDefault="007A6ADF" w:rsidP="007A6ADF">
      <w:pPr>
        <w:pStyle w:val="BodyText"/>
      </w:pPr>
      <w:r>
        <w:t>In contrast to LTE UL HARQ, the LTE DL HARQ follows an asynchronous protocol, in which the retransmissions can occur at any time relati</w:t>
      </w:r>
      <w:r w:rsidR="00763D52">
        <w:t>ve to the initial transmission. A</w:t>
      </w:r>
      <w:r>
        <w:t xml:space="preserve">dditional explicit </w:t>
      </w:r>
      <w:proofErr w:type="spellStart"/>
      <w:r>
        <w:t>signalling</w:t>
      </w:r>
      <w:proofErr w:type="spellEnd"/>
      <w:r>
        <w:t xml:space="preserve"> is required </w:t>
      </w:r>
      <w:r w:rsidR="00BC1ABE">
        <w:t xml:space="preserve">for UL HARQ in LAA </w:t>
      </w:r>
      <w:r>
        <w:t>to indicate the HARQ process number to the receiver, so that the receiver can correctly associate each retransmission with the corresponding initial transmission. Such retransmission timing flexibility can be beneficial to</w:t>
      </w:r>
      <w:r w:rsidR="003249E1">
        <w:t xml:space="preserve"> </w:t>
      </w:r>
      <w:r>
        <w:t xml:space="preserve">LAA systems. </w:t>
      </w:r>
    </w:p>
    <w:p w:rsidR="005854F6" w:rsidRDefault="00F53207" w:rsidP="005854F6">
      <w:pPr>
        <w:pStyle w:val="BodyText"/>
      </w:pPr>
      <w:r>
        <w:t xml:space="preserve">To support asynchronous HARQ protocol for the LAA UL, the </w:t>
      </w:r>
      <w:r w:rsidRPr="00F53207">
        <w:t>HARQ process number</w:t>
      </w:r>
      <w:r>
        <w:t xml:space="preserve"> field should be included in the UL scheduling DCI. </w:t>
      </w:r>
      <w:r w:rsidR="003249E1">
        <w:t>If the UE receives an UL grant with toggled NDI for a</w:t>
      </w:r>
      <w:r>
        <w:t>n</w:t>
      </w:r>
      <w:r w:rsidR="003249E1">
        <w:t xml:space="preserve"> UL HARQ process, the UE shall adjust a new PUSCH transmission </w:t>
      </w:r>
      <w:r w:rsidR="00912205">
        <w:t>4</w:t>
      </w:r>
      <w:r w:rsidR="009F0CB0">
        <w:t xml:space="preserve"> </w:t>
      </w:r>
      <w:proofErr w:type="spellStart"/>
      <w:r w:rsidR="003249E1">
        <w:t>ms</w:t>
      </w:r>
      <w:proofErr w:type="spellEnd"/>
      <w:r w:rsidR="003249E1">
        <w:t xml:space="preserve"> later.</w:t>
      </w:r>
      <w:r w:rsidR="005166F9">
        <w:t xml:space="preserve"> </w:t>
      </w:r>
      <w:r w:rsidR="003249E1">
        <w:t xml:space="preserve">If the UE receives an UL grant with </w:t>
      </w:r>
      <w:proofErr w:type="spellStart"/>
      <w:r w:rsidR="003249E1">
        <w:t>untoggled</w:t>
      </w:r>
      <w:proofErr w:type="spellEnd"/>
      <w:r w:rsidR="003249E1">
        <w:t xml:space="preserve"> NDI for a</w:t>
      </w:r>
      <w:r w:rsidR="004D0F04">
        <w:t>n</w:t>
      </w:r>
      <w:r w:rsidR="003249E1">
        <w:t xml:space="preserve"> UL HARQ process, the UE shall adjust a PUSCH retransmission</w:t>
      </w:r>
      <w:r w:rsidR="00912205">
        <w:t xml:space="preserve"> 4</w:t>
      </w:r>
      <w:r w:rsidR="009F0CB0">
        <w:t xml:space="preserve"> </w:t>
      </w:r>
      <w:proofErr w:type="spellStart"/>
      <w:r w:rsidR="003249E1">
        <w:t>ms</w:t>
      </w:r>
      <w:proofErr w:type="spellEnd"/>
      <w:r w:rsidR="003249E1">
        <w:t xml:space="preserve"> later.</w:t>
      </w:r>
      <w:r w:rsidR="005854F6">
        <w:t xml:space="preserve"> </w:t>
      </w:r>
      <w:r w:rsidR="005854F6">
        <w:t xml:space="preserve">In case the UE does not receive anything from the network the UE will interpret this as an ACK and will suspend the HARQ process, until further PDCCH communication from the network. If the network actually received the previous transmission, the network can send a UL grant with toggled NDI to indicate that a new transmission should be done. Or if the network did not correctly receive/decode the data the network can send a </w:t>
      </w:r>
      <w:r w:rsidR="00826F0A">
        <w:t xml:space="preserve">grant </w:t>
      </w:r>
      <w:r w:rsidR="005854F6">
        <w:t>without toggling NDI to resume the HARQ process and adjust RVI.</w:t>
      </w:r>
    </w:p>
    <w:p w:rsidR="0062173D" w:rsidRDefault="009F0CB0" w:rsidP="0062173D">
      <w:pPr>
        <w:pStyle w:val="BodyText"/>
      </w:pPr>
      <w:r>
        <w:t xml:space="preserve">For LTE UL, the UL grant delay has been set to 4 </w:t>
      </w:r>
      <w:proofErr w:type="spellStart"/>
      <w:r>
        <w:t>ms</w:t>
      </w:r>
      <w:proofErr w:type="spellEnd"/>
      <w:r>
        <w:t xml:space="preserve"> in Rel-8. This setting was selected based on the support of maximum cell size and UE processing capabilities at that time. Due to the output power </w:t>
      </w:r>
      <w:proofErr w:type="gramStart"/>
      <w:r>
        <w:t>limitations</w:t>
      </w:r>
      <w:proofErr w:type="gramEnd"/>
      <w:r>
        <w:t xml:space="preserve"> for operating in the unlicensed band [</w:t>
      </w:r>
      <w:r>
        <w:fldChar w:fldCharType="begin"/>
      </w:r>
      <w:r>
        <w:instrText xml:space="preserve"> PAGEREF _Ref410045854 \h </w:instrText>
      </w:r>
      <w:r>
        <w:fldChar w:fldCharType="separate"/>
      </w:r>
      <w:r>
        <w:rPr>
          <w:noProof/>
        </w:rPr>
        <w:t>3</w:t>
      </w:r>
      <w:r>
        <w:fldChar w:fldCharType="end"/>
      </w:r>
      <w:r>
        <w:t xml:space="preserve">], the LAA cells </w:t>
      </w:r>
      <w:r w:rsidR="00BC1ABE">
        <w:t>will be</w:t>
      </w:r>
      <w:r>
        <w:t xml:space="preserve"> small. Moreover, UE processing power has increased exponentially since the LTE specs w</w:t>
      </w:r>
      <w:r w:rsidR="00BC1ABE">
        <w:t>ere</w:t>
      </w:r>
      <w:r>
        <w:t xml:space="preserve"> initially written. </w:t>
      </w:r>
      <w:r w:rsidR="007A43E1">
        <w:t>Shorter delays</w:t>
      </w:r>
      <w:r w:rsidR="00CF65E2">
        <w:t xml:space="preserve"> (e.g., 2 </w:t>
      </w:r>
      <w:proofErr w:type="spellStart"/>
      <w:r w:rsidR="00CF65E2">
        <w:t>ms</w:t>
      </w:r>
      <w:proofErr w:type="spellEnd"/>
      <w:r w:rsidR="00CF65E2">
        <w:t>)</w:t>
      </w:r>
      <w:r w:rsidR="007A43E1">
        <w:t xml:space="preserve"> between UL scheduling and UL transmissions </w:t>
      </w:r>
      <w:r w:rsidR="00BC1ABE">
        <w:t>will</w:t>
      </w:r>
      <w:r w:rsidR="007A43E1">
        <w:t xml:space="preserve"> allow better design</w:t>
      </w:r>
      <w:r w:rsidR="007A0A2B">
        <w:t>s</w:t>
      </w:r>
      <w:r w:rsidR="007A43E1">
        <w:t xml:space="preserve"> of the LAA coexistence protocol</w:t>
      </w:r>
      <w:r w:rsidR="007A0A2B">
        <w:t>s</w:t>
      </w:r>
      <w:r w:rsidR="00CF65E2">
        <w:t xml:space="preserve"> and enhanced system performance.</w:t>
      </w:r>
    </w:p>
    <w:p w:rsidR="00991A83" w:rsidRDefault="00CF65E2" w:rsidP="00991A83">
      <w:pPr>
        <w:pStyle w:val="BodyText"/>
      </w:pPr>
      <w:r>
        <w:t>Another beneficial design to consider for LAA UL is</w:t>
      </w:r>
      <w:r w:rsidR="007921DC">
        <w:t xml:space="preserve"> multi-</w:t>
      </w:r>
      <w:r w:rsidR="00A44747">
        <w:t>subframe scheduling</w:t>
      </w:r>
      <w:r w:rsidR="009F0CB0">
        <w:t xml:space="preserve"> </w:t>
      </w:r>
      <w:r>
        <w:t xml:space="preserve">from one </w:t>
      </w:r>
      <w:r w:rsidR="009F0CB0">
        <w:t>LAA</w:t>
      </w:r>
      <w:r>
        <w:t xml:space="preserve"> DL </w:t>
      </w:r>
      <w:proofErr w:type="spellStart"/>
      <w:r>
        <w:t>subframe</w:t>
      </w:r>
      <w:proofErr w:type="spellEnd"/>
      <w:r w:rsidR="00B96240">
        <w:t xml:space="preserve"> (similar </w:t>
      </w:r>
      <w:r w:rsidR="00CE6D31">
        <w:t xml:space="preserve">to </w:t>
      </w:r>
      <w:proofErr w:type="spellStart"/>
      <w:r w:rsidR="00B96240">
        <w:t>subframe</w:t>
      </w:r>
      <w:proofErr w:type="spellEnd"/>
      <w:r w:rsidR="00B96240">
        <w:t xml:space="preserve"> #1 or #6 in TDD UL/DL </w:t>
      </w:r>
      <w:proofErr w:type="gramStart"/>
      <w:r w:rsidR="00B96240">
        <w:t>configuration</w:t>
      </w:r>
      <w:proofErr w:type="gramEnd"/>
      <w:r w:rsidR="00B96240">
        <w:t xml:space="preserve"> #0)</w:t>
      </w:r>
      <w:r>
        <w:t xml:space="preserve">. This can be very useful when the traffic is UL heavy and the eNB does not have enough DL </w:t>
      </w:r>
      <w:r w:rsidR="004E72E1">
        <w:t xml:space="preserve">data to hold the channel access long enough to schedule all the </w:t>
      </w:r>
      <w:r w:rsidR="007921DC">
        <w:t>needed</w:t>
      </w:r>
      <w:r w:rsidR="004E72E1">
        <w:t xml:space="preserve"> UL transmissions.</w:t>
      </w:r>
    </w:p>
    <w:p w:rsidR="002443A0" w:rsidRPr="00E70914" w:rsidRDefault="002443A0" w:rsidP="002443A0">
      <w:pPr>
        <w:pStyle w:val="Heading1"/>
        <w:jc w:val="both"/>
      </w:pPr>
      <w:r w:rsidRPr="00E70914">
        <w:t>Conclusions</w:t>
      </w:r>
    </w:p>
    <w:p w:rsidR="003D6D05" w:rsidRDefault="002443A0" w:rsidP="002443A0">
      <w:pPr>
        <w:pStyle w:val="BodyText"/>
      </w:pPr>
      <w:r w:rsidRPr="00E70914">
        <w:t xml:space="preserve">In this contribution, </w:t>
      </w:r>
      <w:r w:rsidR="00FE50A2">
        <w:t>we discuss and provide our views on</w:t>
      </w:r>
      <w:r w:rsidR="00DC333E">
        <w:t xml:space="preserve"> UL scheduling and HARQ operations for LAA.</w:t>
      </w:r>
    </w:p>
    <w:p w:rsidR="0062173D" w:rsidRDefault="00DC333E" w:rsidP="002443A0">
      <w:pPr>
        <w:pStyle w:val="BodyText"/>
      </w:pPr>
      <w:r w:rsidRPr="005D5EDF">
        <w:rPr>
          <w:b/>
          <w:i/>
        </w:rPr>
        <w:t>Proposal</w:t>
      </w:r>
      <w:r w:rsidR="00CE6D31" w:rsidRPr="005D5EDF">
        <w:rPr>
          <w:b/>
          <w:i/>
        </w:rPr>
        <w:t>:</w:t>
      </w:r>
      <w:r>
        <w:t xml:space="preserve"> </w:t>
      </w:r>
      <w:r w:rsidR="004A02A4">
        <w:t>Study the benefits of introducing a</w:t>
      </w:r>
      <w:r>
        <w:t xml:space="preserve">synchronous HARQ protocol </w:t>
      </w:r>
      <w:r w:rsidR="00CE392D">
        <w:t>and multi-</w:t>
      </w:r>
      <w:proofErr w:type="spellStart"/>
      <w:r w:rsidR="00CE392D">
        <w:t>subframe</w:t>
      </w:r>
      <w:proofErr w:type="spellEnd"/>
      <w:r w:rsidR="00CE392D">
        <w:t xml:space="preserve"> scheduling </w:t>
      </w:r>
      <w:r>
        <w:t>for LAA UL operation</w:t>
      </w:r>
      <w:r w:rsidR="00CE392D">
        <w:t>s</w:t>
      </w:r>
      <w:r>
        <w:t>.</w:t>
      </w:r>
      <w:r w:rsidR="00912205">
        <w:t xml:space="preserve"> </w:t>
      </w:r>
    </w:p>
    <w:p w:rsidR="002443A0" w:rsidRPr="00E70914" w:rsidRDefault="002443A0" w:rsidP="002443A0">
      <w:pPr>
        <w:pStyle w:val="Heading1"/>
        <w:jc w:val="both"/>
      </w:pPr>
      <w:r w:rsidRPr="00E70914">
        <w:t>References</w:t>
      </w:r>
    </w:p>
    <w:p w:rsidR="005C3E91" w:rsidRDefault="005C3E91" w:rsidP="005C3E91">
      <w:pPr>
        <w:pStyle w:val="Reference"/>
      </w:pPr>
      <w:bookmarkStart w:id="4" w:name="_Ref410045759"/>
      <w:bookmarkStart w:id="5" w:name="_Ref410036379"/>
      <w:bookmarkStart w:id="6" w:name="_Ref399149024"/>
      <w:r>
        <w:t xml:space="preserve">RP-141664 </w:t>
      </w:r>
      <w:r w:rsidRPr="005579A3">
        <w:t>Study on Licensed-Assisted Access usi</w:t>
      </w:r>
      <w:r>
        <w:t>ng LTE,</w:t>
      </w:r>
      <w:r w:rsidRPr="005579A3">
        <w:t xml:space="preserve"> Ericsson, Qualcomm, Huawei, ALU</w:t>
      </w:r>
      <w:bookmarkEnd w:id="4"/>
      <w:r w:rsidRPr="005579A3">
        <w:t xml:space="preserve"> </w:t>
      </w:r>
    </w:p>
    <w:p w:rsidR="005C3E91" w:rsidRDefault="005C3E91" w:rsidP="005C3E91">
      <w:pPr>
        <w:pStyle w:val="Reference"/>
      </w:pPr>
      <w:bookmarkStart w:id="7" w:name="_Ref410045778"/>
      <w:r>
        <w:t>Chairman’s note</w:t>
      </w:r>
      <w:r w:rsidR="00C6488A">
        <w:t>s</w:t>
      </w:r>
      <w:r>
        <w:t xml:space="preserve"> 3GPP RAN1 WG #79</w:t>
      </w:r>
      <w:bookmarkEnd w:id="7"/>
    </w:p>
    <w:p w:rsidR="006D3147" w:rsidRDefault="006D3147" w:rsidP="006D3147">
      <w:pPr>
        <w:pStyle w:val="Reference"/>
      </w:pPr>
      <w:bookmarkStart w:id="8" w:name="_Ref410045854"/>
      <w:r>
        <w:t xml:space="preserve">3GPP TR 36.899 </w:t>
      </w:r>
      <w:r w:rsidRPr="006D3147">
        <w:t>Study on Licensed-Assisted Access to Unlicensed Spectrum</w:t>
      </w:r>
      <w:r>
        <w:t>, v.0.1.1</w:t>
      </w:r>
      <w:bookmarkEnd w:id="5"/>
      <w:bookmarkEnd w:id="6"/>
      <w:bookmarkEnd w:id="8"/>
    </w:p>
    <w:sectPr w:rsidR="006D314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30">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E85CB3"/>
    <w:multiLevelType w:val="hybridMultilevel"/>
    <w:tmpl w:val="EC728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1">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40"/>
  </w:num>
  <w:num w:numId="3">
    <w:abstractNumId w:val="12"/>
  </w:num>
  <w:num w:numId="4">
    <w:abstractNumId w:val="18"/>
  </w:num>
  <w:num w:numId="5">
    <w:abstractNumId w:val="23"/>
  </w:num>
  <w:num w:numId="6">
    <w:abstractNumId w:val="39"/>
  </w:num>
  <w:num w:numId="7">
    <w:abstractNumId w:val="33"/>
  </w:num>
  <w:num w:numId="8">
    <w:abstractNumId w:val="16"/>
  </w:num>
  <w:num w:numId="9">
    <w:abstractNumId w:val="15"/>
  </w:num>
  <w:num w:numId="10">
    <w:abstractNumId w:val="7"/>
  </w:num>
  <w:num w:numId="11">
    <w:abstractNumId w:val="37"/>
  </w:num>
  <w:num w:numId="12">
    <w:abstractNumId w:val="1"/>
  </w:num>
  <w:num w:numId="13">
    <w:abstractNumId w:val="11"/>
  </w:num>
  <w:num w:numId="14">
    <w:abstractNumId w:val="6"/>
  </w:num>
  <w:num w:numId="15">
    <w:abstractNumId w:val="3"/>
  </w:num>
  <w:num w:numId="16">
    <w:abstractNumId w:val="36"/>
  </w:num>
  <w:num w:numId="17">
    <w:abstractNumId w:val="25"/>
  </w:num>
  <w:num w:numId="18">
    <w:abstractNumId w:val="4"/>
  </w:num>
  <w:num w:numId="19">
    <w:abstractNumId w:val="5"/>
  </w:num>
  <w:num w:numId="20">
    <w:abstractNumId w:val="2"/>
  </w:num>
  <w:num w:numId="21">
    <w:abstractNumId w:val="34"/>
  </w:num>
  <w:num w:numId="22">
    <w:abstractNumId w:val="29"/>
  </w:num>
  <w:num w:numId="23">
    <w:abstractNumId w:val="19"/>
  </w:num>
  <w:num w:numId="24">
    <w:abstractNumId w:val="38"/>
  </w:num>
  <w:num w:numId="25">
    <w:abstractNumId w:val="28"/>
  </w:num>
  <w:num w:numId="26">
    <w:abstractNumId w:val="22"/>
  </w:num>
  <w:num w:numId="27">
    <w:abstractNumId w:val="32"/>
  </w:num>
  <w:num w:numId="28">
    <w:abstractNumId w:val="41"/>
  </w:num>
  <w:num w:numId="29">
    <w:abstractNumId w:val="0"/>
  </w:num>
  <w:num w:numId="30">
    <w:abstractNumId w:val="24"/>
  </w:num>
  <w:num w:numId="31">
    <w:abstractNumId w:val="8"/>
  </w:num>
  <w:num w:numId="32">
    <w:abstractNumId w:val="9"/>
  </w:num>
  <w:num w:numId="33">
    <w:abstractNumId w:val="35"/>
  </w:num>
  <w:num w:numId="34">
    <w:abstractNumId w:val="21"/>
  </w:num>
  <w:num w:numId="35">
    <w:abstractNumId w:val="30"/>
  </w:num>
  <w:num w:numId="36">
    <w:abstractNumId w:val="17"/>
  </w:num>
  <w:num w:numId="37">
    <w:abstractNumId w:val="26"/>
  </w:num>
  <w:num w:numId="38">
    <w:abstractNumId w:val="27"/>
  </w:num>
  <w:num w:numId="39">
    <w:abstractNumId w:val="14"/>
  </w:num>
  <w:num w:numId="40">
    <w:abstractNumId w:val="20"/>
  </w:num>
  <w:num w:numId="41">
    <w:abstractNumId w:val="13"/>
  </w:num>
  <w:num w:numId="42">
    <w:abstractNumId w:val="10"/>
  </w:num>
  <w:num w:numId="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672E"/>
    <w:rsid w:val="0001255A"/>
    <w:rsid w:val="00014A09"/>
    <w:rsid w:val="00020322"/>
    <w:rsid w:val="000244CE"/>
    <w:rsid w:val="000252DC"/>
    <w:rsid w:val="00025356"/>
    <w:rsid w:val="000267B4"/>
    <w:rsid w:val="00026EB0"/>
    <w:rsid w:val="00027AD5"/>
    <w:rsid w:val="00046CD7"/>
    <w:rsid w:val="000470C5"/>
    <w:rsid w:val="00051368"/>
    <w:rsid w:val="00055064"/>
    <w:rsid w:val="00055540"/>
    <w:rsid w:val="00057FE0"/>
    <w:rsid w:val="000666BA"/>
    <w:rsid w:val="00073823"/>
    <w:rsid w:val="0008449E"/>
    <w:rsid w:val="00094096"/>
    <w:rsid w:val="00095565"/>
    <w:rsid w:val="000A5208"/>
    <w:rsid w:val="000A6C5C"/>
    <w:rsid w:val="000A6DF6"/>
    <w:rsid w:val="000B27DD"/>
    <w:rsid w:val="000B422F"/>
    <w:rsid w:val="000C58B4"/>
    <w:rsid w:val="000C6BAD"/>
    <w:rsid w:val="000D0231"/>
    <w:rsid w:val="000D1218"/>
    <w:rsid w:val="000E344A"/>
    <w:rsid w:val="000E3A12"/>
    <w:rsid w:val="000F0717"/>
    <w:rsid w:val="000F2C41"/>
    <w:rsid w:val="000F4FEB"/>
    <w:rsid w:val="000F6AB3"/>
    <w:rsid w:val="00102DA6"/>
    <w:rsid w:val="00106222"/>
    <w:rsid w:val="00111612"/>
    <w:rsid w:val="00112A93"/>
    <w:rsid w:val="00130933"/>
    <w:rsid w:val="00131938"/>
    <w:rsid w:val="00132C22"/>
    <w:rsid w:val="0014401D"/>
    <w:rsid w:val="001477CA"/>
    <w:rsid w:val="001563B2"/>
    <w:rsid w:val="001570B7"/>
    <w:rsid w:val="0015732F"/>
    <w:rsid w:val="00161864"/>
    <w:rsid w:val="0016249F"/>
    <w:rsid w:val="0017383E"/>
    <w:rsid w:val="00186916"/>
    <w:rsid w:val="001871C3"/>
    <w:rsid w:val="00193560"/>
    <w:rsid w:val="0019497C"/>
    <w:rsid w:val="001A06AC"/>
    <w:rsid w:val="001A1CE6"/>
    <w:rsid w:val="001A1FD1"/>
    <w:rsid w:val="001A74E3"/>
    <w:rsid w:val="001B48AC"/>
    <w:rsid w:val="001C3E71"/>
    <w:rsid w:val="001C720F"/>
    <w:rsid w:val="001D0668"/>
    <w:rsid w:val="001D51D0"/>
    <w:rsid w:val="001D59B0"/>
    <w:rsid w:val="001E1170"/>
    <w:rsid w:val="001F0A42"/>
    <w:rsid w:val="001F3B43"/>
    <w:rsid w:val="00201319"/>
    <w:rsid w:val="00210475"/>
    <w:rsid w:val="0021181D"/>
    <w:rsid w:val="00216EA4"/>
    <w:rsid w:val="0022142E"/>
    <w:rsid w:val="00225D43"/>
    <w:rsid w:val="00226330"/>
    <w:rsid w:val="00226D84"/>
    <w:rsid w:val="002343EE"/>
    <w:rsid w:val="002443A0"/>
    <w:rsid w:val="00247FDA"/>
    <w:rsid w:val="00251837"/>
    <w:rsid w:val="00254054"/>
    <w:rsid w:val="002574CA"/>
    <w:rsid w:val="00260907"/>
    <w:rsid w:val="00263EEB"/>
    <w:rsid w:val="00271596"/>
    <w:rsid w:val="00273F0F"/>
    <w:rsid w:val="00286CC0"/>
    <w:rsid w:val="002900AE"/>
    <w:rsid w:val="00296698"/>
    <w:rsid w:val="002A0B9C"/>
    <w:rsid w:val="002B4FF6"/>
    <w:rsid w:val="002C1898"/>
    <w:rsid w:val="002D1E74"/>
    <w:rsid w:val="002D4655"/>
    <w:rsid w:val="00301B83"/>
    <w:rsid w:val="00304E57"/>
    <w:rsid w:val="00313352"/>
    <w:rsid w:val="00314348"/>
    <w:rsid w:val="00315917"/>
    <w:rsid w:val="00316C72"/>
    <w:rsid w:val="00320F89"/>
    <w:rsid w:val="003249E1"/>
    <w:rsid w:val="00324A2F"/>
    <w:rsid w:val="00326A7A"/>
    <w:rsid w:val="003322BA"/>
    <w:rsid w:val="0033326A"/>
    <w:rsid w:val="003332F3"/>
    <w:rsid w:val="00333526"/>
    <w:rsid w:val="00334A50"/>
    <w:rsid w:val="00340F55"/>
    <w:rsid w:val="00345559"/>
    <w:rsid w:val="00352181"/>
    <w:rsid w:val="00357BFF"/>
    <w:rsid w:val="003666F9"/>
    <w:rsid w:val="00366D7B"/>
    <w:rsid w:val="003736D3"/>
    <w:rsid w:val="003778CF"/>
    <w:rsid w:val="003900C1"/>
    <w:rsid w:val="00393F38"/>
    <w:rsid w:val="0039572E"/>
    <w:rsid w:val="003C0FD2"/>
    <w:rsid w:val="003D1FAA"/>
    <w:rsid w:val="003D3E19"/>
    <w:rsid w:val="003D6D05"/>
    <w:rsid w:val="003E251F"/>
    <w:rsid w:val="003E2FDE"/>
    <w:rsid w:val="003E593D"/>
    <w:rsid w:val="003E5BDE"/>
    <w:rsid w:val="003F7679"/>
    <w:rsid w:val="00422638"/>
    <w:rsid w:val="00434B62"/>
    <w:rsid w:val="00437FF8"/>
    <w:rsid w:val="00440945"/>
    <w:rsid w:val="00441D49"/>
    <w:rsid w:val="004421B1"/>
    <w:rsid w:val="00450532"/>
    <w:rsid w:val="0045472A"/>
    <w:rsid w:val="004603AF"/>
    <w:rsid w:val="00465FEF"/>
    <w:rsid w:val="00467D8D"/>
    <w:rsid w:val="00474129"/>
    <w:rsid w:val="00482BC4"/>
    <w:rsid w:val="004858E4"/>
    <w:rsid w:val="00487B5D"/>
    <w:rsid w:val="004909D3"/>
    <w:rsid w:val="0049209A"/>
    <w:rsid w:val="004935FB"/>
    <w:rsid w:val="004A02A4"/>
    <w:rsid w:val="004A3A68"/>
    <w:rsid w:val="004B2F3C"/>
    <w:rsid w:val="004B51EA"/>
    <w:rsid w:val="004B5565"/>
    <w:rsid w:val="004B740D"/>
    <w:rsid w:val="004B767F"/>
    <w:rsid w:val="004C7974"/>
    <w:rsid w:val="004D0F04"/>
    <w:rsid w:val="004D3CE8"/>
    <w:rsid w:val="004D5722"/>
    <w:rsid w:val="004D5B94"/>
    <w:rsid w:val="004E158C"/>
    <w:rsid w:val="004E6145"/>
    <w:rsid w:val="004E72E1"/>
    <w:rsid w:val="004F0711"/>
    <w:rsid w:val="004F3F73"/>
    <w:rsid w:val="004F6097"/>
    <w:rsid w:val="005017D1"/>
    <w:rsid w:val="00506A6E"/>
    <w:rsid w:val="00511CC2"/>
    <w:rsid w:val="00513103"/>
    <w:rsid w:val="005141BA"/>
    <w:rsid w:val="0051482C"/>
    <w:rsid w:val="005166F9"/>
    <w:rsid w:val="00523702"/>
    <w:rsid w:val="00534801"/>
    <w:rsid w:val="00543E28"/>
    <w:rsid w:val="00544D6B"/>
    <w:rsid w:val="00546E82"/>
    <w:rsid w:val="00554BE5"/>
    <w:rsid w:val="005579A3"/>
    <w:rsid w:val="0056220A"/>
    <w:rsid w:val="00562290"/>
    <w:rsid w:val="00570233"/>
    <w:rsid w:val="005707CA"/>
    <w:rsid w:val="00570E60"/>
    <w:rsid w:val="005854F6"/>
    <w:rsid w:val="00594573"/>
    <w:rsid w:val="0059550C"/>
    <w:rsid w:val="005A3D2C"/>
    <w:rsid w:val="005A772A"/>
    <w:rsid w:val="005B157E"/>
    <w:rsid w:val="005B27C0"/>
    <w:rsid w:val="005B360C"/>
    <w:rsid w:val="005C3E91"/>
    <w:rsid w:val="005C5F43"/>
    <w:rsid w:val="005D078B"/>
    <w:rsid w:val="005D345D"/>
    <w:rsid w:val="005D4F86"/>
    <w:rsid w:val="005D5EDF"/>
    <w:rsid w:val="005E57D0"/>
    <w:rsid w:val="005E74B8"/>
    <w:rsid w:val="005F384B"/>
    <w:rsid w:val="005F7F97"/>
    <w:rsid w:val="00600464"/>
    <w:rsid w:val="0060696D"/>
    <w:rsid w:val="00611897"/>
    <w:rsid w:val="0062173D"/>
    <w:rsid w:val="00622B6C"/>
    <w:rsid w:val="00623FE9"/>
    <w:rsid w:val="00624903"/>
    <w:rsid w:val="006375EF"/>
    <w:rsid w:val="006423C0"/>
    <w:rsid w:val="00642CFB"/>
    <w:rsid w:val="00645C09"/>
    <w:rsid w:val="0065237F"/>
    <w:rsid w:val="00663289"/>
    <w:rsid w:val="00667240"/>
    <w:rsid w:val="0067390D"/>
    <w:rsid w:val="00681874"/>
    <w:rsid w:val="00686D90"/>
    <w:rsid w:val="006915A9"/>
    <w:rsid w:val="006B0837"/>
    <w:rsid w:val="006B1AEA"/>
    <w:rsid w:val="006B4570"/>
    <w:rsid w:val="006C4D06"/>
    <w:rsid w:val="006D3147"/>
    <w:rsid w:val="006E7BA7"/>
    <w:rsid w:val="006F22EA"/>
    <w:rsid w:val="006F29BD"/>
    <w:rsid w:val="006F39A9"/>
    <w:rsid w:val="006F544D"/>
    <w:rsid w:val="006F66D1"/>
    <w:rsid w:val="00703134"/>
    <w:rsid w:val="00703951"/>
    <w:rsid w:val="007059C4"/>
    <w:rsid w:val="007247FE"/>
    <w:rsid w:val="007256A7"/>
    <w:rsid w:val="00725CCB"/>
    <w:rsid w:val="0072775D"/>
    <w:rsid w:val="00730454"/>
    <w:rsid w:val="007313E9"/>
    <w:rsid w:val="00735DB3"/>
    <w:rsid w:val="00741C50"/>
    <w:rsid w:val="00746BBD"/>
    <w:rsid w:val="00750759"/>
    <w:rsid w:val="007538D3"/>
    <w:rsid w:val="007556EC"/>
    <w:rsid w:val="00761FC3"/>
    <w:rsid w:val="007637DA"/>
    <w:rsid w:val="00763D52"/>
    <w:rsid w:val="00770BC1"/>
    <w:rsid w:val="00770D08"/>
    <w:rsid w:val="007734A4"/>
    <w:rsid w:val="0077497D"/>
    <w:rsid w:val="007778CA"/>
    <w:rsid w:val="00782AE6"/>
    <w:rsid w:val="007843A9"/>
    <w:rsid w:val="007921DC"/>
    <w:rsid w:val="00795B5F"/>
    <w:rsid w:val="007A0A2B"/>
    <w:rsid w:val="007A16B9"/>
    <w:rsid w:val="007A19DD"/>
    <w:rsid w:val="007A269B"/>
    <w:rsid w:val="007A43E1"/>
    <w:rsid w:val="007A6ADF"/>
    <w:rsid w:val="007B1C54"/>
    <w:rsid w:val="007B6A80"/>
    <w:rsid w:val="007C50FA"/>
    <w:rsid w:val="007D509D"/>
    <w:rsid w:val="007E3D66"/>
    <w:rsid w:val="007E462C"/>
    <w:rsid w:val="007E4D40"/>
    <w:rsid w:val="007F04FD"/>
    <w:rsid w:val="007F2176"/>
    <w:rsid w:val="007F344D"/>
    <w:rsid w:val="008056E3"/>
    <w:rsid w:val="008061C1"/>
    <w:rsid w:val="00806AEC"/>
    <w:rsid w:val="008105ED"/>
    <w:rsid w:val="0081098A"/>
    <w:rsid w:val="00813A2E"/>
    <w:rsid w:val="00813F2F"/>
    <w:rsid w:val="0081482F"/>
    <w:rsid w:val="00826F0A"/>
    <w:rsid w:val="00832BD1"/>
    <w:rsid w:val="00835D68"/>
    <w:rsid w:val="008404F6"/>
    <w:rsid w:val="00841267"/>
    <w:rsid w:val="0085564C"/>
    <w:rsid w:val="00861197"/>
    <w:rsid w:val="00864655"/>
    <w:rsid w:val="008669F5"/>
    <w:rsid w:val="00877679"/>
    <w:rsid w:val="008805A0"/>
    <w:rsid w:val="00891D97"/>
    <w:rsid w:val="00893D93"/>
    <w:rsid w:val="00894456"/>
    <w:rsid w:val="008A2588"/>
    <w:rsid w:val="008A47C5"/>
    <w:rsid w:val="008B60A3"/>
    <w:rsid w:val="008C7B5B"/>
    <w:rsid w:val="008D1F6A"/>
    <w:rsid w:val="008E5B69"/>
    <w:rsid w:val="008E78FB"/>
    <w:rsid w:val="009026C8"/>
    <w:rsid w:val="00910629"/>
    <w:rsid w:val="009112D6"/>
    <w:rsid w:val="00912205"/>
    <w:rsid w:val="0091245C"/>
    <w:rsid w:val="009263F6"/>
    <w:rsid w:val="009310F3"/>
    <w:rsid w:val="009335C3"/>
    <w:rsid w:val="00934C4C"/>
    <w:rsid w:val="00940DFB"/>
    <w:rsid w:val="00942722"/>
    <w:rsid w:val="0094512A"/>
    <w:rsid w:val="0095212E"/>
    <w:rsid w:val="0095315E"/>
    <w:rsid w:val="009548E2"/>
    <w:rsid w:val="00970982"/>
    <w:rsid w:val="009764E1"/>
    <w:rsid w:val="009832DA"/>
    <w:rsid w:val="00983434"/>
    <w:rsid w:val="00985F4A"/>
    <w:rsid w:val="009874E1"/>
    <w:rsid w:val="00991A83"/>
    <w:rsid w:val="00993F98"/>
    <w:rsid w:val="00994FFD"/>
    <w:rsid w:val="00995B93"/>
    <w:rsid w:val="009B001B"/>
    <w:rsid w:val="009B131A"/>
    <w:rsid w:val="009B3249"/>
    <w:rsid w:val="009B7337"/>
    <w:rsid w:val="009B7D53"/>
    <w:rsid w:val="009C0EDF"/>
    <w:rsid w:val="009C104C"/>
    <w:rsid w:val="009D14B6"/>
    <w:rsid w:val="009D4F00"/>
    <w:rsid w:val="009D54C2"/>
    <w:rsid w:val="009E1FF5"/>
    <w:rsid w:val="009E25DF"/>
    <w:rsid w:val="009F0CB0"/>
    <w:rsid w:val="00A05F49"/>
    <w:rsid w:val="00A11A66"/>
    <w:rsid w:val="00A12F8F"/>
    <w:rsid w:val="00A207E6"/>
    <w:rsid w:val="00A235F8"/>
    <w:rsid w:val="00A315BD"/>
    <w:rsid w:val="00A34536"/>
    <w:rsid w:val="00A36C2E"/>
    <w:rsid w:val="00A44747"/>
    <w:rsid w:val="00A44E83"/>
    <w:rsid w:val="00A54860"/>
    <w:rsid w:val="00A562B7"/>
    <w:rsid w:val="00A70CC5"/>
    <w:rsid w:val="00A718A6"/>
    <w:rsid w:val="00A808CF"/>
    <w:rsid w:val="00A811D3"/>
    <w:rsid w:val="00A84A3D"/>
    <w:rsid w:val="00A876A7"/>
    <w:rsid w:val="00A87783"/>
    <w:rsid w:val="00A87F16"/>
    <w:rsid w:val="00A94861"/>
    <w:rsid w:val="00AB18AB"/>
    <w:rsid w:val="00AB2164"/>
    <w:rsid w:val="00AB6D8B"/>
    <w:rsid w:val="00AC04D7"/>
    <w:rsid w:val="00AC4C62"/>
    <w:rsid w:val="00AC5152"/>
    <w:rsid w:val="00AD17FA"/>
    <w:rsid w:val="00AE59EB"/>
    <w:rsid w:val="00AF116D"/>
    <w:rsid w:val="00AF35D2"/>
    <w:rsid w:val="00AF641B"/>
    <w:rsid w:val="00AF6456"/>
    <w:rsid w:val="00B01401"/>
    <w:rsid w:val="00B056E1"/>
    <w:rsid w:val="00B05F4A"/>
    <w:rsid w:val="00B06BAF"/>
    <w:rsid w:val="00B100B4"/>
    <w:rsid w:val="00B11970"/>
    <w:rsid w:val="00B1343D"/>
    <w:rsid w:val="00B14C8B"/>
    <w:rsid w:val="00B17736"/>
    <w:rsid w:val="00B20BAD"/>
    <w:rsid w:val="00B21B7E"/>
    <w:rsid w:val="00B23AEA"/>
    <w:rsid w:val="00B24393"/>
    <w:rsid w:val="00B33466"/>
    <w:rsid w:val="00B448CC"/>
    <w:rsid w:val="00B47DCD"/>
    <w:rsid w:val="00B50BA4"/>
    <w:rsid w:val="00B55301"/>
    <w:rsid w:val="00B661E1"/>
    <w:rsid w:val="00B70029"/>
    <w:rsid w:val="00B70BCD"/>
    <w:rsid w:val="00B75C21"/>
    <w:rsid w:val="00B807C6"/>
    <w:rsid w:val="00B81C44"/>
    <w:rsid w:val="00B830C5"/>
    <w:rsid w:val="00B90F44"/>
    <w:rsid w:val="00B93118"/>
    <w:rsid w:val="00B935B2"/>
    <w:rsid w:val="00B960ED"/>
    <w:rsid w:val="00B96240"/>
    <w:rsid w:val="00BA0E13"/>
    <w:rsid w:val="00BB305D"/>
    <w:rsid w:val="00BB316F"/>
    <w:rsid w:val="00BC1ABE"/>
    <w:rsid w:val="00BC2A47"/>
    <w:rsid w:val="00BD0285"/>
    <w:rsid w:val="00BD07C2"/>
    <w:rsid w:val="00BD18B9"/>
    <w:rsid w:val="00BD2083"/>
    <w:rsid w:val="00BD2821"/>
    <w:rsid w:val="00BD47D6"/>
    <w:rsid w:val="00BD79C2"/>
    <w:rsid w:val="00BE10FC"/>
    <w:rsid w:val="00BF0604"/>
    <w:rsid w:val="00BF43CF"/>
    <w:rsid w:val="00BF4EB1"/>
    <w:rsid w:val="00BF5895"/>
    <w:rsid w:val="00BF674E"/>
    <w:rsid w:val="00C10E5A"/>
    <w:rsid w:val="00C11A3C"/>
    <w:rsid w:val="00C12C4B"/>
    <w:rsid w:val="00C1441D"/>
    <w:rsid w:val="00C23EC8"/>
    <w:rsid w:val="00C253A6"/>
    <w:rsid w:val="00C33CBF"/>
    <w:rsid w:val="00C40D40"/>
    <w:rsid w:val="00C413C3"/>
    <w:rsid w:val="00C5310E"/>
    <w:rsid w:val="00C53351"/>
    <w:rsid w:val="00C60B12"/>
    <w:rsid w:val="00C6488A"/>
    <w:rsid w:val="00C74A08"/>
    <w:rsid w:val="00C83834"/>
    <w:rsid w:val="00C867E0"/>
    <w:rsid w:val="00C96DD0"/>
    <w:rsid w:val="00C97296"/>
    <w:rsid w:val="00CA2D29"/>
    <w:rsid w:val="00CA488E"/>
    <w:rsid w:val="00CB6120"/>
    <w:rsid w:val="00CC1C57"/>
    <w:rsid w:val="00CC2819"/>
    <w:rsid w:val="00CC6D8B"/>
    <w:rsid w:val="00CE392D"/>
    <w:rsid w:val="00CE3F47"/>
    <w:rsid w:val="00CE6D31"/>
    <w:rsid w:val="00CF5E58"/>
    <w:rsid w:val="00CF6515"/>
    <w:rsid w:val="00CF65E2"/>
    <w:rsid w:val="00D01162"/>
    <w:rsid w:val="00D0243C"/>
    <w:rsid w:val="00D02F3F"/>
    <w:rsid w:val="00D1139E"/>
    <w:rsid w:val="00D11908"/>
    <w:rsid w:val="00D2131C"/>
    <w:rsid w:val="00D22D60"/>
    <w:rsid w:val="00D23AFA"/>
    <w:rsid w:val="00D265CC"/>
    <w:rsid w:val="00D26E67"/>
    <w:rsid w:val="00D37A9A"/>
    <w:rsid w:val="00D42A52"/>
    <w:rsid w:val="00D43331"/>
    <w:rsid w:val="00D4552B"/>
    <w:rsid w:val="00D458E6"/>
    <w:rsid w:val="00D56D04"/>
    <w:rsid w:val="00D60E79"/>
    <w:rsid w:val="00D6154B"/>
    <w:rsid w:val="00D70BCA"/>
    <w:rsid w:val="00D71CC7"/>
    <w:rsid w:val="00D73709"/>
    <w:rsid w:val="00D83629"/>
    <w:rsid w:val="00D86B19"/>
    <w:rsid w:val="00D87A9A"/>
    <w:rsid w:val="00D90452"/>
    <w:rsid w:val="00D90562"/>
    <w:rsid w:val="00D91F1A"/>
    <w:rsid w:val="00D9260C"/>
    <w:rsid w:val="00D945F6"/>
    <w:rsid w:val="00DA4F06"/>
    <w:rsid w:val="00DA7A4B"/>
    <w:rsid w:val="00DB17FC"/>
    <w:rsid w:val="00DC0182"/>
    <w:rsid w:val="00DC29B5"/>
    <w:rsid w:val="00DC333E"/>
    <w:rsid w:val="00DD0733"/>
    <w:rsid w:val="00DD3514"/>
    <w:rsid w:val="00DD4B6B"/>
    <w:rsid w:val="00DD763E"/>
    <w:rsid w:val="00DE2B08"/>
    <w:rsid w:val="00DF2E49"/>
    <w:rsid w:val="00DF34B3"/>
    <w:rsid w:val="00E2330E"/>
    <w:rsid w:val="00E236F8"/>
    <w:rsid w:val="00E302C7"/>
    <w:rsid w:val="00E31BFA"/>
    <w:rsid w:val="00E4174D"/>
    <w:rsid w:val="00E42CA1"/>
    <w:rsid w:val="00E43340"/>
    <w:rsid w:val="00E43A8C"/>
    <w:rsid w:val="00E4522A"/>
    <w:rsid w:val="00E47386"/>
    <w:rsid w:val="00E52DA4"/>
    <w:rsid w:val="00E70BB9"/>
    <w:rsid w:val="00E720BF"/>
    <w:rsid w:val="00E76D42"/>
    <w:rsid w:val="00E876B5"/>
    <w:rsid w:val="00E960C0"/>
    <w:rsid w:val="00EA02AD"/>
    <w:rsid w:val="00EA0945"/>
    <w:rsid w:val="00EB33A7"/>
    <w:rsid w:val="00EB5BF0"/>
    <w:rsid w:val="00EC5C84"/>
    <w:rsid w:val="00ED0963"/>
    <w:rsid w:val="00ED2FAC"/>
    <w:rsid w:val="00ED5B0F"/>
    <w:rsid w:val="00EE213C"/>
    <w:rsid w:val="00EF263F"/>
    <w:rsid w:val="00EF3059"/>
    <w:rsid w:val="00F13D82"/>
    <w:rsid w:val="00F255C2"/>
    <w:rsid w:val="00F3336D"/>
    <w:rsid w:val="00F34185"/>
    <w:rsid w:val="00F3480C"/>
    <w:rsid w:val="00F53207"/>
    <w:rsid w:val="00F621CB"/>
    <w:rsid w:val="00F63E30"/>
    <w:rsid w:val="00F6593F"/>
    <w:rsid w:val="00F71099"/>
    <w:rsid w:val="00F7320F"/>
    <w:rsid w:val="00F736B9"/>
    <w:rsid w:val="00F81D9C"/>
    <w:rsid w:val="00F82A91"/>
    <w:rsid w:val="00F83D73"/>
    <w:rsid w:val="00F8516E"/>
    <w:rsid w:val="00F95D94"/>
    <w:rsid w:val="00FA2B73"/>
    <w:rsid w:val="00FA7484"/>
    <w:rsid w:val="00FB0774"/>
    <w:rsid w:val="00FB639B"/>
    <w:rsid w:val="00FC0BC9"/>
    <w:rsid w:val="00FC1D25"/>
    <w:rsid w:val="00FD47A3"/>
    <w:rsid w:val="00FE50A2"/>
    <w:rsid w:val="00FE69DB"/>
    <w:rsid w:val="00FE765F"/>
    <w:rsid w:val="00FF6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unhideWhenUsed/>
    <w:rsid w:val="009B3249"/>
    <w:rPr>
      <w:sz w:val="20"/>
      <w:szCs w:val="20"/>
    </w:rPr>
  </w:style>
  <w:style w:type="character" w:customStyle="1" w:styleId="CommentTextChar">
    <w:name w:val="Comment Text Char"/>
    <w:basedOn w:val="DefaultParagraphFont"/>
    <w:link w:val="CommentText"/>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unhideWhenUsed/>
    <w:rsid w:val="009B3249"/>
    <w:rPr>
      <w:sz w:val="20"/>
      <w:szCs w:val="20"/>
    </w:rPr>
  </w:style>
  <w:style w:type="character" w:customStyle="1" w:styleId="CommentTextChar">
    <w:name w:val="Comment Text Char"/>
    <w:basedOn w:val="DefaultParagraphFont"/>
    <w:link w:val="CommentText"/>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23EFC-91F6-4A8C-8354-35001F717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894</Words>
  <Characters>5099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dc:creator>
  <cp:lastModifiedBy>Havish Koorapaty</cp:lastModifiedBy>
  <cp:revision>7</cp:revision>
  <dcterms:created xsi:type="dcterms:W3CDTF">2015-01-30T23:08:00Z</dcterms:created>
  <dcterms:modified xsi:type="dcterms:W3CDTF">2015-01-30T23:19:00Z</dcterms:modified>
</cp:coreProperties>
</file>