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AC5" w:rsidRPr="008E6AE2" w:rsidRDefault="00884AC5" w:rsidP="00884AC5">
      <w:pPr>
        <w:pStyle w:val="3GPPHeader"/>
        <w:spacing w:after="60"/>
        <w:rPr>
          <w:rFonts w:cs="Arial"/>
          <w:sz w:val="32"/>
          <w:szCs w:val="32"/>
          <w:highlight w:val="yellow"/>
          <w:lang w:val="en-US"/>
        </w:rPr>
      </w:pPr>
      <w:r w:rsidRPr="008E6AE2">
        <w:rPr>
          <w:rFonts w:cs="Arial"/>
          <w:lang w:val="en-US"/>
        </w:rPr>
        <w:t>3GPP TSG-RAN WG1 Meeting #</w:t>
      </w:r>
      <w:r>
        <w:rPr>
          <w:rFonts w:cs="Arial"/>
          <w:lang w:val="en-US"/>
        </w:rPr>
        <w:t>80</w:t>
      </w:r>
      <w:r w:rsidRPr="008E6AE2">
        <w:rPr>
          <w:rFonts w:cs="Arial"/>
          <w:lang w:val="en-US"/>
        </w:rPr>
        <w:tab/>
      </w:r>
      <w:r w:rsidRPr="003B2D2B">
        <w:rPr>
          <w:rFonts w:cs="Arial"/>
          <w:szCs w:val="32"/>
          <w:lang w:val="en-US"/>
        </w:rPr>
        <w:t>R1-15</w:t>
      </w:r>
      <w:r w:rsidR="003B2D2B" w:rsidRPr="003B2D2B">
        <w:rPr>
          <w:rFonts w:cs="Arial"/>
          <w:szCs w:val="32"/>
          <w:lang w:val="en-US"/>
        </w:rPr>
        <w:t>0330</w:t>
      </w:r>
    </w:p>
    <w:p w:rsidR="00884AC5" w:rsidRPr="008E6AE2" w:rsidRDefault="00884AC5" w:rsidP="00884AC5">
      <w:pPr>
        <w:pStyle w:val="3GPPHeader"/>
        <w:rPr>
          <w:rFonts w:cs="Arial"/>
          <w:lang w:val="en-US"/>
        </w:rPr>
      </w:pPr>
      <w:r>
        <w:rPr>
          <w:rFonts w:cs="Arial"/>
          <w:lang w:val="en-US"/>
        </w:rPr>
        <w:t>Athens, Greece, 9</w:t>
      </w:r>
      <w:r w:rsidRPr="008E6AE2">
        <w:rPr>
          <w:rFonts w:cs="Arial"/>
          <w:vertAlign w:val="superscript"/>
          <w:lang w:val="en-US"/>
        </w:rPr>
        <w:t>th</w:t>
      </w:r>
      <w:r>
        <w:rPr>
          <w:rFonts w:cs="Arial"/>
          <w:lang w:val="en-US"/>
        </w:rPr>
        <w:t xml:space="preserve"> – </w:t>
      </w:r>
      <w:r w:rsidRPr="008E6AE2">
        <w:rPr>
          <w:rFonts w:cs="Arial"/>
          <w:lang w:val="en-US"/>
        </w:rPr>
        <w:t>1</w:t>
      </w:r>
      <w:r>
        <w:rPr>
          <w:rFonts w:cs="Arial"/>
          <w:lang w:val="en-US"/>
        </w:rPr>
        <w:t>3</w:t>
      </w:r>
      <w:r w:rsidRPr="008E6AE2">
        <w:rPr>
          <w:rFonts w:cs="Arial"/>
          <w:vertAlign w:val="superscript"/>
          <w:lang w:val="en-US"/>
        </w:rPr>
        <w:t>st</w:t>
      </w:r>
      <w:r>
        <w:rPr>
          <w:rFonts w:cs="Arial"/>
          <w:lang w:val="en-US"/>
        </w:rPr>
        <w:t xml:space="preserve"> Feb</w:t>
      </w:r>
      <w:r w:rsidRPr="008E6AE2">
        <w:rPr>
          <w:rFonts w:cs="Arial"/>
          <w:lang w:val="en-US"/>
        </w:rPr>
        <w:t>r</w:t>
      </w:r>
      <w:r>
        <w:rPr>
          <w:rFonts w:cs="Arial"/>
          <w:lang w:val="en-US"/>
        </w:rPr>
        <w:t>uary 2015</w:t>
      </w:r>
    </w:p>
    <w:p w:rsidR="000074A3" w:rsidRPr="002729B3" w:rsidRDefault="000074A3" w:rsidP="000074A3">
      <w:pPr>
        <w:pStyle w:val="3GPPHeader"/>
        <w:rPr>
          <w:rFonts w:cs="Arial"/>
          <w:lang w:val="en-US"/>
        </w:rPr>
      </w:pP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BD4C6E">
        <w:rPr>
          <w:rFonts w:cs="Arial"/>
          <w:sz w:val="22"/>
          <w:szCs w:val="22"/>
          <w:lang w:val="en-US"/>
        </w:rPr>
        <w:t>6.2.1</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4F4229">
        <w:rPr>
          <w:rFonts w:cs="Arial"/>
          <w:sz w:val="22"/>
          <w:szCs w:val="22"/>
          <w:lang w:val="en-US"/>
        </w:rPr>
        <w:t xml:space="preserve">Enhanced </w:t>
      </w:r>
      <w:r w:rsidR="00A0750F">
        <w:rPr>
          <w:rFonts w:cs="Arial"/>
          <w:sz w:val="22"/>
          <w:szCs w:val="22"/>
          <w:lang w:val="en-US"/>
        </w:rPr>
        <w:t>u</w:t>
      </w:r>
      <w:r w:rsidR="004F4229">
        <w:rPr>
          <w:rFonts w:cs="Arial"/>
          <w:sz w:val="22"/>
          <w:szCs w:val="22"/>
          <w:lang w:val="en-US"/>
        </w:rPr>
        <w:t>plink (EUL)</w:t>
      </w:r>
      <w:r w:rsidR="00A0750F">
        <w:rPr>
          <w:rFonts w:cs="Arial"/>
          <w:sz w:val="22"/>
          <w:szCs w:val="22"/>
          <w:lang w:val="en-US"/>
        </w:rPr>
        <w:t xml:space="preserve"> coverage i</w:t>
      </w:r>
      <w:r w:rsidR="00884AC5">
        <w:rPr>
          <w:rFonts w:cs="Arial"/>
          <w:sz w:val="22"/>
          <w:szCs w:val="22"/>
          <w:lang w:val="en-US"/>
        </w:rPr>
        <w:t>mprovements</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4D59CC" w:rsidRPr="008C3B20" w:rsidRDefault="00F04CB3" w:rsidP="00290A18">
      <w:pPr>
        <w:rPr>
          <w:rFonts w:cs="Arial"/>
        </w:rPr>
      </w:pPr>
      <w:r>
        <w:rPr>
          <w:rFonts w:cs="Arial"/>
          <w:lang w:val="en-US"/>
        </w:rPr>
        <w:t xml:space="preserve">At </w:t>
      </w:r>
      <w:r>
        <w:rPr>
          <w:rFonts w:cs="Arial"/>
        </w:rPr>
        <w:t>RAN</w:t>
      </w:r>
      <w:r w:rsidR="00097555" w:rsidRPr="00AB6D1D">
        <w:rPr>
          <w:rFonts w:cs="Arial"/>
        </w:rPr>
        <w:t xml:space="preserve">#65, </w:t>
      </w:r>
      <w:r w:rsidR="004F4229">
        <w:rPr>
          <w:rFonts w:cs="Arial"/>
        </w:rPr>
        <w:t xml:space="preserve">a </w:t>
      </w:r>
      <w:r w:rsidR="004F4229">
        <w:rPr>
          <w:rFonts w:eastAsia="Batang"/>
        </w:rPr>
        <w:t>s</w:t>
      </w:r>
      <w:r w:rsidR="00BD4267" w:rsidRPr="004D2C1E">
        <w:rPr>
          <w:rFonts w:eastAsia="Batang"/>
        </w:rPr>
        <w:t xml:space="preserve">tudy on </w:t>
      </w:r>
      <w:r w:rsidR="004F4229">
        <w:rPr>
          <w:rFonts w:eastAsia="Batang"/>
        </w:rPr>
        <w:t>‘</w:t>
      </w:r>
      <w:r w:rsidR="00BD4267" w:rsidRPr="00F04CB3">
        <w:rPr>
          <w:rFonts w:eastAsia="Batang"/>
          <w:i/>
        </w:rPr>
        <w:t xml:space="preserve">Small Data Transmission </w:t>
      </w:r>
      <w:r w:rsidR="00FD58D0">
        <w:rPr>
          <w:rFonts w:eastAsia="Batang"/>
          <w:i/>
        </w:rPr>
        <w:t xml:space="preserve">(SDT) </w:t>
      </w:r>
      <w:r w:rsidR="00BD4267" w:rsidRPr="00F04CB3">
        <w:rPr>
          <w:rFonts w:eastAsia="Batang"/>
          <w:i/>
        </w:rPr>
        <w:t>Enhancements for UMTS</w:t>
      </w:r>
      <w:r w:rsidR="004F4229">
        <w:rPr>
          <w:rFonts w:eastAsia="Batang"/>
        </w:rPr>
        <w:t>’</w:t>
      </w:r>
      <w:r w:rsidR="00BD4267" w:rsidRPr="00AB6D1D">
        <w:rPr>
          <w:rFonts w:cs="Arial"/>
        </w:rPr>
        <w:t xml:space="preserve"> </w:t>
      </w:r>
      <w:r w:rsidR="00097555" w:rsidRPr="00AB6D1D">
        <w:rPr>
          <w:rFonts w:cs="Arial"/>
        </w:rPr>
        <w:t xml:space="preserve">was approved as one of the topics to be studied as part of </w:t>
      </w:r>
      <w:r w:rsidR="00915614" w:rsidRPr="00AB6D1D">
        <w:rPr>
          <w:rFonts w:cs="Arial"/>
        </w:rPr>
        <w:t xml:space="preserve">3GPP </w:t>
      </w:r>
      <w:r w:rsidR="00097555"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00097555" w:rsidRPr="00AB6D1D">
        <w:rPr>
          <w:rFonts w:cs="Arial"/>
        </w:rPr>
        <w:t xml:space="preserve">. </w:t>
      </w:r>
      <w:r w:rsidR="004F4229">
        <w:rPr>
          <w:rFonts w:cs="Arial"/>
        </w:rPr>
        <w:t>One aspect to be considered</w:t>
      </w:r>
      <w:r w:rsidR="00A22F78">
        <w:rPr>
          <w:rFonts w:cs="Arial"/>
        </w:rPr>
        <w:t xml:space="preserve"> is </w:t>
      </w:r>
      <w:r w:rsidR="004113A6">
        <w:rPr>
          <w:rFonts w:cs="Arial"/>
        </w:rPr>
        <w:t>cover</w:t>
      </w:r>
      <w:r w:rsidR="00E10094">
        <w:rPr>
          <w:rFonts w:cs="Arial"/>
        </w:rPr>
        <w:t xml:space="preserve">age of small data transmissions, and during RAN1#79 a comprehensive evaluation of the </w:t>
      </w:r>
      <w:r w:rsidR="00E10094" w:rsidRPr="008C3B20">
        <w:rPr>
          <w:rFonts w:cs="Arial"/>
          <w:i/>
        </w:rPr>
        <w:t>Maximum Coupling Loss</w:t>
      </w:r>
      <w:r w:rsidR="00E10094">
        <w:rPr>
          <w:rFonts w:cs="Arial"/>
        </w:rPr>
        <w:t xml:space="preserve"> (MCL) for different </w:t>
      </w:r>
      <w:r w:rsidR="008C3B20">
        <w:rPr>
          <w:rFonts w:cs="Arial"/>
        </w:rPr>
        <w:t xml:space="preserve">physical </w:t>
      </w:r>
      <w:r w:rsidR="00E10094">
        <w:rPr>
          <w:rFonts w:cs="Arial"/>
        </w:rPr>
        <w:t>channels was performed</w:t>
      </w:r>
      <w:r w:rsidR="002729B3">
        <w:rPr>
          <w:rFonts w:cs="Arial"/>
        </w:rPr>
        <w:t xml:space="preserve"> </w:t>
      </w:r>
      <w:r w:rsidR="00E10094">
        <w:rPr>
          <w:rFonts w:cs="Arial"/>
        </w:rPr>
        <w:t>[2-9]</w:t>
      </w:r>
      <w:r w:rsidR="00290A18">
        <w:rPr>
          <w:rFonts w:cs="Arial"/>
        </w:rPr>
        <w:t>;</w:t>
      </w:r>
      <w:r w:rsidR="00E10094">
        <w:rPr>
          <w:rFonts w:cs="Arial"/>
        </w:rPr>
        <w:t xml:space="preserve"> </w:t>
      </w:r>
      <w:r w:rsidR="00290A18">
        <w:rPr>
          <w:rFonts w:cs="Arial"/>
        </w:rPr>
        <w:t>see Table 1 for a summary of some of the results. T</w:t>
      </w:r>
      <w:r w:rsidR="00E10094">
        <w:rPr>
          <w:rFonts w:cs="Arial"/>
        </w:rPr>
        <w:t>hree main bottleneck areas were identified</w:t>
      </w:r>
      <w:r w:rsidR="00290A18">
        <w:rPr>
          <w:rFonts w:cs="Arial"/>
        </w:rPr>
        <w:t xml:space="preserve"> from this evaluation, namely</w:t>
      </w:r>
      <w:r w:rsidR="00E10094">
        <w:rPr>
          <w:rFonts w:cs="Arial"/>
        </w:rPr>
        <w:t xml:space="preserve"> PCH over S-CCPCH, PRACH preamble and EUL. </w:t>
      </w:r>
      <w:r w:rsidR="008C3B20">
        <w:rPr>
          <w:rFonts w:cs="Arial"/>
        </w:rPr>
        <w:t>In this c</w:t>
      </w:r>
      <w:r w:rsidR="008304AF">
        <w:rPr>
          <w:rFonts w:cs="Arial"/>
        </w:rPr>
        <w:t xml:space="preserve">ontribution, </w:t>
      </w:r>
      <w:r w:rsidR="005B077E">
        <w:rPr>
          <w:rFonts w:cs="Arial"/>
        </w:rPr>
        <w:t xml:space="preserve">uplink </w:t>
      </w:r>
      <w:r w:rsidR="008C3B20">
        <w:rPr>
          <w:rFonts w:cs="Arial"/>
        </w:rPr>
        <w:t xml:space="preserve">coverage </w:t>
      </w:r>
      <w:r w:rsidR="008304AF">
        <w:rPr>
          <w:rFonts w:cs="Arial"/>
        </w:rPr>
        <w:t>aspects associated with</w:t>
      </w:r>
      <w:r w:rsidR="008C3B20">
        <w:rPr>
          <w:rFonts w:cs="Arial"/>
        </w:rPr>
        <w:t xml:space="preserve"> </w:t>
      </w:r>
      <w:r w:rsidR="008C3B20" w:rsidRPr="00F04CB3">
        <w:rPr>
          <w:rFonts w:cs="Arial"/>
          <w:i/>
        </w:rPr>
        <w:t>Enhanced Uplink</w:t>
      </w:r>
      <w:r w:rsidR="008C3B20">
        <w:rPr>
          <w:rFonts w:cs="Arial"/>
        </w:rPr>
        <w:t xml:space="preserve"> (EUL) will be discussed and potential improvements will be outlined.</w:t>
      </w:r>
    </w:p>
    <w:p w:rsidR="008C3B20" w:rsidRDefault="008C3B20" w:rsidP="00290A18"/>
    <w:p w:rsidR="00E10094" w:rsidRPr="00E10094" w:rsidRDefault="00E10094" w:rsidP="00E10094">
      <w:pPr>
        <w:pStyle w:val="Caption"/>
      </w:pPr>
      <w:bookmarkStart w:id="0" w:name="_Ref402872713"/>
      <w:r>
        <w:t xml:space="preserve">Table </w:t>
      </w:r>
      <w:r>
        <w:fldChar w:fldCharType="begin"/>
      </w:r>
      <w:r>
        <w:instrText xml:space="preserve"> SEQ Table \* ARABIC </w:instrText>
      </w:r>
      <w:r>
        <w:fldChar w:fldCharType="separate"/>
      </w:r>
      <w:r w:rsidR="00927AC5">
        <w:rPr>
          <w:noProof/>
        </w:rPr>
        <w:t>1</w:t>
      </w:r>
      <w:r>
        <w:fldChar w:fldCharType="end"/>
      </w:r>
      <w:bookmarkEnd w:id="0"/>
      <w:r>
        <w:tab/>
        <w:t>Summary of MCL values for the agreed reference scenario.</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95"/>
        <w:gridCol w:w="1095"/>
        <w:gridCol w:w="1095"/>
        <w:gridCol w:w="1095"/>
        <w:gridCol w:w="1095"/>
        <w:gridCol w:w="1095"/>
        <w:gridCol w:w="1095"/>
        <w:gridCol w:w="1095"/>
        <w:gridCol w:w="1095"/>
      </w:tblGrid>
      <w:tr w:rsidR="00E10094" w:rsidTr="00290A18">
        <w:tc>
          <w:tcPr>
            <w:tcW w:w="1095" w:type="dxa"/>
            <w:tcBorders>
              <w:top w:val="nil"/>
              <w:left w:val="nil"/>
              <w:bottom w:val="single" w:sz="12" w:space="0" w:color="auto"/>
              <w:right w:val="single" w:sz="12" w:space="0" w:color="auto"/>
            </w:tcBorders>
          </w:tcPr>
          <w:p w:rsidR="00E10094" w:rsidRDefault="00E10094">
            <w:pPr>
              <w:spacing w:after="200" w:line="276" w:lineRule="auto"/>
              <w:rPr>
                <w:rFonts w:asciiTheme="minorHAnsi" w:eastAsiaTheme="minorHAnsi" w:hAnsiTheme="minorHAnsi" w:cstheme="minorBidi"/>
                <w:sz w:val="16"/>
                <w:szCs w:val="22"/>
              </w:rPr>
            </w:pPr>
          </w:p>
        </w:tc>
        <w:tc>
          <w:tcPr>
            <w:tcW w:w="1095" w:type="dxa"/>
            <w:tcBorders>
              <w:top w:val="single" w:sz="12" w:space="0" w:color="auto"/>
              <w:left w:val="single" w:sz="12" w:space="0" w:color="auto"/>
              <w:bottom w:val="single" w:sz="12" w:space="0" w:color="auto"/>
              <w:right w:val="single" w:sz="4" w:space="0" w:color="auto"/>
            </w:tcBorders>
            <w:hideMark/>
          </w:tcPr>
          <w:p w:rsidR="00E10094" w:rsidRDefault="00E10094">
            <w:pPr>
              <w:jc w:val="center"/>
              <w:rPr>
                <w:rFonts w:asciiTheme="minorHAnsi" w:eastAsiaTheme="minorHAnsi" w:hAnsiTheme="minorHAnsi" w:cstheme="minorBidi"/>
                <w:b/>
                <w:sz w:val="16"/>
                <w:szCs w:val="22"/>
              </w:rPr>
            </w:pPr>
            <w:r>
              <w:rPr>
                <w:b/>
                <w:sz w:val="16"/>
              </w:rPr>
              <w:t>Cell search</w:t>
            </w:r>
          </w:p>
          <w:p w:rsidR="00E10094" w:rsidRDefault="00E10094">
            <w:pPr>
              <w:spacing w:after="200" w:line="276" w:lineRule="auto"/>
              <w:jc w:val="center"/>
              <w:rPr>
                <w:rFonts w:asciiTheme="minorHAnsi" w:eastAsiaTheme="minorHAnsi" w:hAnsiTheme="minorHAnsi" w:cstheme="minorBidi"/>
                <w:b/>
                <w:sz w:val="16"/>
                <w:szCs w:val="22"/>
              </w:rPr>
            </w:pPr>
            <w:r>
              <w:rPr>
                <w:b/>
                <w:sz w:val="16"/>
              </w:rPr>
              <w:t>(P-SCH,</w:t>
            </w:r>
            <w:r>
              <w:rPr>
                <w:b/>
                <w:sz w:val="16"/>
              </w:rPr>
              <w:br/>
              <w:t>S-SCH)</w:t>
            </w:r>
          </w:p>
        </w:tc>
        <w:tc>
          <w:tcPr>
            <w:tcW w:w="1095" w:type="dxa"/>
            <w:tcBorders>
              <w:top w:val="single" w:sz="12" w:space="0" w:color="auto"/>
              <w:left w:val="single" w:sz="4" w:space="0" w:color="auto"/>
              <w:bottom w:val="single" w:sz="12" w:space="0" w:color="auto"/>
              <w:right w:val="single" w:sz="4" w:space="0" w:color="auto"/>
            </w:tcBorders>
            <w:hideMark/>
          </w:tcPr>
          <w:p w:rsidR="00E10094" w:rsidRDefault="00E10094">
            <w:pPr>
              <w:jc w:val="center"/>
              <w:rPr>
                <w:rFonts w:asciiTheme="minorHAnsi" w:eastAsiaTheme="minorHAnsi" w:hAnsiTheme="minorHAnsi" w:cstheme="minorBidi"/>
                <w:b/>
                <w:sz w:val="16"/>
                <w:szCs w:val="22"/>
              </w:rPr>
            </w:pPr>
            <w:r>
              <w:rPr>
                <w:b/>
                <w:sz w:val="16"/>
              </w:rPr>
              <w:t>BCH</w:t>
            </w:r>
          </w:p>
          <w:p w:rsidR="00E10094" w:rsidRDefault="00E10094">
            <w:pPr>
              <w:spacing w:after="200" w:line="276" w:lineRule="auto"/>
              <w:jc w:val="center"/>
              <w:rPr>
                <w:rFonts w:asciiTheme="minorHAnsi" w:eastAsiaTheme="minorHAnsi" w:hAnsiTheme="minorHAnsi" w:cstheme="minorBidi"/>
                <w:b/>
                <w:sz w:val="16"/>
                <w:szCs w:val="22"/>
              </w:rPr>
            </w:pPr>
            <w:r>
              <w:rPr>
                <w:b/>
                <w:sz w:val="16"/>
              </w:rPr>
              <w:t>(S-CCPCH)</w:t>
            </w:r>
          </w:p>
        </w:tc>
        <w:tc>
          <w:tcPr>
            <w:tcW w:w="1095" w:type="dxa"/>
            <w:tcBorders>
              <w:top w:val="single" w:sz="12" w:space="0" w:color="auto"/>
              <w:left w:val="single" w:sz="4" w:space="0" w:color="auto"/>
              <w:bottom w:val="single" w:sz="12" w:space="0" w:color="auto"/>
              <w:right w:val="single" w:sz="4" w:space="0" w:color="auto"/>
            </w:tcBorders>
            <w:shd w:val="clear" w:color="auto" w:fill="F2F2F2" w:themeFill="background1" w:themeFillShade="F2"/>
            <w:hideMark/>
          </w:tcPr>
          <w:p w:rsidR="00E10094" w:rsidRDefault="00E10094">
            <w:pPr>
              <w:jc w:val="center"/>
              <w:rPr>
                <w:rFonts w:asciiTheme="minorHAnsi" w:eastAsiaTheme="minorHAnsi" w:hAnsiTheme="minorHAnsi" w:cstheme="minorBidi"/>
                <w:b/>
                <w:sz w:val="16"/>
                <w:szCs w:val="22"/>
              </w:rPr>
            </w:pPr>
            <w:r>
              <w:rPr>
                <w:b/>
                <w:sz w:val="16"/>
              </w:rPr>
              <w:t>Paging</w:t>
            </w:r>
          </w:p>
          <w:p w:rsidR="00E10094" w:rsidRDefault="00E10094">
            <w:pPr>
              <w:spacing w:after="200" w:line="276" w:lineRule="auto"/>
              <w:jc w:val="center"/>
              <w:rPr>
                <w:rFonts w:asciiTheme="minorHAnsi" w:eastAsiaTheme="minorHAnsi" w:hAnsiTheme="minorHAnsi" w:cstheme="minorBidi"/>
                <w:b/>
                <w:sz w:val="16"/>
                <w:szCs w:val="22"/>
              </w:rPr>
            </w:pPr>
            <w:r>
              <w:rPr>
                <w:b/>
                <w:sz w:val="16"/>
              </w:rPr>
              <w:t>(PICH,</w:t>
            </w:r>
            <w:r>
              <w:rPr>
                <w:b/>
                <w:sz w:val="16"/>
              </w:rPr>
              <w:br/>
              <w:t>S-CCPCH)</w:t>
            </w:r>
          </w:p>
        </w:tc>
        <w:tc>
          <w:tcPr>
            <w:tcW w:w="1095" w:type="dxa"/>
            <w:tcBorders>
              <w:top w:val="single" w:sz="12" w:space="0" w:color="auto"/>
              <w:left w:val="single" w:sz="4" w:space="0" w:color="auto"/>
              <w:bottom w:val="single" w:sz="12" w:space="0" w:color="auto"/>
              <w:right w:val="single" w:sz="4" w:space="0" w:color="auto"/>
            </w:tcBorders>
            <w:shd w:val="clear" w:color="auto" w:fill="F2F2F2" w:themeFill="background1" w:themeFillShade="F2"/>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PRACH preamble</w:t>
            </w:r>
          </w:p>
        </w:tc>
        <w:tc>
          <w:tcPr>
            <w:tcW w:w="1095" w:type="dxa"/>
            <w:tcBorders>
              <w:top w:val="single" w:sz="12" w:space="0" w:color="auto"/>
              <w:left w:val="single" w:sz="4" w:space="0" w:color="auto"/>
              <w:bottom w:val="single" w:sz="12" w:space="0" w:color="auto"/>
              <w:right w:val="single" w:sz="4" w:space="0" w:color="auto"/>
            </w:tcBorders>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AICH</w:t>
            </w:r>
          </w:p>
        </w:tc>
        <w:tc>
          <w:tcPr>
            <w:tcW w:w="1095" w:type="dxa"/>
            <w:tcBorders>
              <w:top w:val="single" w:sz="12" w:space="0" w:color="auto"/>
              <w:left w:val="single" w:sz="4" w:space="0" w:color="auto"/>
              <w:bottom w:val="single" w:sz="12" w:space="0" w:color="auto"/>
              <w:right w:val="single" w:sz="4" w:space="0" w:color="auto"/>
            </w:tcBorders>
            <w:shd w:val="clear" w:color="auto" w:fill="F2F2F2" w:themeFill="background1" w:themeFillShade="F2"/>
            <w:hideMark/>
          </w:tcPr>
          <w:p w:rsidR="00E10094" w:rsidRDefault="00E10094">
            <w:pPr>
              <w:jc w:val="center"/>
              <w:rPr>
                <w:rFonts w:asciiTheme="minorHAnsi" w:eastAsiaTheme="minorHAnsi" w:hAnsiTheme="minorHAnsi" w:cstheme="minorBidi"/>
                <w:b/>
                <w:sz w:val="16"/>
                <w:szCs w:val="22"/>
              </w:rPr>
            </w:pPr>
            <w:r>
              <w:rPr>
                <w:b/>
                <w:sz w:val="16"/>
              </w:rPr>
              <w:t>EUL</w:t>
            </w:r>
          </w:p>
          <w:p w:rsidR="00E10094" w:rsidRDefault="00E10094">
            <w:pPr>
              <w:spacing w:after="200" w:line="276" w:lineRule="auto"/>
              <w:jc w:val="center"/>
              <w:rPr>
                <w:rFonts w:asciiTheme="minorHAnsi" w:eastAsiaTheme="minorHAnsi" w:hAnsiTheme="minorHAnsi" w:cstheme="minorBidi"/>
                <w:b/>
                <w:sz w:val="16"/>
                <w:szCs w:val="22"/>
              </w:rPr>
            </w:pPr>
            <w:r>
              <w:rPr>
                <w:b/>
                <w:sz w:val="16"/>
              </w:rPr>
              <w:t>(DPCCH,</w:t>
            </w:r>
            <w:r>
              <w:rPr>
                <w:b/>
                <w:sz w:val="16"/>
              </w:rPr>
              <w:br/>
              <w:t>E-DPCCH, E-DPDCH)</w:t>
            </w:r>
          </w:p>
        </w:tc>
        <w:tc>
          <w:tcPr>
            <w:tcW w:w="1095" w:type="dxa"/>
            <w:tcBorders>
              <w:top w:val="single" w:sz="12" w:space="0" w:color="auto"/>
              <w:left w:val="single" w:sz="4" w:space="0" w:color="auto"/>
              <w:bottom w:val="single" w:sz="12" w:space="0" w:color="auto"/>
              <w:right w:val="single" w:sz="4" w:space="0" w:color="auto"/>
            </w:tcBorders>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HS-SCCH</w:t>
            </w:r>
          </w:p>
        </w:tc>
        <w:tc>
          <w:tcPr>
            <w:tcW w:w="1095" w:type="dxa"/>
            <w:tcBorders>
              <w:top w:val="single" w:sz="12" w:space="0" w:color="auto"/>
              <w:left w:val="single" w:sz="4" w:space="0" w:color="auto"/>
              <w:bottom w:val="single" w:sz="12" w:space="0" w:color="auto"/>
              <w:right w:val="single" w:sz="12" w:space="0" w:color="auto"/>
            </w:tcBorders>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HS-PDSCH</w:t>
            </w:r>
          </w:p>
        </w:tc>
      </w:tr>
      <w:tr w:rsidR="00E10094" w:rsidTr="00290A18">
        <w:tc>
          <w:tcPr>
            <w:tcW w:w="1095" w:type="dxa"/>
            <w:tcBorders>
              <w:top w:val="single" w:sz="12" w:space="0" w:color="auto"/>
              <w:left w:val="single" w:sz="12" w:space="0" w:color="auto"/>
              <w:bottom w:val="single" w:sz="4" w:space="0" w:color="auto"/>
              <w:right w:val="single" w:sz="12" w:space="0" w:color="auto"/>
            </w:tcBorders>
            <w:vAlign w:val="center"/>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MCL [dB],</w:t>
            </w:r>
            <w:r>
              <w:rPr>
                <w:b/>
                <w:sz w:val="16"/>
              </w:rPr>
              <w:br/>
            </w:r>
            <w:proofErr w:type="spellStart"/>
            <w:r>
              <w:rPr>
                <w:b/>
                <w:sz w:val="16"/>
              </w:rPr>
              <w:t>Ped</w:t>
            </w:r>
            <w:proofErr w:type="spellEnd"/>
            <w:r>
              <w:rPr>
                <w:b/>
                <w:sz w:val="16"/>
              </w:rPr>
              <w:t xml:space="preserve"> A 1 Hz</w:t>
            </w:r>
          </w:p>
        </w:tc>
        <w:tc>
          <w:tcPr>
            <w:tcW w:w="1095" w:type="dxa"/>
            <w:tcBorders>
              <w:top w:val="single" w:sz="12" w:space="0" w:color="auto"/>
              <w:left w:val="single" w:sz="12" w:space="0" w:color="auto"/>
              <w:bottom w:val="single" w:sz="4"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154</w:t>
            </w:r>
          </w:p>
        </w:tc>
        <w:tc>
          <w:tcPr>
            <w:tcW w:w="1095" w:type="dxa"/>
            <w:tcBorders>
              <w:top w:val="single" w:sz="12" w:space="0" w:color="auto"/>
              <w:left w:val="single" w:sz="4" w:space="0" w:color="auto"/>
              <w:bottom w:val="single" w:sz="4"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150</w:t>
            </w:r>
          </w:p>
        </w:tc>
        <w:tc>
          <w:tcPr>
            <w:tcW w:w="1095"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143</w:t>
            </w:r>
          </w:p>
        </w:tc>
        <w:tc>
          <w:tcPr>
            <w:tcW w:w="1095"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tcPr>
          <w:p w:rsidR="00E10094" w:rsidRDefault="00E10094">
            <w:pPr>
              <w:spacing w:after="200" w:line="276" w:lineRule="auto"/>
              <w:jc w:val="center"/>
              <w:rPr>
                <w:rFonts w:asciiTheme="minorHAnsi" w:eastAsiaTheme="minorHAnsi" w:hAnsiTheme="minorHAnsi" w:cstheme="minorBidi"/>
                <w:sz w:val="16"/>
                <w:szCs w:val="22"/>
              </w:rPr>
            </w:pPr>
          </w:p>
        </w:tc>
        <w:tc>
          <w:tcPr>
            <w:tcW w:w="1095" w:type="dxa"/>
            <w:tcBorders>
              <w:top w:val="single" w:sz="12" w:space="0" w:color="auto"/>
              <w:left w:val="single" w:sz="4" w:space="0" w:color="auto"/>
              <w:bottom w:val="single" w:sz="4"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145</w:t>
            </w:r>
          </w:p>
        </w:tc>
        <w:tc>
          <w:tcPr>
            <w:tcW w:w="1095"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10094" w:rsidRDefault="00E10094">
            <w:pPr>
              <w:spacing w:after="200" w:line="276" w:lineRule="auto"/>
              <w:jc w:val="center"/>
              <w:rPr>
                <w:rFonts w:asciiTheme="minorHAnsi" w:eastAsiaTheme="minorHAnsi" w:hAnsiTheme="minorHAnsi" w:cstheme="minorBidi"/>
                <w:sz w:val="16"/>
                <w:szCs w:val="22"/>
                <w:highlight w:val="yellow"/>
              </w:rPr>
            </w:pPr>
            <w:r>
              <w:rPr>
                <w:sz w:val="16"/>
              </w:rPr>
              <w:t>141</w:t>
            </w:r>
          </w:p>
        </w:tc>
        <w:tc>
          <w:tcPr>
            <w:tcW w:w="1095" w:type="dxa"/>
            <w:tcBorders>
              <w:top w:val="single" w:sz="12" w:space="0" w:color="auto"/>
              <w:left w:val="single" w:sz="4" w:space="0" w:color="auto"/>
              <w:bottom w:val="single" w:sz="4"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144</w:t>
            </w:r>
          </w:p>
        </w:tc>
        <w:tc>
          <w:tcPr>
            <w:tcW w:w="1095" w:type="dxa"/>
            <w:tcBorders>
              <w:top w:val="single" w:sz="12" w:space="0" w:color="auto"/>
              <w:left w:val="single" w:sz="4" w:space="0" w:color="auto"/>
              <w:bottom w:val="single" w:sz="4" w:space="0" w:color="auto"/>
              <w:right w:val="single" w:sz="12"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160</w:t>
            </w:r>
          </w:p>
        </w:tc>
      </w:tr>
      <w:tr w:rsidR="00E10094" w:rsidTr="00290A18">
        <w:tc>
          <w:tcPr>
            <w:tcW w:w="1095" w:type="dxa"/>
            <w:tcBorders>
              <w:top w:val="single" w:sz="4" w:space="0" w:color="auto"/>
              <w:left w:val="single" w:sz="12" w:space="0" w:color="auto"/>
              <w:bottom w:val="single" w:sz="12" w:space="0" w:color="auto"/>
              <w:right w:val="single" w:sz="12" w:space="0" w:color="auto"/>
            </w:tcBorders>
            <w:vAlign w:val="center"/>
            <w:hideMark/>
          </w:tcPr>
          <w:p w:rsidR="00E10094" w:rsidRDefault="00E10094">
            <w:pPr>
              <w:spacing w:after="200" w:line="276" w:lineRule="auto"/>
              <w:jc w:val="center"/>
              <w:rPr>
                <w:rFonts w:asciiTheme="minorHAnsi" w:eastAsiaTheme="minorHAnsi" w:hAnsiTheme="minorHAnsi" w:cstheme="minorBidi"/>
                <w:b/>
                <w:sz w:val="16"/>
                <w:szCs w:val="22"/>
              </w:rPr>
            </w:pPr>
            <w:r>
              <w:rPr>
                <w:b/>
                <w:sz w:val="16"/>
              </w:rPr>
              <w:t>MCL [dB],</w:t>
            </w:r>
            <w:r>
              <w:rPr>
                <w:b/>
                <w:sz w:val="16"/>
              </w:rPr>
              <w:br/>
              <w:t>AWGN</w:t>
            </w:r>
          </w:p>
        </w:tc>
        <w:tc>
          <w:tcPr>
            <w:tcW w:w="1095" w:type="dxa"/>
            <w:tcBorders>
              <w:top w:val="single" w:sz="4" w:space="0" w:color="auto"/>
              <w:left w:val="single" w:sz="12" w:space="0" w:color="auto"/>
              <w:bottom w:val="single" w:sz="12"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152</w:t>
            </w:r>
          </w:p>
        </w:tc>
        <w:tc>
          <w:tcPr>
            <w:tcW w:w="1095" w:type="dxa"/>
            <w:tcBorders>
              <w:top w:val="single" w:sz="4" w:space="0" w:color="auto"/>
              <w:left w:val="single" w:sz="4" w:space="0" w:color="auto"/>
              <w:bottom w:val="single" w:sz="12"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152</w:t>
            </w:r>
          </w:p>
        </w:tc>
        <w:tc>
          <w:tcPr>
            <w:tcW w:w="1095" w:type="dxa"/>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149</w:t>
            </w:r>
          </w:p>
        </w:tc>
        <w:tc>
          <w:tcPr>
            <w:tcW w:w="1095" w:type="dxa"/>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143</w:t>
            </w:r>
          </w:p>
        </w:tc>
        <w:tc>
          <w:tcPr>
            <w:tcW w:w="1095" w:type="dxa"/>
            <w:tcBorders>
              <w:top w:val="single" w:sz="4" w:space="0" w:color="auto"/>
              <w:left w:val="single" w:sz="4" w:space="0" w:color="auto"/>
              <w:bottom w:val="single" w:sz="12"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152</w:t>
            </w:r>
          </w:p>
        </w:tc>
        <w:tc>
          <w:tcPr>
            <w:tcW w:w="1095" w:type="dxa"/>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hideMark/>
          </w:tcPr>
          <w:p w:rsidR="00E10094" w:rsidRDefault="00E10094">
            <w:pPr>
              <w:spacing w:after="200" w:line="276" w:lineRule="auto"/>
              <w:jc w:val="center"/>
              <w:rPr>
                <w:rFonts w:asciiTheme="minorHAnsi" w:eastAsiaTheme="minorHAnsi" w:hAnsiTheme="minorHAnsi" w:cstheme="minorBidi"/>
                <w:sz w:val="16"/>
                <w:szCs w:val="22"/>
                <w:highlight w:val="yellow"/>
              </w:rPr>
            </w:pPr>
            <w:r>
              <w:rPr>
                <w:sz w:val="16"/>
              </w:rPr>
              <w:t>146</w:t>
            </w:r>
          </w:p>
        </w:tc>
        <w:tc>
          <w:tcPr>
            <w:tcW w:w="1095" w:type="dxa"/>
            <w:tcBorders>
              <w:top w:val="single" w:sz="4" w:space="0" w:color="auto"/>
              <w:left w:val="single" w:sz="4" w:space="0" w:color="auto"/>
              <w:bottom w:val="single" w:sz="12" w:space="0" w:color="auto"/>
              <w:right w:val="single" w:sz="4"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150</w:t>
            </w:r>
          </w:p>
        </w:tc>
        <w:tc>
          <w:tcPr>
            <w:tcW w:w="1095" w:type="dxa"/>
            <w:tcBorders>
              <w:top w:val="single" w:sz="4" w:space="0" w:color="auto"/>
              <w:left w:val="single" w:sz="4" w:space="0" w:color="auto"/>
              <w:bottom w:val="single" w:sz="12" w:space="0" w:color="auto"/>
              <w:right w:val="single" w:sz="12" w:space="0" w:color="auto"/>
            </w:tcBorders>
            <w:vAlign w:val="center"/>
            <w:hideMark/>
          </w:tcPr>
          <w:p w:rsidR="00E10094" w:rsidRDefault="00E10094">
            <w:pPr>
              <w:spacing w:after="200" w:line="276" w:lineRule="auto"/>
              <w:jc w:val="center"/>
              <w:rPr>
                <w:rFonts w:asciiTheme="minorHAnsi" w:eastAsiaTheme="minorHAnsi" w:hAnsiTheme="minorHAnsi" w:cstheme="minorBidi"/>
                <w:sz w:val="16"/>
                <w:szCs w:val="22"/>
              </w:rPr>
            </w:pPr>
            <w:r>
              <w:rPr>
                <w:sz w:val="16"/>
              </w:rPr>
              <w:t>158</w:t>
            </w:r>
          </w:p>
        </w:tc>
      </w:tr>
    </w:tbl>
    <w:p w:rsidR="00290A18" w:rsidRDefault="00290A18" w:rsidP="000726F7">
      <w:pPr>
        <w:rPr>
          <w:rFonts w:cs="Arial"/>
        </w:rPr>
      </w:pPr>
    </w:p>
    <w:p w:rsidR="00931B91" w:rsidRDefault="00DE4DB8" w:rsidP="004113A6">
      <w:pPr>
        <w:pStyle w:val="Heading1"/>
      </w:pPr>
      <w:r>
        <w:t>Background</w:t>
      </w:r>
    </w:p>
    <w:p w:rsidR="008C3B20" w:rsidRDefault="00A27D88" w:rsidP="008C3B20">
      <w:r>
        <w:t>Ways o</w:t>
      </w:r>
      <w:r w:rsidR="00DE4DB8">
        <w:t>f improving the uplink coverage</w:t>
      </w:r>
      <w:r>
        <w:t xml:space="preserve"> have been discussed several times in 3GPP</w:t>
      </w:r>
      <w:r w:rsidR="00A71B3E">
        <w:t xml:space="preserve"> (see, e.g. [10</w:t>
      </w:r>
      <w:r w:rsidR="00D76C82">
        <w:t>, 12</w:t>
      </w:r>
      <w:r w:rsidR="00A71B3E">
        <w:t>])</w:t>
      </w:r>
      <w:r>
        <w:t xml:space="preserve">. </w:t>
      </w:r>
      <w:r w:rsidR="0011727A">
        <w:t>T</w:t>
      </w:r>
      <w:r>
        <w:t xml:space="preserve">he different solutions can broadly be classified </w:t>
      </w:r>
      <w:r w:rsidR="00AD71FA">
        <w:t>as</w:t>
      </w:r>
      <w:r w:rsidR="005B077E">
        <w:t>:</w:t>
      </w:r>
    </w:p>
    <w:p w:rsidR="00A27D88" w:rsidRDefault="006A0E9D" w:rsidP="00A27D88">
      <w:pPr>
        <w:pStyle w:val="ListParagraph"/>
        <w:numPr>
          <w:ilvl w:val="0"/>
          <w:numId w:val="47"/>
        </w:numPr>
      </w:pPr>
      <w:r w:rsidRPr="00A71B3E">
        <w:rPr>
          <w:i/>
        </w:rPr>
        <w:t>Increasing the power</w:t>
      </w:r>
      <w:r>
        <w:t xml:space="preserve"> – Power is one of the most fundamental resources when it comes to coverage </w:t>
      </w:r>
      <w:r w:rsidR="00D8343D">
        <w:t xml:space="preserve">since </w:t>
      </w:r>
      <w:r>
        <w:t>increasing the power directly translates into increased coverage. However, power is a very scarce resource in the uplink</w:t>
      </w:r>
      <w:r w:rsidR="00AD71FA">
        <w:t>, especially</w:t>
      </w:r>
      <w:r>
        <w:t xml:space="preserve"> for coverage lim</w:t>
      </w:r>
      <w:r w:rsidR="00AD71FA">
        <w:t>ited devices that are already transmitting with full power</w:t>
      </w:r>
      <w:r>
        <w:t>.</w:t>
      </w:r>
      <w:r w:rsidR="00AD71FA">
        <w:t xml:space="preserve"> Hence, it is important to </w:t>
      </w:r>
      <w:r w:rsidR="005B077E">
        <w:t>distribute the available power in a good way. In particular</w:t>
      </w:r>
      <w:r w:rsidR="008304AF">
        <w:t>,</w:t>
      </w:r>
      <w:r w:rsidR="005B077E">
        <w:t xml:space="preserve"> it might be preferred to focus the available power on as few </w:t>
      </w:r>
      <w:r w:rsidR="00AD71FA">
        <w:t>physical channel</w:t>
      </w:r>
      <w:r w:rsidR="005B077E">
        <w:t>s</w:t>
      </w:r>
      <w:r w:rsidR="00AD71FA">
        <w:t xml:space="preserve"> </w:t>
      </w:r>
      <w:r w:rsidR="005B077E">
        <w:t xml:space="preserve">as possible each time instant </w:t>
      </w:r>
      <w:r w:rsidR="00AD71FA">
        <w:t xml:space="preserve">instead of spreading the power over several physical channels, i.e. </w:t>
      </w:r>
      <w:r w:rsidR="005B077E">
        <w:t>time-multiplexing instead of</w:t>
      </w:r>
      <w:r w:rsidR="00AD71FA">
        <w:t xml:space="preserve"> code-multiplexing.</w:t>
      </w:r>
      <w:r w:rsidR="00A27D88">
        <w:t xml:space="preserve"> </w:t>
      </w:r>
    </w:p>
    <w:p w:rsidR="00A27D88" w:rsidRDefault="00A71B3E" w:rsidP="00A27D88">
      <w:pPr>
        <w:pStyle w:val="ListParagraph"/>
        <w:numPr>
          <w:ilvl w:val="0"/>
          <w:numId w:val="47"/>
        </w:numPr>
      </w:pPr>
      <w:r>
        <w:rPr>
          <w:i/>
        </w:rPr>
        <w:t xml:space="preserve">Reducing the </w:t>
      </w:r>
      <w:r w:rsidR="00A27D88" w:rsidRPr="00A71B3E">
        <w:rPr>
          <w:i/>
        </w:rPr>
        <w:t>rate</w:t>
      </w:r>
      <w:r w:rsidR="006A0E9D">
        <w:t xml:space="preserve"> – Reducing the rate is another fundamental </w:t>
      </w:r>
      <w:r w:rsidR="008304AF">
        <w:t xml:space="preserve">approach </w:t>
      </w:r>
      <w:r w:rsidR="006A0E9D">
        <w:t xml:space="preserve">of increasing coverage. A lower data rate requires less power for reliable communication. A reduced rate can in general be achieved by several means, for example reducing the information content, employ repetitions or increasing the TTI. </w:t>
      </w:r>
      <w:r w:rsidR="000C00EA">
        <w:t xml:space="preserve">For EUL, two different TTIs are available (2 </w:t>
      </w:r>
      <w:proofErr w:type="spellStart"/>
      <w:r w:rsidR="000C00EA">
        <w:t>ms</w:t>
      </w:r>
      <w:proofErr w:type="spellEnd"/>
      <w:r w:rsidR="000C00EA">
        <w:t xml:space="preserve"> and 10 </w:t>
      </w:r>
      <w:proofErr w:type="spellStart"/>
      <w:r w:rsidR="000C00EA">
        <w:t>ms</w:t>
      </w:r>
      <w:proofErr w:type="spellEnd"/>
      <w:r w:rsidR="000C00EA">
        <w:t xml:space="preserve">) and a coverage limited device typically employs 10 </w:t>
      </w:r>
      <w:proofErr w:type="spellStart"/>
      <w:r w:rsidR="000C00EA">
        <w:t>ms</w:t>
      </w:r>
      <w:proofErr w:type="spellEnd"/>
      <w:r w:rsidR="000C00EA">
        <w:t xml:space="preserve"> TTI.</w:t>
      </w:r>
    </w:p>
    <w:p w:rsidR="00A27D88" w:rsidRDefault="00A27D88" w:rsidP="00A27D88">
      <w:pPr>
        <w:pStyle w:val="ListParagraph"/>
        <w:numPr>
          <w:ilvl w:val="0"/>
          <w:numId w:val="47"/>
        </w:numPr>
      </w:pPr>
      <w:r w:rsidRPr="00A71B3E">
        <w:rPr>
          <w:i/>
        </w:rPr>
        <w:lastRenderedPageBreak/>
        <w:t>Reducing the in</w:t>
      </w:r>
      <w:r w:rsidR="006A0E9D" w:rsidRPr="00A71B3E">
        <w:rPr>
          <w:i/>
        </w:rPr>
        <w:t>formation content</w:t>
      </w:r>
      <w:r>
        <w:t xml:space="preserve"> </w:t>
      </w:r>
      <w:r w:rsidR="006A0E9D">
        <w:t xml:space="preserve">- </w:t>
      </w:r>
      <w:r>
        <w:t>Less information requires in general less power for reliable communication. Hence, small transport block sizes are favourable for coverage limited devices. Similarly, it is beneficial to reduce the control channel information.</w:t>
      </w:r>
    </w:p>
    <w:p w:rsidR="00A27D88" w:rsidRDefault="00A27D88" w:rsidP="00A27D88">
      <w:pPr>
        <w:pStyle w:val="ListParagraph"/>
        <w:numPr>
          <w:ilvl w:val="0"/>
          <w:numId w:val="47"/>
        </w:numPr>
      </w:pPr>
      <w:r w:rsidRPr="00A71B3E">
        <w:rPr>
          <w:i/>
        </w:rPr>
        <w:t>Repetiti</w:t>
      </w:r>
      <w:r w:rsidR="006A0E9D" w:rsidRPr="00A71B3E">
        <w:rPr>
          <w:i/>
        </w:rPr>
        <w:t>ons and/or HARQ retransmissions</w:t>
      </w:r>
      <w:r w:rsidR="00240C65">
        <w:t xml:space="preserve"> – </w:t>
      </w:r>
      <w:r w:rsidR="006A0E9D">
        <w:t>Given the limited output power from a UE, retransmissions or repetitions are powerful means to increase EUL coverage. Each new transmission increases the received power and gives a potential diversity gain. The main cost for this is increased latency and potentially an impact on higher-layers, for example re-tuning of timers.</w:t>
      </w:r>
    </w:p>
    <w:p w:rsidR="00AD71FA" w:rsidRDefault="00AD71FA" w:rsidP="00A27D88">
      <w:pPr>
        <w:pStyle w:val="ListParagraph"/>
        <w:numPr>
          <w:ilvl w:val="0"/>
          <w:numId w:val="47"/>
        </w:numPr>
      </w:pPr>
      <w:r w:rsidRPr="00A71B3E">
        <w:rPr>
          <w:i/>
        </w:rPr>
        <w:t>Favourable communication conditions</w:t>
      </w:r>
      <w:r>
        <w:t xml:space="preserve"> – A somewhat different way of increasing uplink coverage is to aim at transmitting in favourable conditions, for example when the </w:t>
      </w:r>
      <w:proofErr w:type="spellStart"/>
      <w:r>
        <w:t>RoT</w:t>
      </w:r>
      <w:proofErr w:type="spellEnd"/>
      <w:r>
        <w:t xml:space="preserve"> is low in the cell or when the fading conditions are good. </w:t>
      </w:r>
      <w:r w:rsidR="000C66C2">
        <w:t xml:space="preserve">This has the potential to significantly increase the coverage but is obviously difficult to </w:t>
      </w:r>
      <w:r w:rsidR="00D8343D">
        <w:t xml:space="preserve">have </w:t>
      </w:r>
      <w:r w:rsidR="000C66C2">
        <w:t>full control</w:t>
      </w:r>
      <w:r w:rsidR="00D8343D">
        <w:t xml:space="preserve"> on it</w:t>
      </w:r>
      <w:r w:rsidR="000C66C2">
        <w:t xml:space="preserve">. One example would be to steer SDT device traffic to low-load occasions, for example during off-peak hours such as night time. </w:t>
      </w:r>
    </w:p>
    <w:p w:rsidR="00C20123" w:rsidRDefault="00C20123" w:rsidP="00C20123"/>
    <w:p w:rsidR="00820B98" w:rsidRDefault="00820B98" w:rsidP="00820B98">
      <w:pPr>
        <w:pStyle w:val="Heading1"/>
      </w:pPr>
      <w:r>
        <w:t>Improvements</w:t>
      </w:r>
    </w:p>
    <w:p w:rsidR="00820B98" w:rsidRDefault="00D83F41" w:rsidP="004113A6">
      <w:r>
        <w:t xml:space="preserve">EUL </w:t>
      </w:r>
      <w:r w:rsidR="008304AF">
        <w:t>and HS-DPCCH have</w:t>
      </w:r>
      <w:r w:rsidR="005B077E">
        <w:t xml:space="preserve"> been identified as </w:t>
      </w:r>
      <w:r w:rsidR="008304AF">
        <w:t>two</w:t>
      </w:r>
      <w:r>
        <w:t xml:space="preserve"> main bottl</w:t>
      </w:r>
      <w:r w:rsidR="005B077E">
        <w:t>enecks when it comes to coverage</w:t>
      </w:r>
      <w:r>
        <w:t xml:space="preserve"> and imp</w:t>
      </w:r>
      <w:r w:rsidR="005B077E">
        <w:t xml:space="preserve">rovements need to be considered to meet or approach the MCL </w:t>
      </w:r>
      <w:r w:rsidR="00DE73A7">
        <w:t xml:space="preserve">range of </w:t>
      </w:r>
      <w:r w:rsidR="005B077E">
        <w:t xml:space="preserve">the best physical channels. </w:t>
      </w:r>
      <w:r w:rsidR="00820B98">
        <w:t xml:space="preserve">Based on the </w:t>
      </w:r>
      <w:r w:rsidR="00AF3191">
        <w:t xml:space="preserve">solutions listed in the </w:t>
      </w:r>
      <w:r w:rsidR="00820B98">
        <w:t xml:space="preserve">previous section </w:t>
      </w:r>
      <w:r w:rsidR="005B077E">
        <w:t xml:space="preserve">and results presented in [11] </w:t>
      </w:r>
      <w:r w:rsidR="00820B98">
        <w:t>some alternatives for increasing the coverage in the uplink that are relevant to consider in the small data</w:t>
      </w:r>
      <w:r w:rsidR="005B077E">
        <w:t xml:space="preserve"> transmission enhancements work are </w:t>
      </w:r>
      <w:r w:rsidR="00AF3191">
        <w:t>discussed</w:t>
      </w:r>
      <w:r w:rsidR="005B077E">
        <w:t xml:space="preserve"> below.</w:t>
      </w:r>
    </w:p>
    <w:p w:rsidR="00326E3A" w:rsidRDefault="00326E3A" w:rsidP="004113A6"/>
    <w:p w:rsidR="00B760B2" w:rsidRDefault="00B760B2" w:rsidP="00B760B2">
      <w:pPr>
        <w:pStyle w:val="Heading2"/>
        <w:rPr>
          <w:rFonts w:eastAsia="SimSun"/>
        </w:rPr>
      </w:pPr>
      <w:r>
        <w:rPr>
          <w:rFonts w:eastAsia="SimSun"/>
        </w:rPr>
        <w:t>Repetitions</w:t>
      </w:r>
    </w:p>
    <w:p w:rsidR="00956E62" w:rsidRDefault="00B760B2" w:rsidP="004113A6">
      <w:r>
        <w:t xml:space="preserve">Repetitions and/or HARQ retransmissions are powerful means of increasing coverage. </w:t>
      </w:r>
      <w:r w:rsidR="00956E62">
        <w:t>Each new transmission increases the received power and gives a potential diversity gain. The main cost for this is increased latency and potentially an impact on higher-layers, for example re-tuning of timers.</w:t>
      </w:r>
      <w:r>
        <w:t xml:space="preserve"> Looking at the results presented so far in this study, it is very likely that more than 8 E-DPDCH transmissions would be needed to achieve an MCL for EUL that is close to </w:t>
      </w:r>
      <w:r w:rsidR="00445C48">
        <w:t xml:space="preserve">the MCL of </w:t>
      </w:r>
      <w:r>
        <w:t>other physical channel</w:t>
      </w:r>
      <w:r w:rsidR="00445C48">
        <w:t>s</w:t>
      </w:r>
      <w:r>
        <w:t xml:space="preserve">. Hence, further studies showing the impact of operating with very many </w:t>
      </w:r>
      <w:r w:rsidR="00AF3191">
        <w:t>physical-</w:t>
      </w:r>
      <w:r>
        <w:t>layer retransmissions are needed. It is primarily the impact on higher-layers that is of interest, and in particular effects of combining ‘ordinary’</w:t>
      </w:r>
      <w:r w:rsidR="0026304B">
        <w:t xml:space="preserve"> operation using</w:t>
      </w:r>
      <w:r>
        <w:t xml:space="preserve"> few retransmissions with </w:t>
      </w:r>
      <w:r w:rsidR="000571B0">
        <w:t>more ‘extreme’ operation with very many retransmissions.</w:t>
      </w:r>
      <w:r w:rsidR="00445C48">
        <w:t xml:space="preserve"> </w:t>
      </w:r>
      <w:r w:rsidR="00AF3191">
        <w:t xml:space="preserve">A number of questions can be envisioned. </w:t>
      </w:r>
      <w:r w:rsidR="00445C48">
        <w:t xml:space="preserve">For example, what </w:t>
      </w:r>
      <w:r w:rsidR="003B0592">
        <w:t xml:space="preserve">are </w:t>
      </w:r>
      <w:r w:rsidR="00445C48">
        <w:t>the specification impact</w:t>
      </w:r>
      <w:r w:rsidR="003B0592">
        <w:t>s</w:t>
      </w:r>
      <w:r w:rsidR="00445C48">
        <w:t xml:space="preserve"> of allowing very many </w:t>
      </w:r>
      <w:proofErr w:type="gramStart"/>
      <w:r w:rsidR="00445C48">
        <w:t>retransmissions,</w:t>
      </w:r>
      <w:proofErr w:type="gramEnd"/>
      <w:r w:rsidR="00445C48">
        <w:t xml:space="preserve"> </w:t>
      </w:r>
      <w:r w:rsidR="005A4AA0">
        <w:t xml:space="preserve">is it beneficial to fix the number of repetitions rather than relying on ACK/NACK feedback, </w:t>
      </w:r>
      <w:r w:rsidR="00445C48">
        <w:t xml:space="preserve">and how can the cost of </w:t>
      </w:r>
      <w:r w:rsidR="005A4AA0">
        <w:t>allowing</w:t>
      </w:r>
      <w:r w:rsidR="00445C48">
        <w:t xml:space="preserve"> very many retransmissions </w:t>
      </w:r>
      <w:r w:rsidR="005761CC">
        <w:t>when coverage limited</w:t>
      </w:r>
      <w:r w:rsidR="005A4AA0">
        <w:t xml:space="preserve"> </w:t>
      </w:r>
      <w:r w:rsidR="00445C48">
        <w:t>be reduced if normal operation consists of few retransmissions</w:t>
      </w:r>
      <w:r w:rsidR="00AF3191">
        <w:t>?</w:t>
      </w:r>
      <w:r w:rsidR="005761CC">
        <w:t xml:space="preserve"> The latter issue include, among others, aspects related to setup/configuration of buffer sizes, timers, </w:t>
      </w:r>
      <w:proofErr w:type="spellStart"/>
      <w:r w:rsidR="005761CC">
        <w:t>etc</w:t>
      </w:r>
      <w:proofErr w:type="spellEnd"/>
      <w:r w:rsidR="005761CC">
        <w:t>, i.e. do all configurations need to assume a worst case consisting of very many retransmissions?</w:t>
      </w:r>
    </w:p>
    <w:p w:rsidR="00956E62" w:rsidRDefault="00956E62" w:rsidP="004113A6"/>
    <w:p w:rsidR="007F2819" w:rsidRPr="007F2819" w:rsidRDefault="007F2819" w:rsidP="004113A6">
      <w:pPr>
        <w:pStyle w:val="Heading2"/>
        <w:rPr>
          <w:rFonts w:eastAsia="SimSun"/>
        </w:rPr>
      </w:pPr>
      <w:r>
        <w:rPr>
          <w:rFonts w:eastAsia="SimSun"/>
        </w:rPr>
        <w:t>Power utilization</w:t>
      </w:r>
    </w:p>
    <w:p w:rsidR="00820B98" w:rsidRDefault="007F2819" w:rsidP="004113A6">
      <w:r>
        <w:t>P</w:t>
      </w:r>
      <w:r w:rsidR="00820B98">
        <w:t xml:space="preserve">ower is a very limited resource that needs to be handled in </w:t>
      </w:r>
      <w:r w:rsidR="006B7AD4">
        <w:t xml:space="preserve">a good way for coverage limited devices. </w:t>
      </w:r>
      <w:r w:rsidR="001D4BF8">
        <w:t xml:space="preserve">In [11] it was seen that </w:t>
      </w:r>
      <w:r w:rsidR="0037576B">
        <w:t xml:space="preserve">it is important to distribute the available power in an efficient manner (gain value optimization). </w:t>
      </w:r>
      <w:r w:rsidR="00804668">
        <w:t xml:space="preserve">Operating at very low DPCCH </w:t>
      </w:r>
      <w:proofErr w:type="spellStart"/>
      <w:r w:rsidR="00804668">
        <w:t>Ec</w:t>
      </w:r>
      <w:proofErr w:type="spellEnd"/>
      <w:r w:rsidR="00804668">
        <w:t xml:space="preserve">/N0 may affect the channel estimation quality resulting in poor demodulation performance. </w:t>
      </w:r>
      <w:r w:rsidR="0037576B">
        <w:t>For small E-DPDCH transport block sizes the cost of control chann</w:t>
      </w:r>
      <w:r w:rsidR="00804668">
        <w:t>els becomes significant. Also, i</w:t>
      </w:r>
      <w:r w:rsidR="008E6CCB">
        <w:t>ncreasing the</w:t>
      </w:r>
      <w:r w:rsidR="0037576B">
        <w:t xml:space="preserve"> </w:t>
      </w:r>
      <w:r w:rsidR="00804668">
        <w:t xml:space="preserve">number of </w:t>
      </w:r>
      <w:r w:rsidR="0037576B">
        <w:t>E-DPD</w:t>
      </w:r>
      <w:r w:rsidR="00804668">
        <w:t>CH transmissions</w:t>
      </w:r>
      <w:r w:rsidR="008E6CCB">
        <w:t xml:space="preserve"> </w:t>
      </w:r>
      <w:r w:rsidR="00804668">
        <w:t xml:space="preserve">reduces the required power for E-DPDCH further </w:t>
      </w:r>
      <w:r w:rsidR="008E6CCB">
        <w:t xml:space="preserve">and control channel overhead becomes </w:t>
      </w:r>
      <w:r w:rsidR="00804668">
        <w:t xml:space="preserve">even </w:t>
      </w:r>
      <w:r w:rsidR="0037576B">
        <w:t>more dominant</w:t>
      </w:r>
      <w:r w:rsidR="008E6CCB">
        <w:t>. Consequently</w:t>
      </w:r>
      <w:r w:rsidR="006B7AD4">
        <w:t xml:space="preserve">, it would be beneficial to focus the available power on one </w:t>
      </w:r>
      <w:r w:rsidR="0037576B">
        <w:t xml:space="preserve">or </w:t>
      </w:r>
      <w:r w:rsidR="00804668">
        <w:t xml:space="preserve">a </w:t>
      </w:r>
      <w:r w:rsidR="0037576B">
        <w:t xml:space="preserve">few </w:t>
      </w:r>
      <w:r w:rsidR="006B7AD4">
        <w:t>physical channel</w:t>
      </w:r>
      <w:r w:rsidR="0037576B">
        <w:t>s</w:t>
      </w:r>
      <w:r w:rsidR="006B7AD4">
        <w:t xml:space="preserve"> at the time and avoid</w:t>
      </w:r>
      <w:r>
        <w:t xml:space="preserve"> code-multipl</w:t>
      </w:r>
      <w:r w:rsidR="0037576B">
        <w:t>exing. F</w:t>
      </w:r>
      <w:r w:rsidR="006B7AD4">
        <w:t>or the example considered</w:t>
      </w:r>
      <w:r w:rsidR="0037576B">
        <w:t xml:space="preserve"> in [11]</w:t>
      </w:r>
      <w:r>
        <w:t>,</w:t>
      </w:r>
      <w:r w:rsidR="006B7AD4">
        <w:t xml:space="preserve"> an MCL gain in the order of 2 dB could be achieved by putting the power spent on E-DPCCH on DPCCH and E-DPDCH instead. Hence, one approach for increasing coverage is time-mu</w:t>
      </w:r>
      <w:r w:rsidR="00804668">
        <w:t xml:space="preserve">ltiplexing E-DPCCH and E-DPDCH (see Section </w:t>
      </w:r>
      <w:r w:rsidR="00804668">
        <w:fldChar w:fldCharType="begin"/>
      </w:r>
      <w:r w:rsidR="00804668">
        <w:instrText xml:space="preserve"> REF _Ref409096956 \r \h </w:instrText>
      </w:r>
      <w:r w:rsidR="00804668">
        <w:fldChar w:fldCharType="separate"/>
      </w:r>
      <w:r w:rsidR="00804668">
        <w:t>3.4</w:t>
      </w:r>
      <w:r w:rsidR="00804668">
        <w:fldChar w:fldCharType="end"/>
      </w:r>
      <w:r w:rsidR="00804668">
        <w:t>).</w:t>
      </w:r>
    </w:p>
    <w:p w:rsidR="009B583D" w:rsidRDefault="00804668" w:rsidP="004113A6">
      <w:r>
        <w:t>Another way of</w:t>
      </w:r>
      <w:r w:rsidR="00BF3F33">
        <w:t xml:space="preserve"> reducing the power demand of a particular physical channel</w:t>
      </w:r>
      <w:r w:rsidR="0099019B">
        <w:t xml:space="preserve"> is to reduce the inf</w:t>
      </w:r>
      <w:r w:rsidR="00BF3F33">
        <w:t>ormation content</w:t>
      </w:r>
      <w:r w:rsidR="0099019B">
        <w:t xml:space="preserve"> or completely remove the channel</w:t>
      </w:r>
      <w:r w:rsidR="007F4617">
        <w:t xml:space="preserve"> (see Section </w:t>
      </w:r>
      <w:r w:rsidR="007F4617">
        <w:fldChar w:fldCharType="begin"/>
      </w:r>
      <w:r w:rsidR="007F4617">
        <w:instrText xml:space="preserve"> REF _Ref409096951 \r \h </w:instrText>
      </w:r>
      <w:r w:rsidR="007F4617">
        <w:fldChar w:fldCharType="separate"/>
      </w:r>
      <w:r w:rsidR="007F4617">
        <w:t>3.3</w:t>
      </w:r>
      <w:r w:rsidR="007F4617">
        <w:fldChar w:fldCharType="end"/>
      </w:r>
      <w:r w:rsidR="007F4617">
        <w:t>)</w:t>
      </w:r>
      <w:r w:rsidR="0099019B">
        <w:t>. A related approach would be to move information from one channel to another, but</w:t>
      </w:r>
      <w:r>
        <w:t>,</w:t>
      </w:r>
      <w:r w:rsidR="0099019B">
        <w:t xml:space="preserve"> in general</w:t>
      </w:r>
      <w:r>
        <w:t>,</w:t>
      </w:r>
      <w:r w:rsidR="0099019B">
        <w:t xml:space="preserve"> it is not obvious that this will save power</w:t>
      </w:r>
      <w:r w:rsidR="00445C48">
        <w:t>, especially if</w:t>
      </w:r>
      <w:r w:rsidR="0099019B">
        <w:t xml:space="preserve"> the total information content to be transmitted in a time unit remains the same.</w:t>
      </w:r>
    </w:p>
    <w:p w:rsidR="00A02F7C" w:rsidRDefault="0099019B" w:rsidP="00A02F7C">
      <w:r>
        <w:lastRenderedPageBreak/>
        <w:t xml:space="preserve"> </w:t>
      </w:r>
    </w:p>
    <w:p w:rsidR="00A02F7C" w:rsidRPr="007F2819" w:rsidRDefault="00A02F7C" w:rsidP="00A02F7C">
      <w:pPr>
        <w:pStyle w:val="Heading2"/>
        <w:rPr>
          <w:rFonts w:eastAsia="SimSun"/>
        </w:rPr>
      </w:pPr>
      <w:bookmarkStart w:id="1" w:name="_Ref409096951"/>
      <w:r>
        <w:rPr>
          <w:rFonts w:eastAsia="SimSun"/>
        </w:rPr>
        <w:t>Physical channel structure improvements</w:t>
      </w:r>
      <w:bookmarkEnd w:id="1"/>
    </w:p>
    <w:p w:rsidR="00A02F7C" w:rsidRDefault="00F0628F" w:rsidP="00A02F7C">
      <w:r>
        <w:t>For HSPA</w:t>
      </w:r>
      <w:r w:rsidR="00A02F7C">
        <w:t xml:space="preserve"> operation the following </w:t>
      </w:r>
      <w:r>
        <w:t xml:space="preserve">uplink </w:t>
      </w:r>
      <w:r w:rsidR="00A02F7C">
        <w:t>physical channels are transmitted in a code-multiplexed manner</w:t>
      </w:r>
      <w:r w:rsidR="000E57D6">
        <w:t xml:space="preserve"> (see [15] for more details)</w:t>
      </w:r>
      <w:r w:rsidR="00A02F7C">
        <w:t>:</w:t>
      </w:r>
    </w:p>
    <w:p w:rsidR="00A02F7C" w:rsidRDefault="009D5162" w:rsidP="00A02F7C">
      <w:pPr>
        <w:pStyle w:val="ListParagraph"/>
        <w:numPr>
          <w:ilvl w:val="0"/>
          <w:numId w:val="48"/>
        </w:numPr>
      </w:pPr>
      <w:r w:rsidRPr="009D5162">
        <w:rPr>
          <w:i/>
        </w:rPr>
        <w:t>DPCCH</w:t>
      </w:r>
      <w:r>
        <w:t xml:space="preserve"> - </w:t>
      </w:r>
      <w:r w:rsidR="0061303F" w:rsidRPr="0061303F">
        <w:t>The</w:t>
      </w:r>
      <w:r w:rsidR="00A02F7C">
        <w:t xml:space="preserve"> </w:t>
      </w:r>
      <w:r w:rsidR="00A02F7C" w:rsidRPr="009D5162">
        <w:t xml:space="preserve">DPCCH </w:t>
      </w:r>
      <w:r w:rsidR="00A02F7C">
        <w:t>carries pilot bits and TPC bits (FBI and TFCI</w:t>
      </w:r>
      <w:r w:rsidR="00310D81">
        <w:t xml:space="preserve"> are considered unnecessary</w:t>
      </w:r>
      <w:r w:rsidR="0097089F">
        <w:t xml:space="preserve"> for a</w:t>
      </w:r>
      <w:r w:rsidR="0026304B">
        <w:t>n</w:t>
      </w:r>
      <w:r w:rsidR="0097089F">
        <w:t xml:space="preserve"> SDT </w:t>
      </w:r>
      <w:r w:rsidR="00A02F7C">
        <w:t>device). The TPC bits are used to power control the downlink (F-DPCH) and the pilot bits are required for channel estimation purposes. Both the TPC bits and the pilot bits will be needed for coverage limited SDT applications. The pilot bits will</w:t>
      </w:r>
      <w:r w:rsidR="0097089F">
        <w:t>, however,</w:t>
      </w:r>
      <w:r w:rsidR="00A02F7C">
        <w:t xml:space="preserve"> be of particular importance, since the more pilot bits, the less power needs to be spent on DPCCH for accurate enough channel estimation.</w:t>
      </w:r>
      <w:r w:rsidR="0097089F">
        <w:t xml:space="preserve"> Hence, maximizing the number of pilot bits in the DPCCH slot format is preferred.</w:t>
      </w:r>
    </w:p>
    <w:p w:rsidR="00A02F7C" w:rsidRDefault="009D5162" w:rsidP="00A02F7C">
      <w:pPr>
        <w:pStyle w:val="ListParagraph"/>
        <w:numPr>
          <w:ilvl w:val="0"/>
          <w:numId w:val="46"/>
        </w:numPr>
      </w:pPr>
      <w:r w:rsidRPr="009D5162">
        <w:rPr>
          <w:i/>
        </w:rPr>
        <w:t>E-DPCCH</w:t>
      </w:r>
      <w:r>
        <w:t xml:space="preserve"> - </w:t>
      </w:r>
      <w:r w:rsidR="0061303F">
        <w:t>The</w:t>
      </w:r>
      <w:r w:rsidR="0061303F" w:rsidRPr="009D5162">
        <w:t xml:space="preserve"> </w:t>
      </w:r>
      <w:r w:rsidR="00A02F7C" w:rsidRPr="009D5162">
        <w:t xml:space="preserve">E-DPCCH </w:t>
      </w:r>
      <w:r w:rsidR="00A02F7C">
        <w:t xml:space="preserve">carries </w:t>
      </w:r>
      <w:r w:rsidR="0061303F">
        <w:t xml:space="preserve">control information related to </w:t>
      </w:r>
      <w:r w:rsidR="0097089F">
        <w:t xml:space="preserve">the </w:t>
      </w:r>
      <w:r w:rsidR="0061303F">
        <w:t xml:space="preserve">E-DPDCH and consists of </w:t>
      </w:r>
      <w:r w:rsidR="00A02F7C">
        <w:t xml:space="preserve">E-TFCI (7 bits), RSN (2 bits) and happy bit (1 bit). For coverage limited SDT application, it seems reasonable that some of this information can be restricted. For example, the number of transport block sizes </w:t>
      </w:r>
      <w:r w:rsidR="0097089F">
        <w:t xml:space="preserve">(E-TFCI) </w:t>
      </w:r>
      <w:r w:rsidR="00A02F7C">
        <w:t xml:space="preserve">can be significantly reduced or even fixed to one value and the happy bit can potentially be removed. The RSN can be used by the decoder to know the redundancy </w:t>
      </w:r>
      <w:r w:rsidR="0097089F">
        <w:t>version in</w:t>
      </w:r>
      <w:r w:rsidR="00A02F7C">
        <w:t xml:space="preserve"> incremental redundancy coding,</w:t>
      </w:r>
      <w:r w:rsidR="0097089F">
        <w:t xml:space="preserve"> but in general this can </w:t>
      </w:r>
      <w:r w:rsidR="00A02F7C">
        <w:t xml:space="preserve">be deduced </w:t>
      </w:r>
      <w:r w:rsidR="0097089F">
        <w:t xml:space="preserve">without the RSN </w:t>
      </w:r>
      <w:r w:rsidR="00A02F7C">
        <w:t xml:space="preserve">due to the synchronous and non-adaptive HARQ procedure used in the uplink. Hence, restricting operation to Chase combining would, from a coding point of view, mean that the RSN could be reduced to a 1 bit </w:t>
      </w:r>
      <w:r w:rsidR="0026304B">
        <w:t>‘</w:t>
      </w:r>
      <w:r w:rsidR="00A02F7C">
        <w:t>new data indicator</w:t>
      </w:r>
      <w:r w:rsidR="0026304B">
        <w:t>’</w:t>
      </w:r>
      <w:r w:rsidR="00A02F7C">
        <w:t xml:space="preserve">. However, the main reason why the RSN consists of two bits instead of one bit is to </w:t>
      </w:r>
      <w:r w:rsidR="0097089F">
        <w:t xml:space="preserve">help </w:t>
      </w:r>
      <w:r w:rsidR="00A02F7C">
        <w:t>identify</w:t>
      </w:r>
      <w:r w:rsidR="0097089F">
        <w:t>ing</w:t>
      </w:r>
      <w:r w:rsidR="00A02F7C">
        <w:t xml:space="preserve"> signalling error cases in SHO operation. Hence, the RSN needs to be kept or SHO operation </w:t>
      </w:r>
      <w:r w:rsidR="0097089F">
        <w:t xml:space="preserve">needs to be </w:t>
      </w:r>
      <w:r w:rsidR="00A02F7C">
        <w:t xml:space="preserve">restricted.  </w:t>
      </w:r>
    </w:p>
    <w:p w:rsidR="00546326" w:rsidRDefault="009D5162" w:rsidP="00A02F7C">
      <w:pPr>
        <w:pStyle w:val="ListParagraph"/>
        <w:numPr>
          <w:ilvl w:val="0"/>
          <w:numId w:val="46"/>
        </w:numPr>
      </w:pPr>
      <w:r w:rsidRPr="009D5162">
        <w:rPr>
          <w:i/>
        </w:rPr>
        <w:t>E-DPDCH</w:t>
      </w:r>
      <w:r>
        <w:t xml:space="preserve"> - </w:t>
      </w:r>
      <w:r w:rsidR="0061303F">
        <w:t xml:space="preserve">The </w:t>
      </w:r>
      <w:r w:rsidR="00A02F7C" w:rsidRPr="009D5162">
        <w:t>E-DPDCH ca</w:t>
      </w:r>
      <w:r w:rsidR="00A02F7C">
        <w:t>rries data and different rates are supported via code multiplexing, different coding rates, different modulation schemes, and different spreading factors. For coverage limited SDT devices, small transport block sizes (e.</w:t>
      </w:r>
      <w:r w:rsidR="0061303F">
        <w:t>g. 120 bits) should be employed, and the number of possible transport block sizes can be significantly reduced or even fixed to one value.</w:t>
      </w:r>
    </w:p>
    <w:p w:rsidR="00A02F7C" w:rsidRDefault="009D5162" w:rsidP="00A02F7C">
      <w:pPr>
        <w:pStyle w:val="ListParagraph"/>
        <w:numPr>
          <w:ilvl w:val="0"/>
          <w:numId w:val="46"/>
        </w:numPr>
      </w:pPr>
      <w:r w:rsidRPr="009D5162">
        <w:rPr>
          <w:i/>
        </w:rPr>
        <w:t>HS-DPCCH</w:t>
      </w:r>
      <w:r>
        <w:t xml:space="preserve"> - </w:t>
      </w:r>
      <w:r w:rsidR="00546326">
        <w:t>T</w:t>
      </w:r>
      <w:r w:rsidR="00A02F7C">
        <w:t>he</w:t>
      </w:r>
      <w:r w:rsidR="00A02F7C" w:rsidRPr="009D5162">
        <w:t xml:space="preserve"> HS-DPCCH</w:t>
      </w:r>
      <w:r w:rsidR="00546326" w:rsidRPr="009D5162">
        <w:t xml:space="preserve"> c</w:t>
      </w:r>
      <w:r w:rsidR="00546326">
        <w:t>arries DL related feedback that is needed when HSPA is configured</w:t>
      </w:r>
      <w:r w:rsidR="00A02F7C">
        <w:t xml:space="preserve">. The </w:t>
      </w:r>
      <w:r w:rsidR="00A02F7C" w:rsidRPr="0097089F">
        <w:t xml:space="preserve">HS-DPCCH </w:t>
      </w:r>
      <w:r w:rsidR="00546326" w:rsidRPr="0097089F">
        <w:t>consists</w:t>
      </w:r>
      <w:r w:rsidR="00546326">
        <w:t xml:space="preserve"> of </w:t>
      </w:r>
      <w:r w:rsidR="00A02F7C">
        <w:t>ACK/NACK and CQI</w:t>
      </w:r>
      <w:r w:rsidR="0026304B">
        <w:t>/PCI</w:t>
      </w:r>
      <w:r w:rsidR="00A02F7C">
        <w:t xml:space="preserve"> information.</w:t>
      </w:r>
      <w:r w:rsidR="0061303F">
        <w:t xml:space="preserve"> As was seen in [11], the HS-DPCCH can become very costly in terms of power unless very many repetitions are used. </w:t>
      </w:r>
      <w:r w:rsidR="0026304B">
        <w:t xml:space="preserve">Current specifications do not allow more than four repetitions and extending the number of repetitions will impact various system aspects, such as imposing scheduler restrictions and delays. </w:t>
      </w:r>
      <w:r w:rsidR="0061303F">
        <w:t>A</w:t>
      </w:r>
      <w:r w:rsidR="0097089F">
        <w:t>n alternative of</w:t>
      </w:r>
      <w:r w:rsidR="0061303F">
        <w:t xml:space="preserve"> employing repetitions could be to remove the channel completely for coverage limited operation. This can be compared to Rel-7 CELL-</w:t>
      </w:r>
      <w:r w:rsidR="00F0628F">
        <w:t>FACH where it is not possible for the UE to transmit</w:t>
      </w:r>
      <w:r w:rsidR="0061303F">
        <w:t xml:space="preserve"> </w:t>
      </w:r>
      <w:r w:rsidR="00F0628F">
        <w:t xml:space="preserve">the </w:t>
      </w:r>
      <w:r w:rsidR="0061303F">
        <w:t xml:space="preserve">HS-DPCCH </w:t>
      </w:r>
      <w:r w:rsidR="00F0628F">
        <w:t xml:space="preserve">in the uplink. In this case the Node B needs to blindly decide whether to schedule a retransmission and an estimate of the supported data rate can be made from UE measured CPICH power provided by the RNC over the </w:t>
      </w:r>
      <w:proofErr w:type="spellStart"/>
      <w:r w:rsidR="00F0628F">
        <w:t>Iub</w:t>
      </w:r>
      <w:proofErr w:type="spellEnd"/>
      <w:r w:rsidR="00F0628F">
        <w:t xml:space="preserve"> frame protocol. Hence, a similar approach can be adopted for a coverage limited scenario, especially if EUL is configured </w:t>
      </w:r>
      <w:r w:rsidR="0026304B">
        <w:t xml:space="preserve">and active </w:t>
      </w:r>
      <w:r w:rsidR="00F0628F">
        <w:t xml:space="preserve">simultaneously. A potential enhancement would be to include a limited CQI report in </w:t>
      </w:r>
      <w:r w:rsidR="00E51FC6">
        <w:t xml:space="preserve">another uplink physical channel. </w:t>
      </w:r>
      <w:r w:rsidR="00F0628F">
        <w:t xml:space="preserve">For example, some of the E-TFCI bits </w:t>
      </w:r>
      <w:r w:rsidR="00E51FC6">
        <w:t xml:space="preserve">in the E-DPCCH </w:t>
      </w:r>
      <w:r w:rsidR="00F0628F">
        <w:t xml:space="preserve">can be used to signal a </w:t>
      </w:r>
      <w:r w:rsidR="008E51A4">
        <w:t xml:space="preserve">limited set of </w:t>
      </w:r>
      <w:r w:rsidR="00F0628F">
        <w:t>CQI</w:t>
      </w:r>
      <w:r w:rsidR="008E51A4">
        <w:t xml:space="preserve"> values</w:t>
      </w:r>
      <w:r w:rsidR="00F0628F">
        <w:t xml:space="preserve">. A similar approach could be envisioned for ACK/NACK information, but one complication is that HS-DPCCH is not time-synchronized with UL DPCCH, which could affect the DL HARQ timing. </w:t>
      </w:r>
    </w:p>
    <w:p w:rsidR="00E701B9" w:rsidRDefault="00E701B9" w:rsidP="00E701B9">
      <w:pPr>
        <w:pStyle w:val="ListParagraph"/>
      </w:pPr>
    </w:p>
    <w:p w:rsidR="00A02F7C" w:rsidRPr="007F2819" w:rsidRDefault="00AC5CC7" w:rsidP="00A02F7C">
      <w:pPr>
        <w:pStyle w:val="Heading2"/>
        <w:rPr>
          <w:rFonts w:eastAsia="SimSun"/>
        </w:rPr>
      </w:pPr>
      <w:bookmarkStart w:id="2" w:name="_Ref409096956"/>
      <w:r>
        <w:rPr>
          <w:rFonts w:eastAsia="SimSun"/>
        </w:rPr>
        <w:t>E-DPCCH</w:t>
      </w:r>
      <w:r w:rsidR="00A02F7C">
        <w:rPr>
          <w:rFonts w:eastAsia="SimSun"/>
        </w:rPr>
        <w:t xml:space="preserve"> </w:t>
      </w:r>
      <w:r w:rsidR="00A55E64">
        <w:rPr>
          <w:rFonts w:eastAsia="SimSun"/>
        </w:rPr>
        <w:t xml:space="preserve">and E-DPDCH </w:t>
      </w:r>
      <w:r w:rsidR="00A02F7C">
        <w:rPr>
          <w:rFonts w:eastAsia="SimSun"/>
        </w:rPr>
        <w:t>time-multiplexing</w:t>
      </w:r>
      <w:bookmarkEnd w:id="2"/>
    </w:p>
    <w:p w:rsidR="00A55E64" w:rsidRDefault="00A23116" w:rsidP="004113A6">
      <w:r>
        <w:t xml:space="preserve">One way of enabling higher power consumption per channel is to time multiplex the channels. One obvious candidate for such time multiplexing would be to time multiplex E-DPCCH and E-DPDCH, since E-DPCCH can have a significant power cost in scenarios where multiple E-DPDCH transmissions with small transport block sizes and soft combining are required </w:t>
      </w:r>
      <w:proofErr w:type="gramStart"/>
      <w:r w:rsidR="00A55E64">
        <w:t>A</w:t>
      </w:r>
      <w:proofErr w:type="gramEnd"/>
      <w:r w:rsidR="00A55E64">
        <w:t xml:space="preserve"> number of de</w:t>
      </w:r>
      <w:r w:rsidR="00326E3A">
        <w:t xml:space="preserve">sign criteria should </w:t>
      </w:r>
      <w:r w:rsidR="00A55E64">
        <w:t>be considered when designing an efficient E-DPCCH and E-DPD</w:t>
      </w:r>
      <w:r w:rsidR="00E701B9">
        <w:t>CH time-multiplex</w:t>
      </w:r>
      <w:r w:rsidR="00D911A4">
        <w:t>ed</w:t>
      </w:r>
      <w:r w:rsidR="00E701B9">
        <w:t xml:space="preserve"> operation, such as:</w:t>
      </w:r>
    </w:p>
    <w:p w:rsidR="00820B98" w:rsidRDefault="00A55E64" w:rsidP="00A55E64">
      <w:pPr>
        <w:pStyle w:val="ListParagraph"/>
        <w:numPr>
          <w:ilvl w:val="0"/>
          <w:numId w:val="50"/>
        </w:numPr>
      </w:pPr>
      <w:r>
        <w:t>The impact on current UEs, networks and specifications should be minimized.</w:t>
      </w:r>
    </w:p>
    <w:p w:rsidR="00A55E64" w:rsidRDefault="00A55E64" w:rsidP="00A55E64">
      <w:pPr>
        <w:pStyle w:val="ListParagraph"/>
        <w:numPr>
          <w:ilvl w:val="0"/>
          <w:numId w:val="50"/>
        </w:numPr>
      </w:pPr>
      <w:r>
        <w:t>The impact on timing relations should be minimized. For example, the HARQ timing should preferably be kept.</w:t>
      </w:r>
    </w:p>
    <w:p w:rsidR="00A55E64" w:rsidRDefault="00A55E64" w:rsidP="00A55E64">
      <w:pPr>
        <w:pStyle w:val="ListParagraph"/>
        <w:numPr>
          <w:ilvl w:val="0"/>
          <w:numId w:val="50"/>
        </w:numPr>
      </w:pPr>
      <w:r>
        <w:t>The current synchronous and non-adaptive HARQ operation should be kept</w:t>
      </w:r>
      <w:r w:rsidR="00E701B9">
        <w:t>.</w:t>
      </w:r>
    </w:p>
    <w:p w:rsidR="00A55E64" w:rsidRDefault="008B50D0" w:rsidP="00A55E64">
      <w:pPr>
        <w:pStyle w:val="ListParagraph"/>
        <w:numPr>
          <w:ilvl w:val="0"/>
          <w:numId w:val="50"/>
        </w:numPr>
      </w:pPr>
      <w:r>
        <w:lastRenderedPageBreak/>
        <w:t>Aim at keeping existing channel structures, e.g. keep the current slot format and coding of E-DPCCH.</w:t>
      </w:r>
    </w:p>
    <w:p w:rsidR="00A41967" w:rsidRDefault="00A41967" w:rsidP="00A55E64">
      <w:pPr>
        <w:pStyle w:val="ListParagraph"/>
        <w:numPr>
          <w:ilvl w:val="0"/>
          <w:numId w:val="50"/>
        </w:numPr>
      </w:pPr>
      <w:r>
        <w:t>The design can take advantage of the delay tolerant nature of SDT applications.</w:t>
      </w:r>
    </w:p>
    <w:p w:rsidR="00A55E64" w:rsidRDefault="00A41967" w:rsidP="00A41967">
      <w:r>
        <w:t xml:space="preserve">One possible </w:t>
      </w:r>
      <w:r w:rsidR="00326E3A">
        <w:t xml:space="preserve">E-DPDCH and E-DPCCH </w:t>
      </w:r>
      <w:r w:rsidR="00E701B9">
        <w:t xml:space="preserve">time-multiplexing </w:t>
      </w:r>
      <w:r>
        <w:t>design is outlined in</w:t>
      </w:r>
      <w:r w:rsidR="00DC55A1">
        <w:t xml:space="preserve"> </w:t>
      </w:r>
      <w:r w:rsidR="00DC55A1">
        <w:fldChar w:fldCharType="begin"/>
      </w:r>
      <w:r w:rsidR="00DC55A1">
        <w:instrText xml:space="preserve"> REF _Ref409515801 \h </w:instrText>
      </w:r>
      <w:r w:rsidR="00DC55A1">
        <w:fldChar w:fldCharType="separate"/>
      </w:r>
      <w:r w:rsidR="00DC55A1">
        <w:t xml:space="preserve">Figure </w:t>
      </w:r>
      <w:r w:rsidR="00DC55A1">
        <w:rPr>
          <w:noProof/>
        </w:rPr>
        <w:t>1</w:t>
      </w:r>
      <w:r w:rsidR="00DC55A1">
        <w:fldChar w:fldCharType="end"/>
      </w:r>
      <w:r>
        <w:t xml:space="preserve">. </w:t>
      </w:r>
      <w:r w:rsidR="00DC55A1">
        <w:t>The main idea is that</w:t>
      </w:r>
      <w:r w:rsidR="00E701B9">
        <w:t xml:space="preserve"> for each HARQ process, the</w:t>
      </w:r>
      <w:r w:rsidR="003B0A7B">
        <w:t xml:space="preserve"> E-DPCCH </w:t>
      </w:r>
      <w:r w:rsidR="00E701B9">
        <w:t xml:space="preserve">is </w:t>
      </w:r>
      <w:r w:rsidR="003B0A7B">
        <w:t>first</w:t>
      </w:r>
      <w:r w:rsidR="00E701B9">
        <w:t xml:space="preserve"> transmitted in one </w:t>
      </w:r>
      <w:proofErr w:type="spellStart"/>
      <w:r w:rsidR="00E701B9">
        <w:t>subframe</w:t>
      </w:r>
      <w:proofErr w:type="spellEnd"/>
      <w:r w:rsidR="003B0A7B">
        <w:t xml:space="preserve">, followed by one or more </w:t>
      </w:r>
      <w:r w:rsidR="00DC55A1">
        <w:t xml:space="preserve">bundled </w:t>
      </w:r>
      <w:r w:rsidR="003B0A7B">
        <w:t>associated E-DPDCH transmissions</w:t>
      </w:r>
      <w:r w:rsidR="00E701B9">
        <w:t xml:space="preserve"> in subsequent </w:t>
      </w:r>
      <w:proofErr w:type="spellStart"/>
      <w:r w:rsidR="00E701B9">
        <w:t>subframes</w:t>
      </w:r>
      <w:proofErr w:type="spellEnd"/>
      <w:r w:rsidR="00E701B9">
        <w:t xml:space="preserve"> (corresponding to the </w:t>
      </w:r>
      <w:r w:rsidR="00326E3A">
        <w:t xml:space="preserve">specific </w:t>
      </w:r>
      <w:r w:rsidR="00E701B9">
        <w:t>HARQ process)</w:t>
      </w:r>
      <w:r w:rsidR="003B0A7B">
        <w:t>.</w:t>
      </w:r>
      <w:r w:rsidR="00E701B9">
        <w:t xml:space="preserve"> Some further details include:</w:t>
      </w:r>
      <w:r w:rsidR="00DC55A1">
        <w:t xml:space="preserve"> </w:t>
      </w:r>
    </w:p>
    <w:p w:rsidR="00DC55A1" w:rsidRDefault="00DC55A1" w:rsidP="00DC55A1">
      <w:pPr>
        <w:pStyle w:val="ListParagraph"/>
        <w:numPr>
          <w:ilvl w:val="0"/>
          <w:numId w:val="50"/>
        </w:numPr>
      </w:pPr>
      <w:r>
        <w:t xml:space="preserve">Each bundled transmission is acknowledged </w:t>
      </w:r>
      <w:r w:rsidR="00E701B9">
        <w:t xml:space="preserve">(via E-HICH) </w:t>
      </w:r>
      <w:r>
        <w:t xml:space="preserve">according to existing mechanisms. </w:t>
      </w:r>
      <w:r w:rsidR="00B05D2C">
        <w:t xml:space="preserve">Hence, bundled transmissions are combined with legacy retransmission procedures. As an example, if the maximum number of transmissions is set to 4 and 3 E-DPDCH transmissions are bundled, then a maximum of 12 E_DPDCH transmissions can be performed. </w:t>
      </w:r>
      <w:r>
        <w:t>One question is whether intermediate transmissions also should be acknowledged. This would not affect the overall transmission structure (i.e. the network would always assume that all bundled E-DPDCH transmissions occur before the next E-DPCCH), but could allow the UE to DTX parts of the E-DPDCH transmissions and thereby saving power. A related question is whether E-DPCCH transmissions also should be acknowledged</w:t>
      </w:r>
      <w:r w:rsidR="008B50D0">
        <w:t>. This could potentially help identifying signalling error cases.</w:t>
      </w:r>
    </w:p>
    <w:p w:rsidR="00093BD3" w:rsidRDefault="00093BD3" w:rsidP="00093BD3">
      <w:pPr>
        <w:pStyle w:val="ListParagraph"/>
        <w:numPr>
          <w:ilvl w:val="0"/>
          <w:numId w:val="50"/>
        </w:numPr>
      </w:pPr>
      <w:r>
        <w:t>The current HARQ process structure and HARQ timing (round trip time) are kept. The MAC protocol needs, however, to keep track of whether the transmission is an E-DPCCH or an E-DPDCH and whether transmission info should be updated or not, e.g. E-HICH feedback, RSN, etc.</w:t>
      </w:r>
    </w:p>
    <w:p w:rsidR="008B50D0" w:rsidRDefault="008B50D0" w:rsidP="00DC55A1">
      <w:pPr>
        <w:pStyle w:val="ListParagraph"/>
        <w:numPr>
          <w:ilvl w:val="0"/>
          <w:numId w:val="50"/>
        </w:numPr>
      </w:pPr>
      <w:r>
        <w:t>The E-</w:t>
      </w:r>
      <w:r w:rsidR="00F426B2">
        <w:t>DPCCH structure can be</w:t>
      </w:r>
      <w:r w:rsidR="00093BD3">
        <w:t xml:space="preserve"> kept</w:t>
      </w:r>
      <w:r>
        <w:t xml:space="preserve">, </w:t>
      </w:r>
      <w:r w:rsidR="00093BD3">
        <w:t xml:space="preserve">but </w:t>
      </w:r>
      <w:r>
        <w:t>the information could potentially be re-interpreted somewhat. For example, a new E-TFCI table can be introduced, where a subset of the E-TFCIs relates to the special coverage limited operation with time-multiplexing of E-DPCCH and E-DPDCH. This subset of E-TFCIs c</w:t>
      </w:r>
      <w:r w:rsidR="00F426B2">
        <w:t xml:space="preserve">an carry different </w:t>
      </w:r>
      <w:r>
        <w:t xml:space="preserve">information, for example, how many consecutive E-DPDCH transmissions that are bundled. One example is shown in </w:t>
      </w:r>
      <w:r>
        <w:fldChar w:fldCharType="begin"/>
      </w:r>
      <w:r>
        <w:instrText xml:space="preserve"> REF _Ref409513692 \h </w:instrText>
      </w:r>
      <w:r>
        <w:fldChar w:fldCharType="separate"/>
      </w:r>
      <w:r>
        <w:t xml:space="preserve">Figure </w:t>
      </w:r>
      <w:r>
        <w:rPr>
          <w:noProof/>
        </w:rPr>
        <w:t>2</w:t>
      </w:r>
      <w:r>
        <w:fldChar w:fldCharType="end"/>
      </w:r>
      <w:r w:rsidR="00F426B2">
        <w:t>, where</w:t>
      </w:r>
      <w:r>
        <w:t xml:space="preserve"> E-TFCI</w:t>
      </w:r>
      <w:r w:rsidR="00F426B2">
        <w:t>s 1 to 3 correspond</w:t>
      </w:r>
      <w:r>
        <w:t xml:space="preserve"> to </w:t>
      </w:r>
      <w:r w:rsidR="00F426B2">
        <w:t xml:space="preserve">a coverage limited scenario using the default coverage limited TBS (e.g. 120) and </w:t>
      </w:r>
      <w:r w:rsidR="00A23116">
        <w:t>three</w:t>
      </w:r>
      <w:r w:rsidR="00F426B2">
        <w:t xml:space="preserve">, two or </w:t>
      </w:r>
      <w:r w:rsidR="00A23116">
        <w:t>one</w:t>
      </w:r>
      <w:r w:rsidR="00F426B2">
        <w:t xml:space="preserve"> bundled E-DPDCH transmissions, respectively.</w:t>
      </w:r>
      <w:r>
        <w:t xml:space="preserve"> </w:t>
      </w:r>
      <w:r w:rsidR="00F426B2">
        <w:t xml:space="preserve">For example, HARQ process one uses E-TFCI 1 meaning that each E-DPCCH is associated with </w:t>
      </w:r>
      <w:r w:rsidR="00A23116">
        <w:t>three</w:t>
      </w:r>
      <w:r w:rsidR="00F426B2">
        <w:t xml:space="preserve"> E-DPDCH transmission</w:t>
      </w:r>
      <w:r w:rsidR="00A23116">
        <w:t>s</w:t>
      </w:r>
      <w:r w:rsidR="00F426B2">
        <w:t xml:space="preserve">, HARQ processes two and three use E-TFCI 2 meaning that each E-DPCCH is associated with two E-DPDCH transmissions and HARQ process four uses E-TFCI 3 meaning that each E-DPCCH is associated with </w:t>
      </w:r>
      <w:r w:rsidR="00A23116">
        <w:t>one</w:t>
      </w:r>
      <w:r w:rsidR="00F426B2">
        <w:t xml:space="preserve"> E-DPDCH transmission</w:t>
      </w:r>
      <w:r w:rsidR="00A23116">
        <w:t>.</w:t>
      </w:r>
    </w:p>
    <w:p w:rsidR="00A23116" w:rsidRDefault="00F426B2" w:rsidP="00DC55A1">
      <w:pPr>
        <w:pStyle w:val="ListParagraph"/>
        <w:numPr>
          <w:ilvl w:val="0"/>
          <w:numId w:val="50"/>
        </w:numPr>
      </w:pPr>
      <w:r>
        <w:t>The number of bundled E-DPDCH associated with one E-DPCCH is a trade-off between latency</w:t>
      </w:r>
      <w:r w:rsidR="002C0C8F">
        <w:t xml:space="preserve">, control channel overhead, and flexibility. Different processes can </w:t>
      </w:r>
      <w:r w:rsidR="00093BD3">
        <w:t xml:space="preserve">potentially </w:t>
      </w:r>
      <w:r w:rsidR="002C0C8F">
        <w:t>use different bundling patterns.</w:t>
      </w:r>
    </w:p>
    <w:p w:rsidR="00A23116" w:rsidRDefault="002C0C8F" w:rsidP="003B2D2B">
      <w:pPr>
        <w:pStyle w:val="ListParagraph"/>
        <w:numPr>
          <w:ilvl w:val="0"/>
          <w:numId w:val="50"/>
        </w:numPr>
      </w:pPr>
      <w:r>
        <w:t>The time-multiplexed scheme can co</w:t>
      </w:r>
      <w:r w:rsidR="00093BD3">
        <w:t>-</w:t>
      </w:r>
      <w:r>
        <w:t>exist with normal code-multiplexed operation. For example, consid</w:t>
      </w:r>
      <w:r w:rsidR="00093BD3">
        <w:t xml:space="preserve">er </w:t>
      </w:r>
      <w:r>
        <w:t xml:space="preserve">Figure 2, where E-TFCIs 1 to 3 </w:t>
      </w:r>
      <w:proofErr w:type="gramStart"/>
      <w:r>
        <w:t>are</w:t>
      </w:r>
      <w:proofErr w:type="gramEnd"/>
      <w:r>
        <w:t xml:space="preserve"> associated with time-multiplexed operation</w:t>
      </w:r>
      <w:r w:rsidR="008D434E">
        <w:t xml:space="preserve">. </w:t>
      </w:r>
      <w:r w:rsidR="00093BD3">
        <w:t>Then a</w:t>
      </w:r>
      <w:r>
        <w:t>ll other E-TFCIs can be associated with ordinary code-multiplexed operation. Hence, if the UE, for example, choses E-TFCI=15, then ordinary code-multiplexing</w:t>
      </w:r>
      <w:r w:rsidR="00093BD3">
        <w:t xml:space="preserve"> is used, while if E-TFCI 2</w:t>
      </w:r>
      <w:r>
        <w:t xml:space="preserve"> is chosen, then time-mul</w:t>
      </w:r>
      <w:r w:rsidR="00A77D1F">
        <w:t xml:space="preserve">tiplexed operation </w:t>
      </w:r>
      <w:r w:rsidR="00093BD3">
        <w:t xml:space="preserve">with two bundled E-DPDCHs is </w:t>
      </w:r>
      <w:r w:rsidR="00A77D1F">
        <w:t>employed.</w:t>
      </w:r>
      <w:r w:rsidR="008D434E">
        <w:t xml:space="preserve"> </w:t>
      </w:r>
      <w:r w:rsidR="00093BD3">
        <w:t>A SDT device would then be configured</w:t>
      </w:r>
      <w:r w:rsidR="008D434E">
        <w:t xml:space="preserve"> with the special E-TFCI table and depending on the currently used E-TFCI, either code or time multiplexing is used.</w:t>
      </w:r>
      <w:r w:rsidR="00A23116" w:rsidRPr="00A23116">
        <w:t xml:space="preserve"> </w:t>
      </w:r>
      <w:r w:rsidR="00A23116">
        <w:t>This would enable support for the special coverage extension for the UEs that need it, while other UEs in more favourable conditions could still reach high bitrates and reduced latency by using higher E-TFCIs (possibly all the way up to what existing TB size tables support).</w:t>
      </w:r>
    </w:p>
    <w:p w:rsidR="002C0C8F" w:rsidRDefault="008D434E" w:rsidP="00093BD3">
      <w:pPr>
        <w:pStyle w:val="ListParagraph"/>
        <w:numPr>
          <w:ilvl w:val="0"/>
          <w:numId w:val="49"/>
        </w:numPr>
      </w:pPr>
      <w:r>
        <w:t xml:space="preserve"> An alternative would be to re-configure time-multiplexing when becoming coverage limited and rely on ordinary code-multiplexing otherwise. However, it is very difficult (non-robust) to dynamically re-confi</w:t>
      </w:r>
      <w:r w:rsidR="00093BD3">
        <w:t xml:space="preserve">gure </w:t>
      </w:r>
      <w:r>
        <w:t xml:space="preserve">when the UE becomes power limited since the reliability of signalling decreases significantly resulting in an unpredictable behaviour. </w:t>
      </w:r>
    </w:p>
    <w:p w:rsidR="00DC55A1" w:rsidRDefault="00DC55A1" w:rsidP="00A41967"/>
    <w:p w:rsidR="00E9517B" w:rsidRDefault="00E9517B" w:rsidP="004113A6"/>
    <w:p w:rsidR="00A23116" w:rsidRDefault="00A23116" w:rsidP="004113A6">
      <w:r>
        <w:rPr>
          <w:noProof/>
          <w:lang w:val="en-US" w:eastAsia="en-US"/>
        </w:rPr>
        <w:lastRenderedPageBreak/>
        <w:drawing>
          <wp:inline distT="0" distB="0" distL="0" distR="0" wp14:anchorId="7D9AFB27" wp14:editId="3DA1F277">
            <wp:extent cx="6116432" cy="11041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338" cy="1103984"/>
                    </a:xfrm>
                    <a:prstGeom prst="rect">
                      <a:avLst/>
                    </a:prstGeom>
                    <a:noFill/>
                  </pic:spPr>
                </pic:pic>
              </a:graphicData>
            </a:graphic>
          </wp:inline>
        </w:drawing>
      </w:r>
    </w:p>
    <w:p w:rsidR="007048F6" w:rsidRPr="003B2D2B" w:rsidRDefault="00DC55A1" w:rsidP="003B2D2B">
      <w:pPr>
        <w:pStyle w:val="Caption"/>
        <w:jc w:val="center"/>
        <w:rPr>
          <w:sz w:val="16"/>
        </w:rPr>
      </w:pPr>
      <w:bookmarkStart w:id="3" w:name="_Ref409515801"/>
      <w:r w:rsidRPr="003B2D2B">
        <w:rPr>
          <w:sz w:val="16"/>
        </w:rPr>
        <w:t xml:space="preserve">Figure </w:t>
      </w:r>
      <w:r w:rsidRPr="003B2D2B">
        <w:rPr>
          <w:sz w:val="16"/>
        </w:rPr>
        <w:fldChar w:fldCharType="begin"/>
      </w:r>
      <w:r w:rsidRPr="003B2D2B">
        <w:rPr>
          <w:sz w:val="16"/>
        </w:rPr>
        <w:instrText xml:space="preserve"> SEQ Figure \* ARABIC </w:instrText>
      </w:r>
      <w:r w:rsidRPr="003B2D2B">
        <w:rPr>
          <w:sz w:val="16"/>
        </w:rPr>
        <w:fldChar w:fldCharType="separate"/>
      </w:r>
      <w:r w:rsidRPr="003B2D2B">
        <w:rPr>
          <w:noProof/>
          <w:sz w:val="16"/>
        </w:rPr>
        <w:t>1</w:t>
      </w:r>
      <w:r w:rsidRPr="003B2D2B">
        <w:rPr>
          <w:sz w:val="16"/>
        </w:rPr>
        <w:fldChar w:fldCharType="end"/>
      </w:r>
      <w:bookmarkEnd w:id="3"/>
      <w:r w:rsidRPr="003B2D2B">
        <w:rPr>
          <w:sz w:val="16"/>
        </w:rPr>
        <w:tab/>
      </w:r>
      <w:r w:rsidR="00093BD3" w:rsidRPr="003B2D2B">
        <w:rPr>
          <w:sz w:val="16"/>
        </w:rPr>
        <w:t xml:space="preserve">Illustration of E-DPCCH and E-DPDCH time-multiplexed operation. </w:t>
      </w:r>
      <w:r w:rsidR="00326E3A" w:rsidRPr="003B2D2B">
        <w:rPr>
          <w:sz w:val="16"/>
        </w:rPr>
        <w:t xml:space="preserve">In this example HARQ processes one, two, three and four use a bundle length of 1, 2, 2, and 3, respectively. </w:t>
      </w:r>
      <w:r w:rsidR="00093BD3" w:rsidRPr="003B2D2B">
        <w:rPr>
          <w:sz w:val="16"/>
        </w:rPr>
        <w:t xml:space="preserve">The TTI </w:t>
      </w:r>
      <w:r w:rsidR="00326E3A" w:rsidRPr="003B2D2B">
        <w:rPr>
          <w:sz w:val="16"/>
        </w:rPr>
        <w:t xml:space="preserve">length </w:t>
      </w:r>
      <w:r w:rsidR="00093BD3" w:rsidRPr="003B2D2B">
        <w:rPr>
          <w:sz w:val="16"/>
        </w:rPr>
        <w:t xml:space="preserve">is 10 </w:t>
      </w:r>
      <w:proofErr w:type="spellStart"/>
      <w:r w:rsidR="00093BD3" w:rsidRPr="003B2D2B">
        <w:rPr>
          <w:sz w:val="16"/>
        </w:rPr>
        <w:t>ms</w:t>
      </w:r>
      <w:proofErr w:type="spellEnd"/>
      <w:r w:rsidR="00093BD3" w:rsidRPr="003B2D2B">
        <w:rPr>
          <w:sz w:val="16"/>
        </w:rPr>
        <w:t>.</w:t>
      </w:r>
    </w:p>
    <w:p w:rsidR="00E9517B" w:rsidRDefault="00E9517B" w:rsidP="004113A6"/>
    <w:p w:rsidR="00A23116" w:rsidRDefault="00EE19FE" w:rsidP="004113A6">
      <w:r>
        <w:rPr>
          <w:noProof/>
          <w:lang w:val="en-US" w:eastAsia="en-US"/>
        </w:rPr>
        <w:drawing>
          <wp:inline distT="0" distB="0" distL="0" distR="0" wp14:anchorId="59388777" wp14:editId="68B1CDA0">
            <wp:extent cx="6176514" cy="9013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6186" cy="901283"/>
                    </a:xfrm>
                    <a:prstGeom prst="rect">
                      <a:avLst/>
                    </a:prstGeom>
                    <a:noFill/>
                  </pic:spPr>
                </pic:pic>
              </a:graphicData>
            </a:graphic>
          </wp:inline>
        </w:drawing>
      </w:r>
    </w:p>
    <w:p w:rsidR="00D94DDB" w:rsidRPr="003B2D2B" w:rsidRDefault="00A41967" w:rsidP="003B2D2B">
      <w:pPr>
        <w:pStyle w:val="Caption"/>
        <w:jc w:val="center"/>
        <w:rPr>
          <w:sz w:val="16"/>
        </w:rPr>
      </w:pPr>
      <w:bookmarkStart w:id="4" w:name="_Ref409513692"/>
      <w:r w:rsidRPr="003B2D2B">
        <w:rPr>
          <w:sz w:val="16"/>
        </w:rPr>
        <w:t xml:space="preserve">Figure </w:t>
      </w:r>
      <w:r w:rsidRPr="003B2D2B">
        <w:rPr>
          <w:sz w:val="16"/>
        </w:rPr>
        <w:fldChar w:fldCharType="begin"/>
      </w:r>
      <w:r w:rsidRPr="003B2D2B">
        <w:rPr>
          <w:sz w:val="16"/>
        </w:rPr>
        <w:instrText xml:space="preserve"> SEQ Figure \* ARABIC </w:instrText>
      </w:r>
      <w:r w:rsidRPr="003B2D2B">
        <w:rPr>
          <w:sz w:val="16"/>
        </w:rPr>
        <w:fldChar w:fldCharType="separate"/>
      </w:r>
      <w:r w:rsidR="00DC55A1" w:rsidRPr="003B2D2B">
        <w:rPr>
          <w:noProof/>
          <w:sz w:val="16"/>
        </w:rPr>
        <w:t>2</w:t>
      </w:r>
      <w:r w:rsidRPr="003B2D2B">
        <w:rPr>
          <w:sz w:val="16"/>
        </w:rPr>
        <w:fldChar w:fldCharType="end"/>
      </w:r>
      <w:bookmarkEnd w:id="4"/>
      <w:r w:rsidRPr="003B2D2B">
        <w:rPr>
          <w:sz w:val="16"/>
        </w:rPr>
        <w:tab/>
      </w:r>
      <w:r w:rsidR="00093BD3" w:rsidRPr="003B2D2B">
        <w:rPr>
          <w:sz w:val="16"/>
        </w:rPr>
        <w:t xml:space="preserve">More detailed illustration of E-DPCCH and E-DPDCH time-multiplexed operation. The TTI </w:t>
      </w:r>
      <w:r w:rsidR="00326E3A" w:rsidRPr="003B2D2B">
        <w:rPr>
          <w:sz w:val="16"/>
        </w:rPr>
        <w:t xml:space="preserve">length </w:t>
      </w:r>
      <w:r w:rsidR="00093BD3" w:rsidRPr="003B2D2B">
        <w:rPr>
          <w:sz w:val="16"/>
        </w:rPr>
        <w:t xml:space="preserve">is 10 </w:t>
      </w:r>
      <w:proofErr w:type="spellStart"/>
      <w:r w:rsidR="00093BD3" w:rsidRPr="003B2D2B">
        <w:rPr>
          <w:sz w:val="16"/>
        </w:rPr>
        <w:t>ms</w:t>
      </w:r>
      <w:proofErr w:type="spellEnd"/>
      <w:r w:rsidR="00093BD3" w:rsidRPr="003B2D2B">
        <w:rPr>
          <w:sz w:val="16"/>
        </w:rPr>
        <w:t>.</w:t>
      </w:r>
    </w:p>
    <w:p w:rsidR="000074A3" w:rsidRPr="00AB6D1D" w:rsidRDefault="000074A3" w:rsidP="000074A3">
      <w:pPr>
        <w:pStyle w:val="Heading1"/>
      </w:pPr>
      <w:r w:rsidRPr="00AB6D1D">
        <w:t>Conclusion</w:t>
      </w:r>
      <w:bookmarkStart w:id="5" w:name="_In-sequence_SDU_delivery"/>
      <w:bookmarkEnd w:id="5"/>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w:t>
      </w:r>
      <w:r w:rsidR="007D6E66">
        <w:t xml:space="preserve">smissions. </w:t>
      </w:r>
    </w:p>
    <w:p w:rsidR="008D26C9" w:rsidRDefault="00093BD3" w:rsidP="00AB6D1D">
      <w:r>
        <w:t xml:space="preserve">This contribution has discussed some alternatives for improving uplink coverage. In particular, an E-DPDCH and E-DPCCH time-multiplexed operation for EUL has been outlined, and ideas for how to handle the HS-DPCCH have been considered. These </w:t>
      </w:r>
      <w:r w:rsidR="008D26C9">
        <w:t xml:space="preserve">suggestions can improve the overall uplink HSPA MCL value by several </w:t>
      </w:r>
      <w:proofErr w:type="spellStart"/>
      <w:r w:rsidR="008D26C9">
        <w:t>dBs.</w:t>
      </w:r>
      <w:proofErr w:type="spellEnd"/>
    </w:p>
    <w:p w:rsidR="00093BD3" w:rsidRPr="008D26C9" w:rsidRDefault="008D26C9" w:rsidP="00AB6D1D">
      <w:pPr>
        <w:rPr>
          <w:b/>
        </w:rPr>
      </w:pPr>
      <w:r w:rsidRPr="008D26C9">
        <w:rPr>
          <w:b/>
        </w:rPr>
        <w:t xml:space="preserve">Proposal: </w:t>
      </w:r>
      <w:r>
        <w:rPr>
          <w:b/>
        </w:rPr>
        <w:t>Use the companion text proposal [14] to c</w:t>
      </w:r>
      <w:r w:rsidRPr="008D26C9">
        <w:rPr>
          <w:b/>
        </w:rPr>
        <w:t xml:space="preserve">apture the ideas discussed in this contribution in the TR [13]. </w:t>
      </w:r>
    </w:p>
    <w:p w:rsidR="000074A3" w:rsidRPr="00AB6D1D" w:rsidRDefault="000074A3" w:rsidP="000074A3">
      <w:pPr>
        <w:pStyle w:val="Heading1"/>
      </w:pPr>
      <w:r w:rsidRPr="00AB6D1D">
        <w:t>References</w:t>
      </w:r>
    </w:p>
    <w:p w:rsidR="007D6E66" w:rsidRPr="00962D8B" w:rsidRDefault="004D2C1E" w:rsidP="005E0ABB">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 xml:space="preserve">Ericsson, Huawei, </w:t>
      </w:r>
      <w:proofErr w:type="spellStart"/>
      <w:r w:rsidRPr="004D2C1E">
        <w:rPr>
          <w:rFonts w:eastAsia="Batang"/>
          <w:lang w:val="en-US"/>
        </w:rPr>
        <w:t>HiSilicon</w:t>
      </w:r>
      <w:proofErr w:type="spellEnd"/>
      <w:r w:rsidRPr="004D2C1E">
        <w:rPr>
          <w:rFonts w:eastAsia="Batang"/>
          <w:lang w:val="en-US"/>
        </w:rPr>
        <w:t>, Telefonica S.A., China Unicom, Nokia Networks</w:t>
      </w:r>
    </w:p>
    <w:p w:rsidR="00962D8B" w:rsidRDefault="00962D8B" w:rsidP="00962D8B">
      <w:pPr>
        <w:pStyle w:val="Reference"/>
        <w:rPr>
          <w:rFonts w:cs="Arial"/>
          <w:lang w:val="en-US"/>
        </w:rPr>
      </w:pPr>
      <w:r>
        <w:rPr>
          <w:rFonts w:cs="Arial"/>
          <w:lang w:val="en-US"/>
        </w:rPr>
        <w:t>R1-145026</w:t>
      </w:r>
      <w:r w:rsidRPr="008E6AE2">
        <w:rPr>
          <w:rFonts w:cs="Arial"/>
          <w:lang w:val="en-US"/>
        </w:rPr>
        <w:t>, “</w:t>
      </w:r>
      <w:r>
        <w:rPr>
          <w:rFonts w:eastAsia="Batang" w:cs="Arial"/>
        </w:rPr>
        <w:t>Cell search coverage evaluation</w:t>
      </w:r>
      <w:r w:rsidRPr="008E6AE2">
        <w:rPr>
          <w:rFonts w:cs="Arial"/>
          <w:lang w:val="en-US"/>
        </w:rPr>
        <w:t xml:space="preserve">”, </w:t>
      </w:r>
      <w:r>
        <w:rPr>
          <w:rFonts w:eastAsia="Batang"/>
          <w:lang w:val="en-US"/>
        </w:rPr>
        <w:t>Ericsson</w:t>
      </w:r>
      <w:r w:rsidRPr="008E6AE2">
        <w:rPr>
          <w:rFonts w:cs="Arial"/>
          <w:lang w:val="en-US"/>
        </w:rPr>
        <w:t>.</w:t>
      </w:r>
    </w:p>
    <w:p w:rsidR="00962D8B" w:rsidRDefault="00962D8B" w:rsidP="00962D8B">
      <w:pPr>
        <w:pStyle w:val="Reference"/>
        <w:rPr>
          <w:rFonts w:cs="Arial"/>
          <w:lang w:val="en-US"/>
        </w:rPr>
      </w:pPr>
      <w:r>
        <w:rPr>
          <w:rFonts w:cs="Arial"/>
          <w:lang w:val="en-US"/>
        </w:rPr>
        <w:t>R1-145027, “System information acquisition (BCH) coverage evaluation”, Ericsson.</w:t>
      </w:r>
    </w:p>
    <w:p w:rsidR="00962D8B" w:rsidRDefault="00962D8B" w:rsidP="00962D8B">
      <w:pPr>
        <w:pStyle w:val="Reference"/>
        <w:rPr>
          <w:rFonts w:cs="Arial"/>
          <w:lang w:val="en-US"/>
        </w:rPr>
      </w:pPr>
      <w:r>
        <w:rPr>
          <w:rFonts w:cs="Arial"/>
          <w:lang w:val="en-US"/>
        </w:rPr>
        <w:t>R1-145028, “Paging channels (PICH and PCH) coverage evaluation”, Ericsson.</w:t>
      </w:r>
    </w:p>
    <w:p w:rsidR="00962D8B" w:rsidRDefault="00962D8B" w:rsidP="00962D8B">
      <w:pPr>
        <w:pStyle w:val="Reference"/>
        <w:rPr>
          <w:rFonts w:cs="Arial"/>
          <w:lang w:val="en-US"/>
        </w:rPr>
      </w:pPr>
      <w:r>
        <w:rPr>
          <w:rFonts w:cs="Arial"/>
          <w:lang w:val="en-US"/>
        </w:rPr>
        <w:t>R1-145029, “PRACH preamble coverage evaluation”, Ericsson.</w:t>
      </w:r>
    </w:p>
    <w:p w:rsidR="00962D8B" w:rsidRDefault="00962D8B" w:rsidP="00962D8B">
      <w:pPr>
        <w:pStyle w:val="Reference"/>
        <w:rPr>
          <w:rFonts w:cs="Arial"/>
          <w:lang w:val="en-US"/>
        </w:rPr>
      </w:pPr>
      <w:r>
        <w:rPr>
          <w:rFonts w:cs="Arial"/>
          <w:lang w:val="en-US"/>
        </w:rPr>
        <w:t>R1-145030, “Acquisition Indicator channel (AICH) coverage evaluation”, Ericsson.</w:t>
      </w:r>
    </w:p>
    <w:p w:rsidR="00962D8B" w:rsidRDefault="00962D8B" w:rsidP="00962D8B">
      <w:pPr>
        <w:pStyle w:val="Reference"/>
        <w:rPr>
          <w:rFonts w:cs="Arial"/>
          <w:lang w:val="en-US"/>
        </w:rPr>
      </w:pPr>
      <w:r>
        <w:rPr>
          <w:rFonts w:cs="Arial"/>
          <w:lang w:val="en-US"/>
        </w:rPr>
        <w:t>R1-145031, “Enhanced Uplink (EUL) coverage evaluation”, Ericsson.</w:t>
      </w:r>
    </w:p>
    <w:p w:rsidR="00962D8B" w:rsidRDefault="00962D8B" w:rsidP="00962D8B">
      <w:pPr>
        <w:pStyle w:val="Reference"/>
        <w:rPr>
          <w:rFonts w:cs="Arial"/>
          <w:lang w:val="en-US"/>
        </w:rPr>
      </w:pPr>
      <w:r>
        <w:rPr>
          <w:rFonts w:cs="Arial"/>
          <w:lang w:val="en-US"/>
        </w:rPr>
        <w:t>R1-145032, “HS-SCCH and HS-PDSCH coverage evaluation”, Ericsson.</w:t>
      </w:r>
    </w:p>
    <w:p w:rsidR="00962D8B" w:rsidRDefault="00962D8B" w:rsidP="00962D8B">
      <w:pPr>
        <w:pStyle w:val="Reference"/>
        <w:rPr>
          <w:rFonts w:cs="Arial"/>
          <w:lang w:val="en-US"/>
        </w:rPr>
      </w:pPr>
      <w:r>
        <w:rPr>
          <w:rFonts w:cs="Arial"/>
          <w:lang w:val="en-US"/>
        </w:rPr>
        <w:t>R1-145134, “Evaluation results on coverage enhancements”, Huawei</w:t>
      </w:r>
      <w:r w:rsidR="00A71B3E" w:rsidRPr="00A71B3E">
        <w:rPr>
          <w:rFonts w:cs="Arial"/>
          <w:lang w:val="en-US"/>
        </w:rPr>
        <w:t xml:space="preserve">, </w:t>
      </w:r>
      <w:proofErr w:type="spellStart"/>
      <w:r w:rsidR="00A71B3E" w:rsidRPr="00A71B3E">
        <w:rPr>
          <w:rFonts w:cs="Arial"/>
          <w:lang w:val="en-US"/>
        </w:rPr>
        <w:t>HiSilicon</w:t>
      </w:r>
      <w:proofErr w:type="spellEnd"/>
      <w:r>
        <w:rPr>
          <w:rFonts w:cs="Arial"/>
          <w:lang w:val="en-US"/>
        </w:rPr>
        <w:t>.</w:t>
      </w:r>
    </w:p>
    <w:p w:rsidR="00A71B3E" w:rsidRPr="003B2D2B" w:rsidRDefault="00A71B3E" w:rsidP="00A71B3E">
      <w:pPr>
        <w:pStyle w:val="Reference"/>
        <w:rPr>
          <w:lang w:val="en-US"/>
        </w:rPr>
      </w:pPr>
      <w:r w:rsidRPr="003B2D2B">
        <w:rPr>
          <w:lang w:val="en-US"/>
        </w:rPr>
        <w:t xml:space="preserve">R1-145135, “Solutions for coverage enhancement”, </w:t>
      </w:r>
      <w:r w:rsidRPr="003B2D2B">
        <w:rPr>
          <w:rFonts w:cs="Arial"/>
          <w:lang w:val="en-US"/>
        </w:rPr>
        <w:t xml:space="preserve">Huawei, </w:t>
      </w:r>
      <w:proofErr w:type="spellStart"/>
      <w:r w:rsidRPr="003B2D2B">
        <w:rPr>
          <w:rFonts w:cs="Arial"/>
          <w:lang w:val="en-US"/>
        </w:rPr>
        <w:t>HiSilicon</w:t>
      </w:r>
      <w:proofErr w:type="spellEnd"/>
    </w:p>
    <w:p w:rsidR="007F2819" w:rsidRPr="003B2D2B" w:rsidRDefault="003B2D2B" w:rsidP="007F2819">
      <w:pPr>
        <w:pStyle w:val="Reference"/>
        <w:rPr>
          <w:lang w:val="en-US"/>
        </w:rPr>
      </w:pPr>
      <w:r w:rsidRPr="003B2D2B">
        <w:rPr>
          <w:lang w:val="en-US"/>
        </w:rPr>
        <w:t>R1-150331, “Uplink coverage evaluation for small data a</w:t>
      </w:r>
      <w:r w:rsidR="007F2819" w:rsidRPr="003B2D2B">
        <w:rPr>
          <w:lang w:val="en-US"/>
        </w:rPr>
        <w:t>pplications”, Ericsson</w:t>
      </w:r>
    </w:p>
    <w:p w:rsidR="00D76C82" w:rsidRPr="003B2D2B" w:rsidRDefault="00D76C82" w:rsidP="00D76C82">
      <w:pPr>
        <w:pStyle w:val="Reference"/>
        <w:rPr>
          <w:lang w:val="en-US"/>
        </w:rPr>
      </w:pPr>
      <w:r w:rsidRPr="003B2D2B">
        <w:rPr>
          <w:lang w:val="en-US"/>
        </w:rPr>
        <w:t xml:space="preserve">RP-090333, “Proposed new work item: 2 </w:t>
      </w:r>
      <w:proofErr w:type="spellStart"/>
      <w:r w:rsidRPr="003B2D2B">
        <w:rPr>
          <w:lang w:val="en-US"/>
        </w:rPr>
        <w:t>ms</w:t>
      </w:r>
      <w:proofErr w:type="spellEnd"/>
      <w:r w:rsidRPr="003B2D2B">
        <w:rPr>
          <w:lang w:val="en-US"/>
        </w:rPr>
        <w:t xml:space="preserve"> TTI coverage extension”, Nokia Siemens Networks, Nokia</w:t>
      </w:r>
    </w:p>
    <w:p w:rsidR="00D76C82" w:rsidRPr="003B2D2B" w:rsidRDefault="008D26C9" w:rsidP="008D26C9">
      <w:pPr>
        <w:pStyle w:val="Reference"/>
        <w:rPr>
          <w:lang w:val="en-US"/>
        </w:rPr>
      </w:pPr>
      <w:r w:rsidRPr="003B2D2B">
        <w:rPr>
          <w:lang w:val="en-US"/>
        </w:rPr>
        <w:t>TR 25.705, “Study on Small data transmission enhancements for UMTS”</w:t>
      </w:r>
    </w:p>
    <w:p w:rsidR="00742FBB" w:rsidRPr="003B2D2B" w:rsidRDefault="003B2D2B" w:rsidP="00742FBB">
      <w:pPr>
        <w:pStyle w:val="Reference"/>
        <w:rPr>
          <w:lang w:val="en-US"/>
        </w:rPr>
      </w:pPr>
      <w:r w:rsidRPr="003B2D2B">
        <w:rPr>
          <w:lang w:val="en-US"/>
        </w:rPr>
        <w:t>R1-150335</w:t>
      </w:r>
      <w:r w:rsidR="00742FBB" w:rsidRPr="003B2D2B">
        <w:rPr>
          <w:lang w:val="en-US"/>
        </w:rPr>
        <w:t xml:space="preserve">, “Text Proposal on </w:t>
      </w:r>
      <w:r w:rsidRPr="003B2D2B">
        <w:rPr>
          <w:lang w:val="en-US"/>
        </w:rPr>
        <w:t>Enhanced uplink (EUL) coverage i</w:t>
      </w:r>
      <w:r w:rsidR="00742FBB" w:rsidRPr="003B2D2B">
        <w:rPr>
          <w:lang w:val="en-US"/>
        </w:rPr>
        <w:t xml:space="preserve">mprovements”, </w:t>
      </w:r>
      <w:r w:rsidR="00742FBB" w:rsidRPr="003B2D2B">
        <w:rPr>
          <w:rFonts w:cs="Arial"/>
          <w:lang w:val="en-US"/>
        </w:rPr>
        <w:t>Ericsson</w:t>
      </w:r>
    </w:p>
    <w:p w:rsidR="000E57D6" w:rsidRPr="00AB4185" w:rsidRDefault="000E57D6" w:rsidP="00742FBB">
      <w:pPr>
        <w:pStyle w:val="Reference"/>
        <w:rPr>
          <w:lang w:val="en-US"/>
        </w:rPr>
      </w:pPr>
      <w:r w:rsidRPr="00AB4185">
        <w:rPr>
          <w:lang w:val="en-US"/>
        </w:rPr>
        <w:t>Chapman et al, “HSPA Evolution – The fundamentals for Mobile Broadband”, Academic Press, 2015</w:t>
      </w:r>
      <w:bookmarkStart w:id="6" w:name="_GoBack"/>
      <w:bookmarkEnd w:id="6"/>
    </w:p>
    <w:sectPr w:rsidR="000E57D6" w:rsidRPr="00AB41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FED" w:rsidRDefault="00BC2FED">
      <w:r>
        <w:separator/>
      </w:r>
    </w:p>
  </w:endnote>
  <w:endnote w:type="continuationSeparator" w:id="0">
    <w:p w:rsidR="00BC2FED" w:rsidRDefault="00BC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D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D48">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FED" w:rsidRDefault="00BC2FED">
      <w:r>
        <w:separator/>
      </w:r>
    </w:p>
  </w:footnote>
  <w:footnote w:type="continuationSeparator" w:id="0">
    <w:p w:rsidR="00BC2FED" w:rsidRDefault="00BC2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FE" w:rsidRDefault="00EE19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1FD6549"/>
    <w:multiLevelType w:val="hybridMultilevel"/>
    <w:tmpl w:val="D24899B2"/>
    <w:lvl w:ilvl="0" w:tplc="4CE8CFCC">
      <w:start w:val="2"/>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5E55406"/>
    <w:multiLevelType w:val="hybridMultilevel"/>
    <w:tmpl w:val="7CEE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085E3A"/>
    <w:multiLevelType w:val="hybridMultilevel"/>
    <w:tmpl w:val="D33C5B5C"/>
    <w:lvl w:ilvl="0" w:tplc="2196E14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CA5024F"/>
    <w:multiLevelType w:val="hybridMultilevel"/>
    <w:tmpl w:val="A90A5490"/>
    <w:lvl w:ilvl="0" w:tplc="98509BBA">
      <w:start w:val="3"/>
      <w:numFmt w:val="bullet"/>
      <w:lvlText w:val="-"/>
      <w:lvlJc w:val="left"/>
      <w:pPr>
        <w:ind w:left="720" w:hanging="360"/>
      </w:pPr>
      <w:rPr>
        <w:rFonts w:ascii="Arial" w:eastAsia="Times New Roma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F8F5504"/>
    <w:multiLevelType w:val="hybridMultilevel"/>
    <w:tmpl w:val="7B944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nsid w:val="512D769B"/>
    <w:multiLevelType w:val="hybridMultilevel"/>
    <w:tmpl w:val="0C0A6170"/>
    <w:lvl w:ilvl="0" w:tplc="A3B022A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517DA8"/>
    <w:multiLevelType w:val="hybridMultilevel"/>
    <w:tmpl w:val="B0BCC96E"/>
    <w:lvl w:ilvl="0" w:tplc="4CE8CFCC">
      <w:start w:val="2"/>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4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B255342"/>
    <w:multiLevelType w:val="hybridMultilevel"/>
    <w:tmpl w:val="72C8D8B0"/>
    <w:lvl w:ilvl="0" w:tplc="4CE8CFC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1960169"/>
    <w:multiLevelType w:val="hybridMultilevel"/>
    <w:tmpl w:val="A8E4D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5"/>
  </w:num>
  <w:num w:numId="3">
    <w:abstractNumId w:val="25"/>
  </w:num>
  <w:num w:numId="4">
    <w:abstractNumId w:val="26"/>
  </w:num>
  <w:num w:numId="5">
    <w:abstractNumId w:val="20"/>
  </w:num>
  <w:num w:numId="6">
    <w:abstractNumId w:val="30"/>
  </w:num>
  <w:num w:numId="7">
    <w:abstractNumId w:val="43"/>
  </w:num>
  <w:num w:numId="8">
    <w:abstractNumId w:val="22"/>
  </w:num>
  <w:num w:numId="9">
    <w:abstractNumId w:val="16"/>
  </w:num>
  <w:num w:numId="10">
    <w:abstractNumId w:val="23"/>
  </w:num>
  <w:num w:numId="11">
    <w:abstractNumId w:val="4"/>
  </w:num>
  <w:num w:numId="12">
    <w:abstractNumId w:val="14"/>
  </w:num>
  <w:num w:numId="13">
    <w:abstractNumId w:val="28"/>
  </w:num>
  <w:num w:numId="14">
    <w:abstractNumId w:val="13"/>
  </w:num>
  <w:num w:numId="15">
    <w:abstractNumId w:val="15"/>
  </w:num>
  <w:num w:numId="16">
    <w:abstractNumId w:val="24"/>
  </w:num>
  <w:num w:numId="17">
    <w:abstractNumId w:val="7"/>
  </w:num>
  <w:num w:numId="18">
    <w:abstractNumId w:val="29"/>
  </w:num>
  <w:num w:numId="19">
    <w:abstractNumId w:val="2"/>
  </w:num>
  <w:num w:numId="20">
    <w:abstractNumId w:val="1"/>
  </w:num>
  <w:num w:numId="21">
    <w:abstractNumId w:val="0"/>
  </w:num>
  <w:num w:numId="22">
    <w:abstractNumId w:val="47"/>
  </w:num>
  <w:num w:numId="23">
    <w:abstractNumId w:val="32"/>
  </w:num>
  <w:num w:numId="24">
    <w:abstractNumId w:val="40"/>
  </w:num>
  <w:num w:numId="25">
    <w:abstractNumId w:val="27"/>
  </w:num>
  <w:num w:numId="26">
    <w:abstractNumId w:val="11"/>
  </w:num>
  <w:num w:numId="27">
    <w:abstractNumId w:val="19"/>
  </w:num>
  <w:num w:numId="28">
    <w:abstractNumId w:val="34"/>
  </w:num>
  <w:num w:numId="29">
    <w:abstractNumId w:val="12"/>
  </w:num>
  <w:num w:numId="30">
    <w:abstractNumId w:val="31"/>
  </w:num>
  <w:num w:numId="31">
    <w:abstractNumId w:val="49"/>
  </w:num>
  <w:num w:numId="32">
    <w:abstractNumId w:val="21"/>
  </w:num>
  <w:num w:numId="33">
    <w:abstractNumId w:val="42"/>
  </w:num>
  <w:num w:numId="34">
    <w:abstractNumId w:val="37"/>
  </w:num>
  <w:num w:numId="35">
    <w:abstractNumId w:val="8"/>
  </w:num>
  <w:num w:numId="36">
    <w:abstractNumId w:val="39"/>
  </w:num>
  <w:num w:numId="37">
    <w:abstractNumId w:val="33"/>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8"/>
  </w:num>
  <w:num w:numId="41">
    <w:abstractNumId w:val="46"/>
  </w:num>
  <w:num w:numId="42">
    <w:abstractNumId w:val="17"/>
  </w:num>
  <w:num w:numId="43">
    <w:abstractNumId w:val="44"/>
  </w:num>
  <w:num w:numId="44">
    <w:abstractNumId w:val="5"/>
  </w:num>
  <w:num w:numId="45">
    <w:abstractNumId w:val="41"/>
  </w:num>
  <w:num w:numId="46">
    <w:abstractNumId w:val="45"/>
  </w:num>
  <w:num w:numId="47">
    <w:abstractNumId w:val="36"/>
  </w:num>
  <w:num w:numId="48">
    <w:abstractNumId w:val="9"/>
  </w:num>
  <w:num w:numId="49">
    <w:abstractNumId w:val="10"/>
  </w:num>
  <w:num w:numId="5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168DF"/>
    <w:rsid w:val="000201FF"/>
    <w:rsid w:val="00021C60"/>
    <w:rsid w:val="0002204E"/>
    <w:rsid w:val="00024F1B"/>
    <w:rsid w:val="0002564D"/>
    <w:rsid w:val="00025ECA"/>
    <w:rsid w:val="000269B1"/>
    <w:rsid w:val="0002730C"/>
    <w:rsid w:val="00027837"/>
    <w:rsid w:val="000279B7"/>
    <w:rsid w:val="00027DE5"/>
    <w:rsid w:val="00030E62"/>
    <w:rsid w:val="00031182"/>
    <w:rsid w:val="00031C72"/>
    <w:rsid w:val="000325B8"/>
    <w:rsid w:val="00033D3A"/>
    <w:rsid w:val="00034945"/>
    <w:rsid w:val="00034A8B"/>
    <w:rsid w:val="00034C15"/>
    <w:rsid w:val="00034DCC"/>
    <w:rsid w:val="00035077"/>
    <w:rsid w:val="00035E40"/>
    <w:rsid w:val="000368F8"/>
    <w:rsid w:val="00036BA1"/>
    <w:rsid w:val="000401FA"/>
    <w:rsid w:val="000410BC"/>
    <w:rsid w:val="000422E2"/>
    <w:rsid w:val="00042339"/>
    <w:rsid w:val="00042F22"/>
    <w:rsid w:val="000444EF"/>
    <w:rsid w:val="00044BE9"/>
    <w:rsid w:val="000522D7"/>
    <w:rsid w:val="00052A07"/>
    <w:rsid w:val="000534E3"/>
    <w:rsid w:val="00054A17"/>
    <w:rsid w:val="00055756"/>
    <w:rsid w:val="0005598C"/>
    <w:rsid w:val="00055A98"/>
    <w:rsid w:val="0005606A"/>
    <w:rsid w:val="00056B85"/>
    <w:rsid w:val="00057117"/>
    <w:rsid w:val="000571B0"/>
    <w:rsid w:val="000616E7"/>
    <w:rsid w:val="00061E81"/>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36A"/>
    <w:rsid w:val="00081620"/>
    <w:rsid w:val="0008190F"/>
    <w:rsid w:val="00081AE6"/>
    <w:rsid w:val="000821EC"/>
    <w:rsid w:val="000830A7"/>
    <w:rsid w:val="00083189"/>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3BD3"/>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96B"/>
    <w:rsid w:val="000B3A8F"/>
    <w:rsid w:val="000B42C2"/>
    <w:rsid w:val="000B4AB9"/>
    <w:rsid w:val="000B4BEB"/>
    <w:rsid w:val="000B58C3"/>
    <w:rsid w:val="000B61E9"/>
    <w:rsid w:val="000B6931"/>
    <w:rsid w:val="000B6E38"/>
    <w:rsid w:val="000B7413"/>
    <w:rsid w:val="000B7D7E"/>
    <w:rsid w:val="000C00EA"/>
    <w:rsid w:val="000C12CE"/>
    <w:rsid w:val="000C165A"/>
    <w:rsid w:val="000C2E19"/>
    <w:rsid w:val="000C38B5"/>
    <w:rsid w:val="000C66C2"/>
    <w:rsid w:val="000C66F7"/>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3C6"/>
    <w:rsid w:val="000E3EDB"/>
    <w:rsid w:val="000E4A19"/>
    <w:rsid w:val="000E4A50"/>
    <w:rsid w:val="000E533E"/>
    <w:rsid w:val="000E57D6"/>
    <w:rsid w:val="000E72B6"/>
    <w:rsid w:val="000E743E"/>
    <w:rsid w:val="000E74D4"/>
    <w:rsid w:val="000F06D6"/>
    <w:rsid w:val="000F0EB1"/>
    <w:rsid w:val="000F1106"/>
    <w:rsid w:val="000F1648"/>
    <w:rsid w:val="000F3BE9"/>
    <w:rsid w:val="000F3F6C"/>
    <w:rsid w:val="000F6DF3"/>
    <w:rsid w:val="001005FF"/>
    <w:rsid w:val="00100847"/>
    <w:rsid w:val="001037D3"/>
    <w:rsid w:val="00103B18"/>
    <w:rsid w:val="001047B1"/>
    <w:rsid w:val="001058DB"/>
    <w:rsid w:val="001062FB"/>
    <w:rsid w:val="001063E6"/>
    <w:rsid w:val="00106F49"/>
    <w:rsid w:val="001078D6"/>
    <w:rsid w:val="001079BC"/>
    <w:rsid w:val="001122CF"/>
    <w:rsid w:val="001136BD"/>
    <w:rsid w:val="00113CF4"/>
    <w:rsid w:val="00114059"/>
    <w:rsid w:val="0011408D"/>
    <w:rsid w:val="00114766"/>
    <w:rsid w:val="001153EA"/>
    <w:rsid w:val="00115643"/>
    <w:rsid w:val="0011575D"/>
    <w:rsid w:val="00116765"/>
    <w:rsid w:val="00116D2A"/>
    <w:rsid w:val="0011727A"/>
    <w:rsid w:val="00117E2E"/>
    <w:rsid w:val="00120017"/>
    <w:rsid w:val="0012168E"/>
    <w:rsid w:val="001219F5"/>
    <w:rsid w:val="00121A20"/>
    <w:rsid w:val="00122B00"/>
    <w:rsid w:val="0012377F"/>
    <w:rsid w:val="00123CCA"/>
    <w:rsid w:val="00124314"/>
    <w:rsid w:val="00125154"/>
    <w:rsid w:val="00126B4A"/>
    <w:rsid w:val="00126F5A"/>
    <w:rsid w:val="0012740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758"/>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5DC7"/>
    <w:rsid w:val="00166C2D"/>
    <w:rsid w:val="00167118"/>
    <w:rsid w:val="00167984"/>
    <w:rsid w:val="00170D96"/>
    <w:rsid w:val="001727A0"/>
    <w:rsid w:val="00173A8E"/>
    <w:rsid w:val="00174013"/>
    <w:rsid w:val="001764CB"/>
    <w:rsid w:val="0017705C"/>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C9E"/>
    <w:rsid w:val="00197DF9"/>
    <w:rsid w:val="001A0E1B"/>
    <w:rsid w:val="001A1987"/>
    <w:rsid w:val="001A2564"/>
    <w:rsid w:val="001A2819"/>
    <w:rsid w:val="001A2A7C"/>
    <w:rsid w:val="001A5840"/>
    <w:rsid w:val="001A5ADB"/>
    <w:rsid w:val="001A6173"/>
    <w:rsid w:val="001A6A0A"/>
    <w:rsid w:val="001A6CBA"/>
    <w:rsid w:val="001B0D97"/>
    <w:rsid w:val="001B26D2"/>
    <w:rsid w:val="001B3D33"/>
    <w:rsid w:val="001B4F05"/>
    <w:rsid w:val="001B4FD7"/>
    <w:rsid w:val="001B5588"/>
    <w:rsid w:val="001B5A5D"/>
    <w:rsid w:val="001B7169"/>
    <w:rsid w:val="001B78CA"/>
    <w:rsid w:val="001C05BD"/>
    <w:rsid w:val="001C0E8E"/>
    <w:rsid w:val="001C1B73"/>
    <w:rsid w:val="001C1CE5"/>
    <w:rsid w:val="001C2BB2"/>
    <w:rsid w:val="001C2D2B"/>
    <w:rsid w:val="001C2DC1"/>
    <w:rsid w:val="001C3704"/>
    <w:rsid w:val="001C3C86"/>
    <w:rsid w:val="001C3D2A"/>
    <w:rsid w:val="001C5E64"/>
    <w:rsid w:val="001C61EC"/>
    <w:rsid w:val="001C62C4"/>
    <w:rsid w:val="001C6912"/>
    <w:rsid w:val="001C7C48"/>
    <w:rsid w:val="001D05A0"/>
    <w:rsid w:val="001D0A51"/>
    <w:rsid w:val="001D2463"/>
    <w:rsid w:val="001D3D50"/>
    <w:rsid w:val="001D4BF8"/>
    <w:rsid w:val="001D51BA"/>
    <w:rsid w:val="001D6342"/>
    <w:rsid w:val="001D6D53"/>
    <w:rsid w:val="001E0F2E"/>
    <w:rsid w:val="001E2E0E"/>
    <w:rsid w:val="001E3E2D"/>
    <w:rsid w:val="001E58E2"/>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1EE"/>
    <w:rsid w:val="001F622F"/>
    <w:rsid w:val="001F662C"/>
    <w:rsid w:val="001F695C"/>
    <w:rsid w:val="001F7074"/>
    <w:rsid w:val="001F764A"/>
    <w:rsid w:val="00200490"/>
    <w:rsid w:val="002010D7"/>
    <w:rsid w:val="00201316"/>
    <w:rsid w:val="00201F3A"/>
    <w:rsid w:val="00202570"/>
    <w:rsid w:val="00203234"/>
    <w:rsid w:val="002036B7"/>
    <w:rsid w:val="00203BE4"/>
    <w:rsid w:val="00203F96"/>
    <w:rsid w:val="0020603E"/>
    <w:rsid w:val="002069B2"/>
    <w:rsid w:val="00207FA3"/>
    <w:rsid w:val="00210B44"/>
    <w:rsid w:val="0021361D"/>
    <w:rsid w:val="00214DA8"/>
    <w:rsid w:val="00215423"/>
    <w:rsid w:val="002158FA"/>
    <w:rsid w:val="00217327"/>
    <w:rsid w:val="00217B8B"/>
    <w:rsid w:val="00220600"/>
    <w:rsid w:val="00220898"/>
    <w:rsid w:val="00220A26"/>
    <w:rsid w:val="00220F6A"/>
    <w:rsid w:val="00221B07"/>
    <w:rsid w:val="002224DB"/>
    <w:rsid w:val="00222954"/>
    <w:rsid w:val="00223FCB"/>
    <w:rsid w:val="002252C3"/>
    <w:rsid w:val="00225B70"/>
    <w:rsid w:val="00225C54"/>
    <w:rsid w:val="00230765"/>
    <w:rsid w:val="00230884"/>
    <w:rsid w:val="002319E4"/>
    <w:rsid w:val="00231FD9"/>
    <w:rsid w:val="00233452"/>
    <w:rsid w:val="00235632"/>
    <w:rsid w:val="00235872"/>
    <w:rsid w:val="00235D08"/>
    <w:rsid w:val="0023616A"/>
    <w:rsid w:val="00237B43"/>
    <w:rsid w:val="00240C65"/>
    <w:rsid w:val="00240C73"/>
    <w:rsid w:val="00241559"/>
    <w:rsid w:val="00241823"/>
    <w:rsid w:val="002435B3"/>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04B"/>
    <w:rsid w:val="00263562"/>
    <w:rsid w:val="00264093"/>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28E"/>
    <w:rsid w:val="00275A6F"/>
    <w:rsid w:val="0027607F"/>
    <w:rsid w:val="002760AF"/>
    <w:rsid w:val="00276AB0"/>
    <w:rsid w:val="002772D2"/>
    <w:rsid w:val="00277C97"/>
    <w:rsid w:val="002805F5"/>
    <w:rsid w:val="00280751"/>
    <w:rsid w:val="0028168C"/>
    <w:rsid w:val="00281C74"/>
    <w:rsid w:val="0028280A"/>
    <w:rsid w:val="00283898"/>
    <w:rsid w:val="00283E92"/>
    <w:rsid w:val="00286ACD"/>
    <w:rsid w:val="00286DB3"/>
    <w:rsid w:val="00287838"/>
    <w:rsid w:val="00287875"/>
    <w:rsid w:val="00290725"/>
    <w:rsid w:val="002907B5"/>
    <w:rsid w:val="00290A18"/>
    <w:rsid w:val="00290B65"/>
    <w:rsid w:val="00290FBD"/>
    <w:rsid w:val="00291424"/>
    <w:rsid w:val="00291A8A"/>
    <w:rsid w:val="00291E33"/>
    <w:rsid w:val="00292452"/>
    <w:rsid w:val="00292E1A"/>
    <w:rsid w:val="00292EB7"/>
    <w:rsid w:val="002953E4"/>
    <w:rsid w:val="00295EEB"/>
    <w:rsid w:val="00296227"/>
    <w:rsid w:val="00296F44"/>
    <w:rsid w:val="0029777D"/>
    <w:rsid w:val="00297E15"/>
    <w:rsid w:val="002A055E"/>
    <w:rsid w:val="002A113B"/>
    <w:rsid w:val="002A1D4E"/>
    <w:rsid w:val="002A2869"/>
    <w:rsid w:val="002A43E0"/>
    <w:rsid w:val="002A4BED"/>
    <w:rsid w:val="002A6349"/>
    <w:rsid w:val="002A79F3"/>
    <w:rsid w:val="002B24D6"/>
    <w:rsid w:val="002B32C4"/>
    <w:rsid w:val="002B37DA"/>
    <w:rsid w:val="002B4600"/>
    <w:rsid w:val="002B4AEC"/>
    <w:rsid w:val="002B5CA6"/>
    <w:rsid w:val="002B6F5F"/>
    <w:rsid w:val="002B7005"/>
    <w:rsid w:val="002B7CA0"/>
    <w:rsid w:val="002C0991"/>
    <w:rsid w:val="002C0C8F"/>
    <w:rsid w:val="002C1069"/>
    <w:rsid w:val="002C150A"/>
    <w:rsid w:val="002C175B"/>
    <w:rsid w:val="002C24B8"/>
    <w:rsid w:val="002C398A"/>
    <w:rsid w:val="002C41E6"/>
    <w:rsid w:val="002C4C5F"/>
    <w:rsid w:val="002C5546"/>
    <w:rsid w:val="002C58F2"/>
    <w:rsid w:val="002C6DA0"/>
    <w:rsid w:val="002C7D5C"/>
    <w:rsid w:val="002D071A"/>
    <w:rsid w:val="002D1555"/>
    <w:rsid w:val="002D2401"/>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F054D"/>
    <w:rsid w:val="002F093C"/>
    <w:rsid w:val="002F0B7A"/>
    <w:rsid w:val="002F2275"/>
    <w:rsid w:val="002F2771"/>
    <w:rsid w:val="002F2903"/>
    <w:rsid w:val="002F37A9"/>
    <w:rsid w:val="002F4378"/>
    <w:rsid w:val="002F4D20"/>
    <w:rsid w:val="002F535A"/>
    <w:rsid w:val="003019C5"/>
    <w:rsid w:val="00301CE6"/>
    <w:rsid w:val="00301E15"/>
    <w:rsid w:val="00302002"/>
    <w:rsid w:val="0030256B"/>
    <w:rsid w:val="0030320B"/>
    <w:rsid w:val="0030501F"/>
    <w:rsid w:val="00306A48"/>
    <w:rsid w:val="00306C6D"/>
    <w:rsid w:val="00306CF6"/>
    <w:rsid w:val="00307BA1"/>
    <w:rsid w:val="0031052F"/>
    <w:rsid w:val="00310D81"/>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A2C"/>
    <w:rsid w:val="00322C9F"/>
    <w:rsid w:val="00322F72"/>
    <w:rsid w:val="00324689"/>
    <w:rsid w:val="00324D23"/>
    <w:rsid w:val="003267AD"/>
    <w:rsid w:val="00326AB8"/>
    <w:rsid w:val="00326E3A"/>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0F5D"/>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AC"/>
    <w:rsid w:val="0037576B"/>
    <w:rsid w:val="003757C8"/>
    <w:rsid w:val="00375F80"/>
    <w:rsid w:val="0037789C"/>
    <w:rsid w:val="00377CE1"/>
    <w:rsid w:val="0038104B"/>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0592"/>
    <w:rsid w:val="003B0A7B"/>
    <w:rsid w:val="003B159C"/>
    <w:rsid w:val="003B28F8"/>
    <w:rsid w:val="003B2D2B"/>
    <w:rsid w:val="003B2E45"/>
    <w:rsid w:val="003B369F"/>
    <w:rsid w:val="003B36A3"/>
    <w:rsid w:val="003B4154"/>
    <w:rsid w:val="003B6C83"/>
    <w:rsid w:val="003B6F4C"/>
    <w:rsid w:val="003B790B"/>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3F79C6"/>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4169"/>
    <w:rsid w:val="00434F80"/>
    <w:rsid w:val="004373CD"/>
    <w:rsid w:val="00437447"/>
    <w:rsid w:val="00437749"/>
    <w:rsid w:val="00437B1F"/>
    <w:rsid w:val="004402B8"/>
    <w:rsid w:val="004411E6"/>
    <w:rsid w:val="00441A92"/>
    <w:rsid w:val="00442AE3"/>
    <w:rsid w:val="0044367F"/>
    <w:rsid w:val="00443C37"/>
    <w:rsid w:val="00444812"/>
    <w:rsid w:val="00444E2B"/>
    <w:rsid w:val="00444F56"/>
    <w:rsid w:val="00445C48"/>
    <w:rsid w:val="00445E95"/>
    <w:rsid w:val="00446488"/>
    <w:rsid w:val="004473CD"/>
    <w:rsid w:val="004517AA"/>
    <w:rsid w:val="00452CAC"/>
    <w:rsid w:val="00452E44"/>
    <w:rsid w:val="004542D3"/>
    <w:rsid w:val="00454971"/>
    <w:rsid w:val="00454E63"/>
    <w:rsid w:val="004553CD"/>
    <w:rsid w:val="00456A1A"/>
    <w:rsid w:val="00457565"/>
    <w:rsid w:val="00457B71"/>
    <w:rsid w:val="00457BF8"/>
    <w:rsid w:val="0046071E"/>
    <w:rsid w:val="0046140B"/>
    <w:rsid w:val="00462CFD"/>
    <w:rsid w:val="004637F1"/>
    <w:rsid w:val="004669E2"/>
    <w:rsid w:val="00470C31"/>
    <w:rsid w:val="00471D48"/>
    <w:rsid w:val="004734D0"/>
    <w:rsid w:val="004754FE"/>
    <w:rsid w:val="0047556B"/>
    <w:rsid w:val="00477532"/>
    <w:rsid w:val="00477768"/>
    <w:rsid w:val="00483F5C"/>
    <w:rsid w:val="0048759D"/>
    <w:rsid w:val="004904DC"/>
    <w:rsid w:val="00491A7E"/>
    <w:rsid w:val="0049204D"/>
    <w:rsid w:val="00492BC5"/>
    <w:rsid w:val="00492C93"/>
    <w:rsid w:val="004943DD"/>
    <w:rsid w:val="00495157"/>
    <w:rsid w:val="004960A2"/>
    <w:rsid w:val="004964F1"/>
    <w:rsid w:val="004A0D50"/>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7B4"/>
    <w:rsid w:val="004C3898"/>
    <w:rsid w:val="004C44E2"/>
    <w:rsid w:val="004C49A9"/>
    <w:rsid w:val="004C56F3"/>
    <w:rsid w:val="004C581F"/>
    <w:rsid w:val="004C62F0"/>
    <w:rsid w:val="004C7B71"/>
    <w:rsid w:val="004D0277"/>
    <w:rsid w:val="004D05BA"/>
    <w:rsid w:val="004D0C63"/>
    <w:rsid w:val="004D2C1E"/>
    <w:rsid w:val="004D36B1"/>
    <w:rsid w:val="004D3E66"/>
    <w:rsid w:val="004D422D"/>
    <w:rsid w:val="004D5965"/>
    <w:rsid w:val="004D59CC"/>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9FF"/>
    <w:rsid w:val="004F0B4E"/>
    <w:rsid w:val="004F0B6C"/>
    <w:rsid w:val="004F147D"/>
    <w:rsid w:val="004F1FCC"/>
    <w:rsid w:val="004F2078"/>
    <w:rsid w:val="004F2E0C"/>
    <w:rsid w:val="004F39A8"/>
    <w:rsid w:val="004F3AD2"/>
    <w:rsid w:val="004F4229"/>
    <w:rsid w:val="004F489B"/>
    <w:rsid w:val="004F4DA3"/>
    <w:rsid w:val="004F4E80"/>
    <w:rsid w:val="004F77C3"/>
    <w:rsid w:val="00500869"/>
    <w:rsid w:val="0050126F"/>
    <w:rsid w:val="0050168B"/>
    <w:rsid w:val="0050214C"/>
    <w:rsid w:val="00503FE2"/>
    <w:rsid w:val="00504015"/>
    <w:rsid w:val="005041BF"/>
    <w:rsid w:val="005044C8"/>
    <w:rsid w:val="00505039"/>
    <w:rsid w:val="00505909"/>
    <w:rsid w:val="00505AE9"/>
    <w:rsid w:val="0050645B"/>
    <w:rsid w:val="005064EA"/>
    <w:rsid w:val="00506557"/>
    <w:rsid w:val="0050677A"/>
    <w:rsid w:val="00506F72"/>
    <w:rsid w:val="005070AC"/>
    <w:rsid w:val="00507522"/>
    <w:rsid w:val="005108D8"/>
    <w:rsid w:val="005116F9"/>
    <w:rsid w:val="005134F0"/>
    <w:rsid w:val="00513E57"/>
    <w:rsid w:val="00514CE6"/>
    <w:rsid w:val="005153A7"/>
    <w:rsid w:val="00515B78"/>
    <w:rsid w:val="00516FD5"/>
    <w:rsid w:val="005208ED"/>
    <w:rsid w:val="0052140A"/>
    <w:rsid w:val="005219CF"/>
    <w:rsid w:val="00522B8C"/>
    <w:rsid w:val="00523EDF"/>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99"/>
    <w:rsid w:val="00537C62"/>
    <w:rsid w:val="00541A9B"/>
    <w:rsid w:val="00541C62"/>
    <w:rsid w:val="00542EFA"/>
    <w:rsid w:val="00542F91"/>
    <w:rsid w:val="005432D3"/>
    <w:rsid w:val="0054397C"/>
    <w:rsid w:val="00544144"/>
    <w:rsid w:val="005445F8"/>
    <w:rsid w:val="00544D7B"/>
    <w:rsid w:val="005450AB"/>
    <w:rsid w:val="00546326"/>
    <w:rsid w:val="0054637F"/>
    <w:rsid w:val="00546970"/>
    <w:rsid w:val="00547F5F"/>
    <w:rsid w:val="00550039"/>
    <w:rsid w:val="00550351"/>
    <w:rsid w:val="00550998"/>
    <w:rsid w:val="00551144"/>
    <w:rsid w:val="00552AA2"/>
    <w:rsid w:val="00554B26"/>
    <w:rsid w:val="00554E19"/>
    <w:rsid w:val="00555776"/>
    <w:rsid w:val="00555BE7"/>
    <w:rsid w:val="005564F9"/>
    <w:rsid w:val="0055725B"/>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61CC"/>
    <w:rsid w:val="005764D3"/>
    <w:rsid w:val="005809C0"/>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70"/>
    <w:rsid w:val="00594BED"/>
    <w:rsid w:val="00595DCA"/>
    <w:rsid w:val="0059779B"/>
    <w:rsid w:val="0059781F"/>
    <w:rsid w:val="005A0DE5"/>
    <w:rsid w:val="005A209A"/>
    <w:rsid w:val="005A320A"/>
    <w:rsid w:val="005A3D1F"/>
    <w:rsid w:val="005A42E9"/>
    <w:rsid w:val="005A4AA0"/>
    <w:rsid w:val="005A5039"/>
    <w:rsid w:val="005A662D"/>
    <w:rsid w:val="005B077E"/>
    <w:rsid w:val="005B08AD"/>
    <w:rsid w:val="005B1DF8"/>
    <w:rsid w:val="005B1FDE"/>
    <w:rsid w:val="005B35D7"/>
    <w:rsid w:val="005B392A"/>
    <w:rsid w:val="005B3AA3"/>
    <w:rsid w:val="005B4C8D"/>
    <w:rsid w:val="005B6F83"/>
    <w:rsid w:val="005B7D40"/>
    <w:rsid w:val="005C1E79"/>
    <w:rsid w:val="005C4CE1"/>
    <w:rsid w:val="005C5398"/>
    <w:rsid w:val="005C594D"/>
    <w:rsid w:val="005C6AA7"/>
    <w:rsid w:val="005C73B2"/>
    <w:rsid w:val="005C74FB"/>
    <w:rsid w:val="005D14E9"/>
    <w:rsid w:val="005D1602"/>
    <w:rsid w:val="005D2618"/>
    <w:rsid w:val="005D271E"/>
    <w:rsid w:val="005D298E"/>
    <w:rsid w:val="005D36BC"/>
    <w:rsid w:val="005D3B3F"/>
    <w:rsid w:val="005D531A"/>
    <w:rsid w:val="005D5591"/>
    <w:rsid w:val="005D5AC7"/>
    <w:rsid w:val="005E05AF"/>
    <w:rsid w:val="005E09E0"/>
    <w:rsid w:val="005E0ABB"/>
    <w:rsid w:val="005E18F7"/>
    <w:rsid w:val="005E333D"/>
    <w:rsid w:val="005E385F"/>
    <w:rsid w:val="005E3A88"/>
    <w:rsid w:val="005E4BD2"/>
    <w:rsid w:val="005E5B81"/>
    <w:rsid w:val="005E71D7"/>
    <w:rsid w:val="005E7585"/>
    <w:rsid w:val="005E7C95"/>
    <w:rsid w:val="005E7CA0"/>
    <w:rsid w:val="005F0AD9"/>
    <w:rsid w:val="005F18B5"/>
    <w:rsid w:val="005F1E6A"/>
    <w:rsid w:val="005F1E9C"/>
    <w:rsid w:val="005F2CB1"/>
    <w:rsid w:val="005F4DD4"/>
    <w:rsid w:val="005F5C83"/>
    <w:rsid w:val="005F618C"/>
    <w:rsid w:val="005F70BD"/>
    <w:rsid w:val="005F7C8B"/>
    <w:rsid w:val="005F7D82"/>
    <w:rsid w:val="00600DF6"/>
    <w:rsid w:val="0060283C"/>
    <w:rsid w:val="00602F5F"/>
    <w:rsid w:val="0060342F"/>
    <w:rsid w:val="00604C51"/>
    <w:rsid w:val="00604F14"/>
    <w:rsid w:val="00605E57"/>
    <w:rsid w:val="006110E9"/>
    <w:rsid w:val="00611B83"/>
    <w:rsid w:val="0061227D"/>
    <w:rsid w:val="0061303F"/>
    <w:rsid w:val="00613257"/>
    <w:rsid w:val="00615EB7"/>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46F"/>
    <w:rsid w:val="006377DC"/>
    <w:rsid w:val="006377EC"/>
    <w:rsid w:val="00637AA2"/>
    <w:rsid w:val="00641034"/>
    <w:rsid w:val="0064151F"/>
    <w:rsid w:val="00641533"/>
    <w:rsid w:val="0064208D"/>
    <w:rsid w:val="00642E03"/>
    <w:rsid w:val="00643005"/>
    <w:rsid w:val="00643475"/>
    <w:rsid w:val="0064396A"/>
    <w:rsid w:val="00644D39"/>
    <w:rsid w:val="0064624E"/>
    <w:rsid w:val="006463EB"/>
    <w:rsid w:val="00646F6C"/>
    <w:rsid w:val="006474B7"/>
    <w:rsid w:val="00650AB9"/>
    <w:rsid w:val="00650AC6"/>
    <w:rsid w:val="0065117F"/>
    <w:rsid w:val="0065319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1003"/>
    <w:rsid w:val="006817C9"/>
    <w:rsid w:val="006825DE"/>
    <w:rsid w:val="00683041"/>
    <w:rsid w:val="00683ECE"/>
    <w:rsid w:val="00684318"/>
    <w:rsid w:val="006854DA"/>
    <w:rsid w:val="00686C92"/>
    <w:rsid w:val="00687516"/>
    <w:rsid w:val="00687AD3"/>
    <w:rsid w:val="006900D2"/>
    <w:rsid w:val="006919F4"/>
    <w:rsid w:val="0069332A"/>
    <w:rsid w:val="00695429"/>
    <w:rsid w:val="00695571"/>
    <w:rsid w:val="00695FC2"/>
    <w:rsid w:val="006964BF"/>
    <w:rsid w:val="00696949"/>
    <w:rsid w:val="00697052"/>
    <w:rsid w:val="00697B40"/>
    <w:rsid w:val="006A0E9D"/>
    <w:rsid w:val="006A1EA7"/>
    <w:rsid w:val="006A2296"/>
    <w:rsid w:val="006A3DA6"/>
    <w:rsid w:val="006A46FB"/>
    <w:rsid w:val="006A5E28"/>
    <w:rsid w:val="006A697B"/>
    <w:rsid w:val="006A7AFF"/>
    <w:rsid w:val="006B0262"/>
    <w:rsid w:val="006B1816"/>
    <w:rsid w:val="006B2099"/>
    <w:rsid w:val="006B2160"/>
    <w:rsid w:val="006B217F"/>
    <w:rsid w:val="006B48F9"/>
    <w:rsid w:val="006B50CF"/>
    <w:rsid w:val="006B6F91"/>
    <w:rsid w:val="006B787C"/>
    <w:rsid w:val="006B79F6"/>
    <w:rsid w:val="006B7AD4"/>
    <w:rsid w:val="006C03B8"/>
    <w:rsid w:val="006C1A56"/>
    <w:rsid w:val="006C2769"/>
    <w:rsid w:val="006C2899"/>
    <w:rsid w:val="006C512F"/>
    <w:rsid w:val="006C59B5"/>
    <w:rsid w:val="006C5EC9"/>
    <w:rsid w:val="006C6059"/>
    <w:rsid w:val="006C7522"/>
    <w:rsid w:val="006D0150"/>
    <w:rsid w:val="006D089D"/>
    <w:rsid w:val="006D2885"/>
    <w:rsid w:val="006D36EA"/>
    <w:rsid w:val="006D3B50"/>
    <w:rsid w:val="006D45DC"/>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73D"/>
    <w:rsid w:val="006E7265"/>
    <w:rsid w:val="006E7D3B"/>
    <w:rsid w:val="006F017E"/>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8F6"/>
    <w:rsid w:val="00704BEF"/>
    <w:rsid w:val="00704EDB"/>
    <w:rsid w:val="007051B1"/>
    <w:rsid w:val="0070590A"/>
    <w:rsid w:val="00705941"/>
    <w:rsid w:val="00706101"/>
    <w:rsid w:val="00706EF7"/>
    <w:rsid w:val="00707072"/>
    <w:rsid w:val="007071A0"/>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3677"/>
    <w:rsid w:val="007348B1"/>
    <w:rsid w:val="00734964"/>
    <w:rsid w:val="007354EB"/>
    <w:rsid w:val="007362A6"/>
    <w:rsid w:val="00736D7D"/>
    <w:rsid w:val="007373DD"/>
    <w:rsid w:val="0074084F"/>
    <w:rsid w:val="00740E09"/>
    <w:rsid w:val="00740E58"/>
    <w:rsid w:val="00741A90"/>
    <w:rsid w:val="00742FBB"/>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2DD8"/>
    <w:rsid w:val="007735E8"/>
    <w:rsid w:val="00774F62"/>
    <w:rsid w:val="007755F2"/>
    <w:rsid w:val="0077658D"/>
    <w:rsid w:val="00776971"/>
    <w:rsid w:val="0077777F"/>
    <w:rsid w:val="007810D8"/>
    <w:rsid w:val="0078177E"/>
    <w:rsid w:val="007821C9"/>
    <w:rsid w:val="00782582"/>
    <w:rsid w:val="00782B8F"/>
    <w:rsid w:val="0078304C"/>
    <w:rsid w:val="00783673"/>
    <w:rsid w:val="00785490"/>
    <w:rsid w:val="00786256"/>
    <w:rsid w:val="007868B5"/>
    <w:rsid w:val="0079021B"/>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97D"/>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819"/>
    <w:rsid w:val="007F2BD1"/>
    <w:rsid w:val="007F323D"/>
    <w:rsid w:val="007F4162"/>
    <w:rsid w:val="007F4617"/>
    <w:rsid w:val="007F4970"/>
    <w:rsid w:val="007F4C5C"/>
    <w:rsid w:val="007F5C5F"/>
    <w:rsid w:val="007F6545"/>
    <w:rsid w:val="007F677A"/>
    <w:rsid w:val="007F7F92"/>
    <w:rsid w:val="00800320"/>
    <w:rsid w:val="008005CC"/>
    <w:rsid w:val="00802434"/>
    <w:rsid w:val="008036CD"/>
    <w:rsid w:val="00803FAE"/>
    <w:rsid w:val="00804668"/>
    <w:rsid w:val="008047B5"/>
    <w:rsid w:val="00804F23"/>
    <w:rsid w:val="00805836"/>
    <w:rsid w:val="0080605F"/>
    <w:rsid w:val="00807786"/>
    <w:rsid w:val="00807DD0"/>
    <w:rsid w:val="00811DE7"/>
    <w:rsid w:val="00811FCB"/>
    <w:rsid w:val="00812B39"/>
    <w:rsid w:val="00813515"/>
    <w:rsid w:val="008146E3"/>
    <w:rsid w:val="00814D22"/>
    <w:rsid w:val="008158D6"/>
    <w:rsid w:val="00815DD8"/>
    <w:rsid w:val="00817196"/>
    <w:rsid w:val="0082004E"/>
    <w:rsid w:val="00820B98"/>
    <w:rsid w:val="00821222"/>
    <w:rsid w:val="00822046"/>
    <w:rsid w:val="008235DB"/>
    <w:rsid w:val="008237E6"/>
    <w:rsid w:val="008241C2"/>
    <w:rsid w:val="00824AB4"/>
    <w:rsid w:val="008252E8"/>
    <w:rsid w:val="00825C42"/>
    <w:rsid w:val="00825D25"/>
    <w:rsid w:val="008266BE"/>
    <w:rsid w:val="00827D6F"/>
    <w:rsid w:val="008304AF"/>
    <w:rsid w:val="00832D3C"/>
    <w:rsid w:val="00832FC7"/>
    <w:rsid w:val="00833910"/>
    <w:rsid w:val="00833F1A"/>
    <w:rsid w:val="008355C6"/>
    <w:rsid w:val="00835CA8"/>
    <w:rsid w:val="00837027"/>
    <w:rsid w:val="008376AC"/>
    <w:rsid w:val="00837FC3"/>
    <w:rsid w:val="008417EF"/>
    <w:rsid w:val="0084225C"/>
    <w:rsid w:val="00842883"/>
    <w:rsid w:val="00842E3B"/>
    <w:rsid w:val="008444E8"/>
    <w:rsid w:val="00844E80"/>
    <w:rsid w:val="0084599E"/>
    <w:rsid w:val="008462CF"/>
    <w:rsid w:val="00846A06"/>
    <w:rsid w:val="00846FE7"/>
    <w:rsid w:val="00847FD0"/>
    <w:rsid w:val="00850813"/>
    <w:rsid w:val="008515FF"/>
    <w:rsid w:val="008537EC"/>
    <w:rsid w:val="008539C6"/>
    <w:rsid w:val="00853F44"/>
    <w:rsid w:val="00853FA9"/>
    <w:rsid w:val="00854762"/>
    <w:rsid w:val="0085583D"/>
    <w:rsid w:val="00855B3D"/>
    <w:rsid w:val="00856911"/>
    <w:rsid w:val="0085722A"/>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EEA"/>
    <w:rsid w:val="00883893"/>
    <w:rsid w:val="00884AC5"/>
    <w:rsid w:val="00884D45"/>
    <w:rsid w:val="00885720"/>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21FF"/>
    <w:rsid w:val="008A23CB"/>
    <w:rsid w:val="008A2C27"/>
    <w:rsid w:val="008A2CE2"/>
    <w:rsid w:val="008A2DE7"/>
    <w:rsid w:val="008A30AC"/>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0D0"/>
    <w:rsid w:val="008B51A0"/>
    <w:rsid w:val="008B592A"/>
    <w:rsid w:val="008B5B73"/>
    <w:rsid w:val="008B7B5C"/>
    <w:rsid w:val="008C0C99"/>
    <w:rsid w:val="008C2017"/>
    <w:rsid w:val="008C30D0"/>
    <w:rsid w:val="008C3B20"/>
    <w:rsid w:val="008C3D8C"/>
    <w:rsid w:val="008C4958"/>
    <w:rsid w:val="008C4BAA"/>
    <w:rsid w:val="008C4DC3"/>
    <w:rsid w:val="008C6AE8"/>
    <w:rsid w:val="008C7573"/>
    <w:rsid w:val="008C78A1"/>
    <w:rsid w:val="008C7CBC"/>
    <w:rsid w:val="008D26C9"/>
    <w:rsid w:val="008D34F1"/>
    <w:rsid w:val="008D39D8"/>
    <w:rsid w:val="008D3BFB"/>
    <w:rsid w:val="008D4078"/>
    <w:rsid w:val="008D434E"/>
    <w:rsid w:val="008D64B0"/>
    <w:rsid w:val="008D6D1A"/>
    <w:rsid w:val="008E0927"/>
    <w:rsid w:val="008E1699"/>
    <w:rsid w:val="008E1909"/>
    <w:rsid w:val="008E384D"/>
    <w:rsid w:val="008E51A4"/>
    <w:rsid w:val="008E6CCB"/>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5F96"/>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6EA"/>
    <w:rsid w:val="009229B6"/>
    <w:rsid w:val="0092351A"/>
    <w:rsid w:val="009235E1"/>
    <w:rsid w:val="009236A8"/>
    <w:rsid w:val="00924137"/>
    <w:rsid w:val="009246D7"/>
    <w:rsid w:val="00927496"/>
    <w:rsid w:val="0092764F"/>
    <w:rsid w:val="00927AC5"/>
    <w:rsid w:val="00931B91"/>
    <w:rsid w:val="00931BD9"/>
    <w:rsid w:val="00932934"/>
    <w:rsid w:val="00933153"/>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3E6D"/>
    <w:rsid w:val="00954340"/>
    <w:rsid w:val="009562A6"/>
    <w:rsid w:val="0095681E"/>
    <w:rsid w:val="00956BCA"/>
    <w:rsid w:val="00956DF1"/>
    <w:rsid w:val="00956E62"/>
    <w:rsid w:val="009572D4"/>
    <w:rsid w:val="00957EE7"/>
    <w:rsid w:val="00960217"/>
    <w:rsid w:val="00961921"/>
    <w:rsid w:val="00962D8B"/>
    <w:rsid w:val="0096430A"/>
    <w:rsid w:val="00964939"/>
    <w:rsid w:val="00965045"/>
    <w:rsid w:val="0096541D"/>
    <w:rsid w:val="0096554B"/>
    <w:rsid w:val="0096584A"/>
    <w:rsid w:val="00966245"/>
    <w:rsid w:val="00970186"/>
    <w:rsid w:val="0097089F"/>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77DA2"/>
    <w:rsid w:val="00980477"/>
    <w:rsid w:val="00980FA7"/>
    <w:rsid w:val="009815F1"/>
    <w:rsid w:val="00982E5A"/>
    <w:rsid w:val="009833EC"/>
    <w:rsid w:val="009835E8"/>
    <w:rsid w:val="009835FF"/>
    <w:rsid w:val="00985253"/>
    <w:rsid w:val="009853B3"/>
    <w:rsid w:val="00987111"/>
    <w:rsid w:val="0099019B"/>
    <w:rsid w:val="00990630"/>
    <w:rsid w:val="00990C65"/>
    <w:rsid w:val="00991761"/>
    <w:rsid w:val="00994DCA"/>
    <w:rsid w:val="0099509C"/>
    <w:rsid w:val="00995817"/>
    <w:rsid w:val="009960EC"/>
    <w:rsid w:val="009970DD"/>
    <w:rsid w:val="009A0176"/>
    <w:rsid w:val="009A0FBA"/>
    <w:rsid w:val="009A1601"/>
    <w:rsid w:val="009A165E"/>
    <w:rsid w:val="009A1DC4"/>
    <w:rsid w:val="009A1E85"/>
    <w:rsid w:val="009A31E4"/>
    <w:rsid w:val="009A36DB"/>
    <w:rsid w:val="009A462D"/>
    <w:rsid w:val="009A5C7C"/>
    <w:rsid w:val="009A5CBA"/>
    <w:rsid w:val="009A63F5"/>
    <w:rsid w:val="009A7823"/>
    <w:rsid w:val="009B093A"/>
    <w:rsid w:val="009B177A"/>
    <w:rsid w:val="009B1F30"/>
    <w:rsid w:val="009B363E"/>
    <w:rsid w:val="009B3AC2"/>
    <w:rsid w:val="009B4DF4"/>
    <w:rsid w:val="009B5106"/>
    <w:rsid w:val="009B564E"/>
    <w:rsid w:val="009B583D"/>
    <w:rsid w:val="009B5D51"/>
    <w:rsid w:val="009B6B70"/>
    <w:rsid w:val="009B6E21"/>
    <w:rsid w:val="009B7459"/>
    <w:rsid w:val="009B7E87"/>
    <w:rsid w:val="009C0079"/>
    <w:rsid w:val="009C14F8"/>
    <w:rsid w:val="009C1AEA"/>
    <w:rsid w:val="009C25C6"/>
    <w:rsid w:val="009C27F7"/>
    <w:rsid w:val="009C30C7"/>
    <w:rsid w:val="009C3911"/>
    <w:rsid w:val="009C3E63"/>
    <w:rsid w:val="009C403E"/>
    <w:rsid w:val="009C55F1"/>
    <w:rsid w:val="009D4787"/>
    <w:rsid w:val="009D4FF0"/>
    <w:rsid w:val="009D5162"/>
    <w:rsid w:val="009D703C"/>
    <w:rsid w:val="009D718F"/>
    <w:rsid w:val="009E068F"/>
    <w:rsid w:val="009E14E0"/>
    <w:rsid w:val="009E274A"/>
    <w:rsid w:val="009E35DB"/>
    <w:rsid w:val="009E3D2A"/>
    <w:rsid w:val="009E47A3"/>
    <w:rsid w:val="009E5C9E"/>
    <w:rsid w:val="009E6629"/>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2F7C"/>
    <w:rsid w:val="00A0395C"/>
    <w:rsid w:val="00A048A8"/>
    <w:rsid w:val="00A04B0A"/>
    <w:rsid w:val="00A05C08"/>
    <w:rsid w:val="00A06126"/>
    <w:rsid w:val="00A06E33"/>
    <w:rsid w:val="00A0750F"/>
    <w:rsid w:val="00A077F6"/>
    <w:rsid w:val="00A11FCA"/>
    <w:rsid w:val="00A12C0B"/>
    <w:rsid w:val="00A13E54"/>
    <w:rsid w:val="00A140AA"/>
    <w:rsid w:val="00A15115"/>
    <w:rsid w:val="00A17A1B"/>
    <w:rsid w:val="00A17F63"/>
    <w:rsid w:val="00A212A7"/>
    <w:rsid w:val="00A2193B"/>
    <w:rsid w:val="00A21C7B"/>
    <w:rsid w:val="00A22C8B"/>
    <w:rsid w:val="00A22F78"/>
    <w:rsid w:val="00A23116"/>
    <w:rsid w:val="00A2351A"/>
    <w:rsid w:val="00A25460"/>
    <w:rsid w:val="00A25BC0"/>
    <w:rsid w:val="00A264A9"/>
    <w:rsid w:val="00A266F6"/>
    <w:rsid w:val="00A27785"/>
    <w:rsid w:val="00A27A0C"/>
    <w:rsid w:val="00A27D88"/>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967"/>
    <w:rsid w:val="00A41E2B"/>
    <w:rsid w:val="00A425CB"/>
    <w:rsid w:val="00A439BD"/>
    <w:rsid w:val="00A44D55"/>
    <w:rsid w:val="00A454FE"/>
    <w:rsid w:val="00A4566D"/>
    <w:rsid w:val="00A45B74"/>
    <w:rsid w:val="00A45B7D"/>
    <w:rsid w:val="00A47803"/>
    <w:rsid w:val="00A47904"/>
    <w:rsid w:val="00A50367"/>
    <w:rsid w:val="00A5041F"/>
    <w:rsid w:val="00A525B7"/>
    <w:rsid w:val="00A52E1D"/>
    <w:rsid w:val="00A54646"/>
    <w:rsid w:val="00A556D2"/>
    <w:rsid w:val="00A55E64"/>
    <w:rsid w:val="00A56786"/>
    <w:rsid w:val="00A56BAD"/>
    <w:rsid w:val="00A57B16"/>
    <w:rsid w:val="00A57BE4"/>
    <w:rsid w:val="00A60FBD"/>
    <w:rsid w:val="00A61499"/>
    <w:rsid w:val="00A629A9"/>
    <w:rsid w:val="00A62A77"/>
    <w:rsid w:val="00A63483"/>
    <w:rsid w:val="00A649C9"/>
    <w:rsid w:val="00A64D48"/>
    <w:rsid w:val="00A657D7"/>
    <w:rsid w:val="00A660AC"/>
    <w:rsid w:val="00A67CB3"/>
    <w:rsid w:val="00A67E6C"/>
    <w:rsid w:val="00A70332"/>
    <w:rsid w:val="00A71B3E"/>
    <w:rsid w:val="00A71B99"/>
    <w:rsid w:val="00A71DCB"/>
    <w:rsid w:val="00A71F17"/>
    <w:rsid w:val="00A71FB8"/>
    <w:rsid w:val="00A739D0"/>
    <w:rsid w:val="00A73E7C"/>
    <w:rsid w:val="00A73E91"/>
    <w:rsid w:val="00A761D4"/>
    <w:rsid w:val="00A76437"/>
    <w:rsid w:val="00A77D1F"/>
    <w:rsid w:val="00A77EC4"/>
    <w:rsid w:val="00A8000B"/>
    <w:rsid w:val="00A80A63"/>
    <w:rsid w:val="00A80BDE"/>
    <w:rsid w:val="00A810A3"/>
    <w:rsid w:val="00A827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80E"/>
    <w:rsid w:val="00AA1ED6"/>
    <w:rsid w:val="00AA1F02"/>
    <w:rsid w:val="00AA37D7"/>
    <w:rsid w:val="00AA3CB6"/>
    <w:rsid w:val="00AA51D6"/>
    <w:rsid w:val="00AA681C"/>
    <w:rsid w:val="00AA7C1F"/>
    <w:rsid w:val="00AB0362"/>
    <w:rsid w:val="00AB0780"/>
    <w:rsid w:val="00AB0BC8"/>
    <w:rsid w:val="00AB11CA"/>
    <w:rsid w:val="00AB14D9"/>
    <w:rsid w:val="00AB2C1B"/>
    <w:rsid w:val="00AB307F"/>
    <w:rsid w:val="00AB4185"/>
    <w:rsid w:val="00AB4AB8"/>
    <w:rsid w:val="00AB655E"/>
    <w:rsid w:val="00AB6D1D"/>
    <w:rsid w:val="00AC007F"/>
    <w:rsid w:val="00AC0D2D"/>
    <w:rsid w:val="00AC0EA3"/>
    <w:rsid w:val="00AC200B"/>
    <w:rsid w:val="00AC2204"/>
    <w:rsid w:val="00AC2ECD"/>
    <w:rsid w:val="00AC2F04"/>
    <w:rsid w:val="00AC3119"/>
    <w:rsid w:val="00AC49FB"/>
    <w:rsid w:val="00AC59BF"/>
    <w:rsid w:val="00AC5A10"/>
    <w:rsid w:val="00AC5CC7"/>
    <w:rsid w:val="00AC5D63"/>
    <w:rsid w:val="00AC7CCD"/>
    <w:rsid w:val="00AD0AA3"/>
    <w:rsid w:val="00AD17C4"/>
    <w:rsid w:val="00AD1C60"/>
    <w:rsid w:val="00AD1D0E"/>
    <w:rsid w:val="00AD3F94"/>
    <w:rsid w:val="00AD4A5A"/>
    <w:rsid w:val="00AD6841"/>
    <w:rsid w:val="00AD68A4"/>
    <w:rsid w:val="00AD71FA"/>
    <w:rsid w:val="00AE09E2"/>
    <w:rsid w:val="00AE15DE"/>
    <w:rsid w:val="00AE1A7F"/>
    <w:rsid w:val="00AE273C"/>
    <w:rsid w:val="00AE27AC"/>
    <w:rsid w:val="00AE2A74"/>
    <w:rsid w:val="00AE40E0"/>
    <w:rsid w:val="00AE4DBA"/>
    <w:rsid w:val="00AE4F07"/>
    <w:rsid w:val="00AF0E6E"/>
    <w:rsid w:val="00AF1C5D"/>
    <w:rsid w:val="00AF2547"/>
    <w:rsid w:val="00AF3191"/>
    <w:rsid w:val="00AF338F"/>
    <w:rsid w:val="00AF3F3D"/>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5D2C"/>
    <w:rsid w:val="00B063B9"/>
    <w:rsid w:val="00B06EE7"/>
    <w:rsid w:val="00B10399"/>
    <w:rsid w:val="00B105EA"/>
    <w:rsid w:val="00B110F3"/>
    <w:rsid w:val="00B11932"/>
    <w:rsid w:val="00B121CA"/>
    <w:rsid w:val="00B13B12"/>
    <w:rsid w:val="00B140C4"/>
    <w:rsid w:val="00B1487C"/>
    <w:rsid w:val="00B14882"/>
    <w:rsid w:val="00B15110"/>
    <w:rsid w:val="00B157F9"/>
    <w:rsid w:val="00B15E36"/>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168"/>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76E"/>
    <w:rsid w:val="00B53C42"/>
    <w:rsid w:val="00B54593"/>
    <w:rsid w:val="00B56CDF"/>
    <w:rsid w:val="00B62ED0"/>
    <w:rsid w:val="00B64019"/>
    <w:rsid w:val="00B657F8"/>
    <w:rsid w:val="00B65D77"/>
    <w:rsid w:val="00B664C7"/>
    <w:rsid w:val="00B665DA"/>
    <w:rsid w:val="00B67F21"/>
    <w:rsid w:val="00B70BCB"/>
    <w:rsid w:val="00B71536"/>
    <w:rsid w:val="00B721C9"/>
    <w:rsid w:val="00B739F6"/>
    <w:rsid w:val="00B755FA"/>
    <w:rsid w:val="00B75E06"/>
    <w:rsid w:val="00B760B2"/>
    <w:rsid w:val="00B765D6"/>
    <w:rsid w:val="00B80210"/>
    <w:rsid w:val="00B81A6C"/>
    <w:rsid w:val="00B829ED"/>
    <w:rsid w:val="00B82FB8"/>
    <w:rsid w:val="00B833CB"/>
    <w:rsid w:val="00B83951"/>
    <w:rsid w:val="00B84270"/>
    <w:rsid w:val="00B854B9"/>
    <w:rsid w:val="00B856DA"/>
    <w:rsid w:val="00B8595C"/>
    <w:rsid w:val="00B85DE5"/>
    <w:rsid w:val="00B90681"/>
    <w:rsid w:val="00B90EAF"/>
    <w:rsid w:val="00B90F73"/>
    <w:rsid w:val="00B9126A"/>
    <w:rsid w:val="00B9190A"/>
    <w:rsid w:val="00B939E1"/>
    <w:rsid w:val="00B93B59"/>
    <w:rsid w:val="00B9406A"/>
    <w:rsid w:val="00B94905"/>
    <w:rsid w:val="00B94D6F"/>
    <w:rsid w:val="00B94E71"/>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5E85"/>
    <w:rsid w:val="00BB61F1"/>
    <w:rsid w:val="00BB77FA"/>
    <w:rsid w:val="00BC02F8"/>
    <w:rsid w:val="00BC0FDC"/>
    <w:rsid w:val="00BC27D3"/>
    <w:rsid w:val="00BC2FED"/>
    <w:rsid w:val="00BC3053"/>
    <w:rsid w:val="00BC4D2E"/>
    <w:rsid w:val="00BC621D"/>
    <w:rsid w:val="00BC7171"/>
    <w:rsid w:val="00BD3BBB"/>
    <w:rsid w:val="00BD4267"/>
    <w:rsid w:val="00BD42A1"/>
    <w:rsid w:val="00BD48AC"/>
    <w:rsid w:val="00BD4C6E"/>
    <w:rsid w:val="00BD4F2F"/>
    <w:rsid w:val="00BD51B3"/>
    <w:rsid w:val="00BD5340"/>
    <w:rsid w:val="00BD5F1A"/>
    <w:rsid w:val="00BD6323"/>
    <w:rsid w:val="00BD6541"/>
    <w:rsid w:val="00BE1234"/>
    <w:rsid w:val="00BE2661"/>
    <w:rsid w:val="00BE2B02"/>
    <w:rsid w:val="00BE2C14"/>
    <w:rsid w:val="00BE2FA6"/>
    <w:rsid w:val="00BE333F"/>
    <w:rsid w:val="00BE4260"/>
    <w:rsid w:val="00BE4882"/>
    <w:rsid w:val="00BE52DC"/>
    <w:rsid w:val="00BE56F8"/>
    <w:rsid w:val="00BE5B3D"/>
    <w:rsid w:val="00BE7406"/>
    <w:rsid w:val="00BE7603"/>
    <w:rsid w:val="00BF040A"/>
    <w:rsid w:val="00BF3279"/>
    <w:rsid w:val="00BF389A"/>
    <w:rsid w:val="00BF3DEE"/>
    <w:rsid w:val="00BF3F33"/>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34D9"/>
    <w:rsid w:val="00C14D4B"/>
    <w:rsid w:val="00C154BB"/>
    <w:rsid w:val="00C1566D"/>
    <w:rsid w:val="00C15F8B"/>
    <w:rsid w:val="00C17106"/>
    <w:rsid w:val="00C20123"/>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2C4"/>
    <w:rsid w:val="00C43612"/>
    <w:rsid w:val="00C44DE1"/>
    <w:rsid w:val="00C45F2D"/>
    <w:rsid w:val="00C46991"/>
    <w:rsid w:val="00C46E4A"/>
    <w:rsid w:val="00C50508"/>
    <w:rsid w:val="00C50A2B"/>
    <w:rsid w:val="00C52E65"/>
    <w:rsid w:val="00C531DC"/>
    <w:rsid w:val="00C54022"/>
    <w:rsid w:val="00C54995"/>
    <w:rsid w:val="00C54BCB"/>
    <w:rsid w:val="00C54D41"/>
    <w:rsid w:val="00C60783"/>
    <w:rsid w:val="00C621B5"/>
    <w:rsid w:val="00C629E6"/>
    <w:rsid w:val="00C64672"/>
    <w:rsid w:val="00C64D5C"/>
    <w:rsid w:val="00C70697"/>
    <w:rsid w:val="00C72EF4"/>
    <w:rsid w:val="00C73787"/>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7E2"/>
    <w:rsid w:val="00C86DDB"/>
    <w:rsid w:val="00C87544"/>
    <w:rsid w:val="00C87963"/>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46A2"/>
    <w:rsid w:val="00CB5100"/>
    <w:rsid w:val="00CB53A3"/>
    <w:rsid w:val="00CB6324"/>
    <w:rsid w:val="00CB7170"/>
    <w:rsid w:val="00CB7BA3"/>
    <w:rsid w:val="00CC040E"/>
    <w:rsid w:val="00CC048F"/>
    <w:rsid w:val="00CC111F"/>
    <w:rsid w:val="00CC1532"/>
    <w:rsid w:val="00CC15AB"/>
    <w:rsid w:val="00CC1941"/>
    <w:rsid w:val="00CC2011"/>
    <w:rsid w:val="00CC2AEB"/>
    <w:rsid w:val="00CC2D32"/>
    <w:rsid w:val="00CC37CC"/>
    <w:rsid w:val="00CC3EA0"/>
    <w:rsid w:val="00CC446A"/>
    <w:rsid w:val="00CC47F1"/>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1CA8"/>
    <w:rsid w:val="00CF2DC1"/>
    <w:rsid w:val="00CF3230"/>
    <w:rsid w:val="00CF3B1F"/>
    <w:rsid w:val="00CF3BF6"/>
    <w:rsid w:val="00CF487F"/>
    <w:rsid w:val="00CF61CA"/>
    <w:rsid w:val="00CF625B"/>
    <w:rsid w:val="00CF687E"/>
    <w:rsid w:val="00D02D66"/>
    <w:rsid w:val="00D0349B"/>
    <w:rsid w:val="00D0420D"/>
    <w:rsid w:val="00D04660"/>
    <w:rsid w:val="00D05B93"/>
    <w:rsid w:val="00D05D38"/>
    <w:rsid w:val="00D0643A"/>
    <w:rsid w:val="00D10249"/>
    <w:rsid w:val="00D115C3"/>
    <w:rsid w:val="00D11897"/>
    <w:rsid w:val="00D11C3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2DF2"/>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09F"/>
    <w:rsid w:val="00D616D8"/>
    <w:rsid w:val="00D61AF5"/>
    <w:rsid w:val="00D623CA"/>
    <w:rsid w:val="00D62DDF"/>
    <w:rsid w:val="00D634EC"/>
    <w:rsid w:val="00D644E3"/>
    <w:rsid w:val="00D652B5"/>
    <w:rsid w:val="00D66155"/>
    <w:rsid w:val="00D703B8"/>
    <w:rsid w:val="00D708B0"/>
    <w:rsid w:val="00D70F2A"/>
    <w:rsid w:val="00D734C1"/>
    <w:rsid w:val="00D737DC"/>
    <w:rsid w:val="00D7398C"/>
    <w:rsid w:val="00D754EE"/>
    <w:rsid w:val="00D7564F"/>
    <w:rsid w:val="00D75E52"/>
    <w:rsid w:val="00D7698E"/>
    <w:rsid w:val="00D76B76"/>
    <w:rsid w:val="00D76C82"/>
    <w:rsid w:val="00D76E98"/>
    <w:rsid w:val="00D77AD9"/>
    <w:rsid w:val="00D77B1D"/>
    <w:rsid w:val="00D8021F"/>
    <w:rsid w:val="00D8028E"/>
    <w:rsid w:val="00D80383"/>
    <w:rsid w:val="00D823C6"/>
    <w:rsid w:val="00D83198"/>
    <w:rsid w:val="00D8343D"/>
    <w:rsid w:val="00D83F41"/>
    <w:rsid w:val="00D84B52"/>
    <w:rsid w:val="00D84D42"/>
    <w:rsid w:val="00D8637B"/>
    <w:rsid w:val="00D86859"/>
    <w:rsid w:val="00D86CA3"/>
    <w:rsid w:val="00D86CF3"/>
    <w:rsid w:val="00D86DCA"/>
    <w:rsid w:val="00D86DF1"/>
    <w:rsid w:val="00D871CE"/>
    <w:rsid w:val="00D87C9F"/>
    <w:rsid w:val="00D87DB3"/>
    <w:rsid w:val="00D9011A"/>
    <w:rsid w:val="00D911A4"/>
    <w:rsid w:val="00D9196D"/>
    <w:rsid w:val="00D92822"/>
    <w:rsid w:val="00D92982"/>
    <w:rsid w:val="00D930D3"/>
    <w:rsid w:val="00D93BD6"/>
    <w:rsid w:val="00D94DDB"/>
    <w:rsid w:val="00D9653C"/>
    <w:rsid w:val="00D97257"/>
    <w:rsid w:val="00DA0A48"/>
    <w:rsid w:val="00DA10B5"/>
    <w:rsid w:val="00DA2CFF"/>
    <w:rsid w:val="00DA305E"/>
    <w:rsid w:val="00DA3263"/>
    <w:rsid w:val="00DA3D55"/>
    <w:rsid w:val="00DA4A1F"/>
    <w:rsid w:val="00DA4EB8"/>
    <w:rsid w:val="00DA4EC7"/>
    <w:rsid w:val="00DA5417"/>
    <w:rsid w:val="00DA56E8"/>
    <w:rsid w:val="00DA6F2A"/>
    <w:rsid w:val="00DA760B"/>
    <w:rsid w:val="00DA7BFA"/>
    <w:rsid w:val="00DB19CC"/>
    <w:rsid w:val="00DB1C99"/>
    <w:rsid w:val="00DB224D"/>
    <w:rsid w:val="00DB377D"/>
    <w:rsid w:val="00DB4117"/>
    <w:rsid w:val="00DB4FCB"/>
    <w:rsid w:val="00DB7119"/>
    <w:rsid w:val="00DB76D9"/>
    <w:rsid w:val="00DC0032"/>
    <w:rsid w:val="00DC0462"/>
    <w:rsid w:val="00DC17C1"/>
    <w:rsid w:val="00DC25CA"/>
    <w:rsid w:val="00DC28E0"/>
    <w:rsid w:val="00DC2D36"/>
    <w:rsid w:val="00DC3F1F"/>
    <w:rsid w:val="00DC53EF"/>
    <w:rsid w:val="00DC55A1"/>
    <w:rsid w:val="00DC6368"/>
    <w:rsid w:val="00DC770B"/>
    <w:rsid w:val="00DD0FC1"/>
    <w:rsid w:val="00DD0FE2"/>
    <w:rsid w:val="00DD1248"/>
    <w:rsid w:val="00DD2F7D"/>
    <w:rsid w:val="00DD37B5"/>
    <w:rsid w:val="00DD4804"/>
    <w:rsid w:val="00DD51A0"/>
    <w:rsid w:val="00DD55E6"/>
    <w:rsid w:val="00DD6111"/>
    <w:rsid w:val="00DE13E1"/>
    <w:rsid w:val="00DE2336"/>
    <w:rsid w:val="00DE238B"/>
    <w:rsid w:val="00DE3518"/>
    <w:rsid w:val="00DE4DB8"/>
    <w:rsid w:val="00DE4DBD"/>
    <w:rsid w:val="00DE5608"/>
    <w:rsid w:val="00DE58D0"/>
    <w:rsid w:val="00DE654F"/>
    <w:rsid w:val="00DE67CA"/>
    <w:rsid w:val="00DE73A7"/>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11F0"/>
    <w:rsid w:val="00E04531"/>
    <w:rsid w:val="00E076F2"/>
    <w:rsid w:val="00E10094"/>
    <w:rsid w:val="00E108B6"/>
    <w:rsid w:val="00E110E7"/>
    <w:rsid w:val="00E111B7"/>
    <w:rsid w:val="00E11B20"/>
    <w:rsid w:val="00E11E35"/>
    <w:rsid w:val="00E1214F"/>
    <w:rsid w:val="00E13A12"/>
    <w:rsid w:val="00E14D56"/>
    <w:rsid w:val="00E14F75"/>
    <w:rsid w:val="00E15073"/>
    <w:rsid w:val="00E15CAB"/>
    <w:rsid w:val="00E17D5C"/>
    <w:rsid w:val="00E17FA2"/>
    <w:rsid w:val="00E213B0"/>
    <w:rsid w:val="00E217AC"/>
    <w:rsid w:val="00E21A20"/>
    <w:rsid w:val="00E22330"/>
    <w:rsid w:val="00E24F2E"/>
    <w:rsid w:val="00E25710"/>
    <w:rsid w:val="00E25FB6"/>
    <w:rsid w:val="00E26138"/>
    <w:rsid w:val="00E26651"/>
    <w:rsid w:val="00E26889"/>
    <w:rsid w:val="00E30B5A"/>
    <w:rsid w:val="00E3123D"/>
    <w:rsid w:val="00E31461"/>
    <w:rsid w:val="00E31D43"/>
    <w:rsid w:val="00E32409"/>
    <w:rsid w:val="00E32556"/>
    <w:rsid w:val="00E32608"/>
    <w:rsid w:val="00E337C7"/>
    <w:rsid w:val="00E33EBB"/>
    <w:rsid w:val="00E34188"/>
    <w:rsid w:val="00E34B6E"/>
    <w:rsid w:val="00E35559"/>
    <w:rsid w:val="00E35996"/>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1FC6"/>
    <w:rsid w:val="00E52156"/>
    <w:rsid w:val="00E533A4"/>
    <w:rsid w:val="00E53B75"/>
    <w:rsid w:val="00E53FAD"/>
    <w:rsid w:val="00E549D2"/>
    <w:rsid w:val="00E54E3B"/>
    <w:rsid w:val="00E54FE7"/>
    <w:rsid w:val="00E55509"/>
    <w:rsid w:val="00E573EF"/>
    <w:rsid w:val="00E574FF"/>
    <w:rsid w:val="00E57565"/>
    <w:rsid w:val="00E578D4"/>
    <w:rsid w:val="00E57A2A"/>
    <w:rsid w:val="00E57A5B"/>
    <w:rsid w:val="00E613C8"/>
    <w:rsid w:val="00E61458"/>
    <w:rsid w:val="00E61CDC"/>
    <w:rsid w:val="00E626AC"/>
    <w:rsid w:val="00E63838"/>
    <w:rsid w:val="00E64434"/>
    <w:rsid w:val="00E648BD"/>
    <w:rsid w:val="00E659C4"/>
    <w:rsid w:val="00E65DE5"/>
    <w:rsid w:val="00E664D0"/>
    <w:rsid w:val="00E67C51"/>
    <w:rsid w:val="00E701B9"/>
    <w:rsid w:val="00E7035D"/>
    <w:rsid w:val="00E71133"/>
    <w:rsid w:val="00E71247"/>
    <w:rsid w:val="00E71D4B"/>
    <w:rsid w:val="00E72EFC"/>
    <w:rsid w:val="00E732E1"/>
    <w:rsid w:val="00E73F1F"/>
    <w:rsid w:val="00E745BF"/>
    <w:rsid w:val="00E7461D"/>
    <w:rsid w:val="00E7474E"/>
    <w:rsid w:val="00E74990"/>
    <w:rsid w:val="00E75513"/>
    <w:rsid w:val="00E758EC"/>
    <w:rsid w:val="00E75C5B"/>
    <w:rsid w:val="00E76389"/>
    <w:rsid w:val="00E766DA"/>
    <w:rsid w:val="00E77ACF"/>
    <w:rsid w:val="00E80BA6"/>
    <w:rsid w:val="00E81047"/>
    <w:rsid w:val="00E8234C"/>
    <w:rsid w:val="00E828A6"/>
    <w:rsid w:val="00E83AA9"/>
    <w:rsid w:val="00E841EE"/>
    <w:rsid w:val="00E842A1"/>
    <w:rsid w:val="00E851D7"/>
    <w:rsid w:val="00E85928"/>
    <w:rsid w:val="00E86505"/>
    <w:rsid w:val="00E866AF"/>
    <w:rsid w:val="00E87822"/>
    <w:rsid w:val="00E90395"/>
    <w:rsid w:val="00E90E49"/>
    <w:rsid w:val="00E917F9"/>
    <w:rsid w:val="00E9291C"/>
    <w:rsid w:val="00E93FFE"/>
    <w:rsid w:val="00E94C6F"/>
    <w:rsid w:val="00E94E39"/>
    <w:rsid w:val="00E94F8A"/>
    <w:rsid w:val="00E9517B"/>
    <w:rsid w:val="00E96786"/>
    <w:rsid w:val="00E96A62"/>
    <w:rsid w:val="00E972B4"/>
    <w:rsid w:val="00EA1A05"/>
    <w:rsid w:val="00EA1AA1"/>
    <w:rsid w:val="00EA391F"/>
    <w:rsid w:val="00EA45FA"/>
    <w:rsid w:val="00EA6624"/>
    <w:rsid w:val="00EA6881"/>
    <w:rsid w:val="00EA737E"/>
    <w:rsid w:val="00EA7A41"/>
    <w:rsid w:val="00EA7C92"/>
    <w:rsid w:val="00EB04BD"/>
    <w:rsid w:val="00EB077B"/>
    <w:rsid w:val="00EB0B47"/>
    <w:rsid w:val="00EB12E6"/>
    <w:rsid w:val="00EB1D14"/>
    <w:rsid w:val="00EB2470"/>
    <w:rsid w:val="00EB2F0D"/>
    <w:rsid w:val="00EB4704"/>
    <w:rsid w:val="00EB4EA2"/>
    <w:rsid w:val="00EB5FC0"/>
    <w:rsid w:val="00EB626F"/>
    <w:rsid w:val="00EC0F45"/>
    <w:rsid w:val="00EC18C6"/>
    <w:rsid w:val="00EC27C6"/>
    <w:rsid w:val="00EC4207"/>
    <w:rsid w:val="00EC4417"/>
    <w:rsid w:val="00EC5653"/>
    <w:rsid w:val="00EC5B68"/>
    <w:rsid w:val="00EC60AB"/>
    <w:rsid w:val="00EC71CE"/>
    <w:rsid w:val="00ED1006"/>
    <w:rsid w:val="00ED1A65"/>
    <w:rsid w:val="00ED34AA"/>
    <w:rsid w:val="00ED462C"/>
    <w:rsid w:val="00ED4692"/>
    <w:rsid w:val="00ED5775"/>
    <w:rsid w:val="00ED7CAA"/>
    <w:rsid w:val="00EE19FE"/>
    <w:rsid w:val="00EE1B98"/>
    <w:rsid w:val="00EE2A59"/>
    <w:rsid w:val="00EE38E5"/>
    <w:rsid w:val="00EE4808"/>
    <w:rsid w:val="00EF0D79"/>
    <w:rsid w:val="00EF1560"/>
    <w:rsid w:val="00EF18FE"/>
    <w:rsid w:val="00EF2130"/>
    <w:rsid w:val="00EF39BE"/>
    <w:rsid w:val="00EF4C2E"/>
    <w:rsid w:val="00EF5787"/>
    <w:rsid w:val="00EF5980"/>
    <w:rsid w:val="00EF60D0"/>
    <w:rsid w:val="00EF6120"/>
    <w:rsid w:val="00EF6197"/>
    <w:rsid w:val="00EF629E"/>
    <w:rsid w:val="00EF62E7"/>
    <w:rsid w:val="00F00194"/>
    <w:rsid w:val="00F0027B"/>
    <w:rsid w:val="00F00C58"/>
    <w:rsid w:val="00F02632"/>
    <w:rsid w:val="00F02EC5"/>
    <w:rsid w:val="00F02FD8"/>
    <w:rsid w:val="00F03769"/>
    <w:rsid w:val="00F04CB3"/>
    <w:rsid w:val="00F0528D"/>
    <w:rsid w:val="00F0628F"/>
    <w:rsid w:val="00F06BD1"/>
    <w:rsid w:val="00F06C67"/>
    <w:rsid w:val="00F06DFD"/>
    <w:rsid w:val="00F071D1"/>
    <w:rsid w:val="00F07533"/>
    <w:rsid w:val="00F07B06"/>
    <w:rsid w:val="00F1007D"/>
    <w:rsid w:val="00F10629"/>
    <w:rsid w:val="00F10DE5"/>
    <w:rsid w:val="00F130B6"/>
    <w:rsid w:val="00F133A9"/>
    <w:rsid w:val="00F14175"/>
    <w:rsid w:val="00F14FEA"/>
    <w:rsid w:val="00F15B79"/>
    <w:rsid w:val="00F15FA5"/>
    <w:rsid w:val="00F17EAF"/>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55D"/>
    <w:rsid w:val="00F36C46"/>
    <w:rsid w:val="00F40F0C"/>
    <w:rsid w:val="00F41925"/>
    <w:rsid w:val="00F426B2"/>
    <w:rsid w:val="00F4390D"/>
    <w:rsid w:val="00F448A1"/>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5114"/>
    <w:rsid w:val="00F56105"/>
    <w:rsid w:val="00F5770F"/>
    <w:rsid w:val="00F607C5"/>
    <w:rsid w:val="00F60DEA"/>
    <w:rsid w:val="00F62CC1"/>
    <w:rsid w:val="00F6302A"/>
    <w:rsid w:val="00F634F2"/>
    <w:rsid w:val="00F63EF4"/>
    <w:rsid w:val="00F64C2B"/>
    <w:rsid w:val="00F651BE"/>
    <w:rsid w:val="00F67833"/>
    <w:rsid w:val="00F67F53"/>
    <w:rsid w:val="00F70061"/>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56A"/>
    <w:rsid w:val="00F90F8D"/>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58D0"/>
    <w:rsid w:val="00FD662F"/>
    <w:rsid w:val="00FD74DB"/>
    <w:rsid w:val="00FD7660"/>
    <w:rsid w:val="00FE0655"/>
    <w:rsid w:val="00FE0ADA"/>
    <w:rsid w:val="00FE20E7"/>
    <w:rsid w:val="00FE2365"/>
    <w:rsid w:val="00FE2F00"/>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styleId="Revision">
    <w:name w:val="Revision"/>
    <w:hidden/>
    <w:uiPriority w:val="99"/>
    <w:semiHidden/>
    <w:rsid w:val="00DA3263"/>
    <w:rPr>
      <w:rFonts w:ascii="Arial" w:hAnsi="Arial"/>
      <w:lang w:val="en-GB" w:eastAsia="zh-CN"/>
    </w:rPr>
  </w:style>
  <w:style w:type="table" w:styleId="LightList-Accent3">
    <w:name w:val="Light List Accent 3"/>
    <w:basedOn w:val="TableNormal"/>
    <w:uiPriority w:val="61"/>
    <w:rsid w:val="00EC18C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Shading-Accent3">
    <w:name w:val="Light Shading Accent 3"/>
    <w:basedOn w:val="TableNormal"/>
    <w:uiPriority w:val="60"/>
    <w:rsid w:val="00EC18C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
    <w:name w:val="Light Shading"/>
    <w:basedOn w:val="TableNormal"/>
    <w:uiPriority w:val="60"/>
    <w:rsid w:val="00EC18C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paragraph" w:styleId="Revision">
    <w:name w:val="Revision"/>
    <w:hidden/>
    <w:uiPriority w:val="99"/>
    <w:semiHidden/>
    <w:rsid w:val="00DA3263"/>
    <w:rPr>
      <w:rFonts w:ascii="Arial" w:hAnsi="Arial"/>
      <w:lang w:val="en-GB" w:eastAsia="zh-CN"/>
    </w:rPr>
  </w:style>
  <w:style w:type="table" w:styleId="LightList-Accent3">
    <w:name w:val="Light List Accent 3"/>
    <w:basedOn w:val="TableNormal"/>
    <w:uiPriority w:val="61"/>
    <w:rsid w:val="00EC18C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Shading-Accent3">
    <w:name w:val="Light Shading Accent 3"/>
    <w:basedOn w:val="TableNormal"/>
    <w:uiPriority w:val="60"/>
    <w:rsid w:val="00EC18C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
    <w:name w:val="Light Shading"/>
    <w:basedOn w:val="TableNormal"/>
    <w:uiPriority w:val="60"/>
    <w:rsid w:val="00EC18C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384793037">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1028">
      <w:bodyDiv w:val="1"/>
      <w:marLeft w:val="0"/>
      <w:marRight w:val="0"/>
      <w:marTop w:val="0"/>
      <w:marBottom w:val="0"/>
      <w:divBdr>
        <w:top w:val="none" w:sz="0" w:space="0" w:color="auto"/>
        <w:left w:val="none" w:sz="0" w:space="0" w:color="auto"/>
        <w:bottom w:val="none" w:sz="0" w:space="0" w:color="auto"/>
        <w:right w:val="none" w:sz="0" w:space="0" w:color="auto"/>
      </w:divBdr>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2639575">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655793196">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 w:id="207304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6A4CB-CF39-4384-B4E2-AA2BE380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280</TotalTime>
  <Pages>5</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erik.larsson@ericsson.com</dc:creator>
  <cp:keywords>3GPP; Ericsson; TDoc</cp:keywords>
  <cp:lastModifiedBy>Ericsson</cp:lastModifiedBy>
  <cp:revision>13</cp:revision>
  <cp:lastPrinted>2014-09-11T08:12:00Z</cp:lastPrinted>
  <dcterms:created xsi:type="dcterms:W3CDTF">2015-01-22T12:29:00Z</dcterms:created>
  <dcterms:modified xsi:type="dcterms:W3CDTF">2015-01-29T10:44:00Z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