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368" w:rsidRPr="00051368" w:rsidRDefault="00051368" w:rsidP="00051368">
      <w:pPr>
        <w:tabs>
          <w:tab w:val="right" w:pos="9360"/>
        </w:tabs>
        <w:jc w:val="both"/>
        <w:rPr>
          <w:rFonts w:ascii="Arial" w:eastAsia="MS Mincho" w:hAnsi="Arial"/>
          <w:b/>
          <w:bCs/>
        </w:rPr>
      </w:pPr>
      <w:bookmarkStart w:id="0" w:name="OLE_LINK1"/>
      <w:r w:rsidRPr="00051368">
        <w:rPr>
          <w:rFonts w:ascii="Arial" w:eastAsia="MS Mincho" w:hAnsi="Arial"/>
          <w:b/>
          <w:bCs/>
        </w:rPr>
        <w:t>3GPP TSG RAN WG1 Meeting #79                                                                             R1-14</w:t>
      </w:r>
      <w:r w:rsidR="001563B2">
        <w:rPr>
          <w:rFonts w:ascii="Arial" w:eastAsia="MS Mincho" w:hAnsi="Arial"/>
          <w:b/>
          <w:bCs/>
        </w:rPr>
        <w:t>4776</w:t>
      </w:r>
    </w:p>
    <w:p w:rsidR="00051368" w:rsidRDefault="00051368" w:rsidP="00051368">
      <w:pPr>
        <w:tabs>
          <w:tab w:val="right" w:pos="9360"/>
        </w:tabs>
        <w:jc w:val="both"/>
        <w:rPr>
          <w:rFonts w:ascii="Arial" w:eastAsia="MS Mincho" w:hAnsi="Arial"/>
          <w:b/>
          <w:bCs/>
        </w:rPr>
      </w:pPr>
      <w:r w:rsidRPr="00051368">
        <w:rPr>
          <w:rFonts w:ascii="Arial" w:eastAsia="MS Mincho" w:hAnsi="Arial"/>
          <w:b/>
          <w:bCs/>
        </w:rPr>
        <w:t>San Francisco, USA, 17th – 21st November 2014</w:t>
      </w:r>
    </w:p>
    <w:p w:rsidR="00741C50" w:rsidRPr="00E70914" w:rsidRDefault="00741C5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r w:rsidR="004421B1" w:rsidRPr="004421B1">
        <w:t>Remaining details on evaluation methodology</w:t>
      </w:r>
    </w:p>
    <w:p w:rsidR="007E4D40" w:rsidRPr="00E70914" w:rsidRDefault="00051368" w:rsidP="007E4D40">
      <w:pPr>
        <w:pStyle w:val="Header"/>
        <w:tabs>
          <w:tab w:val="left" w:pos="1800"/>
        </w:tabs>
        <w:jc w:val="both"/>
      </w:pPr>
      <w:r w:rsidRPr="00051368">
        <w:t>Agenda Item:</w:t>
      </w:r>
      <w:r w:rsidRPr="00051368">
        <w:tab/>
        <w:t>6.3.2.</w:t>
      </w:r>
      <w:r w:rsidR="001563B2">
        <w:t>1</w:t>
      </w:r>
    </w:p>
    <w:p w:rsidR="007E4D40" w:rsidRPr="00E70914" w:rsidRDefault="007E4D40" w:rsidP="007E4D40">
      <w:pPr>
        <w:pStyle w:val="Header"/>
        <w:tabs>
          <w:tab w:val="left" w:pos="1800"/>
        </w:tabs>
        <w:jc w:val="both"/>
      </w:pPr>
      <w:r w:rsidRPr="00E70914">
        <w:t>Document for:</w:t>
      </w:r>
      <w:r w:rsidRPr="00E70914">
        <w:tab/>
        <w:t>Discussion and Decision</w:t>
      </w:r>
    </w:p>
    <w:bookmarkEnd w:id="0"/>
    <w:p w:rsidR="002443A0" w:rsidRPr="00E70914" w:rsidRDefault="002443A0" w:rsidP="002443A0">
      <w:pPr>
        <w:pBdr>
          <w:bottom w:val="single" w:sz="4" w:space="1" w:color="auto"/>
        </w:pBdr>
        <w:tabs>
          <w:tab w:val="left" w:pos="2552"/>
        </w:tabs>
        <w:jc w:val="both"/>
      </w:pPr>
    </w:p>
    <w:p w:rsidR="002443A0" w:rsidRPr="00E70914" w:rsidRDefault="002443A0" w:rsidP="002443A0">
      <w:pPr>
        <w:pStyle w:val="Heading1"/>
        <w:jc w:val="both"/>
      </w:pPr>
      <w:bookmarkStart w:id="1" w:name="_Ref301342314"/>
      <w:r w:rsidRPr="00E70914">
        <w:t>Introduction</w:t>
      </w:r>
      <w:bookmarkEnd w:id="1"/>
    </w:p>
    <w:p w:rsidR="0014401D" w:rsidRDefault="00A44E83" w:rsidP="00A44E83">
      <w:pPr>
        <w:pStyle w:val="BodyText"/>
      </w:pPr>
      <w:r>
        <w:t xml:space="preserve">In this contribution, we discuss the </w:t>
      </w:r>
      <w:r w:rsidR="00EE213C">
        <w:t xml:space="preserve">remaining </w:t>
      </w:r>
      <w:r w:rsidR="00B81C44">
        <w:t xml:space="preserve">evaluation </w:t>
      </w:r>
      <w:r>
        <w:t xml:space="preserve">scenarios </w:t>
      </w:r>
      <w:r w:rsidR="00B81C44">
        <w:t xml:space="preserve">and assumptions </w:t>
      </w:r>
      <w:r w:rsidR="002A463C">
        <w:t xml:space="preserve">for the LAA study item </w:t>
      </w:r>
      <w:r w:rsidR="002A463C">
        <w:fldChar w:fldCharType="begin"/>
      </w:r>
      <w:r w:rsidR="002A463C">
        <w:instrText xml:space="preserve"> REF _Ref399149024 \r \h </w:instrText>
      </w:r>
      <w:r w:rsidR="002A463C">
        <w:fldChar w:fldCharType="separate"/>
      </w:r>
      <w:r w:rsidR="002A463C">
        <w:t>[1]</w:t>
      </w:r>
      <w:r w:rsidR="002A463C">
        <w:fldChar w:fldCharType="end"/>
      </w:r>
      <w:r w:rsidR="002A463C">
        <w:t xml:space="preserve"> </w:t>
      </w:r>
      <w:r w:rsidR="00B81C44">
        <w:t>based on the agreements reached in RAN1 #78b</w:t>
      </w:r>
      <w:r w:rsidR="002A463C">
        <w:t>is</w:t>
      </w:r>
      <w:r w:rsidR="00B81C44">
        <w:t xml:space="preserve"> and the post-meeting email discussion</w:t>
      </w:r>
      <w:r w:rsidR="002A463C">
        <w:t xml:space="preserve"> (78bis-05) </w:t>
      </w:r>
      <w:r w:rsidR="002A463C">
        <w:fldChar w:fldCharType="begin"/>
      </w:r>
      <w:r w:rsidR="002A463C">
        <w:instrText xml:space="preserve"> REF _Ref403144420 \r \h </w:instrText>
      </w:r>
      <w:r w:rsidR="002A463C">
        <w:fldChar w:fldCharType="separate"/>
      </w:r>
      <w:r w:rsidR="002A463C">
        <w:t>[2]</w:t>
      </w:r>
      <w:r w:rsidR="002A463C">
        <w:fldChar w:fldCharType="end"/>
      </w:r>
      <w:r w:rsidR="0014401D">
        <w:t>.</w:t>
      </w:r>
    </w:p>
    <w:p w:rsidR="005A772A" w:rsidRDefault="00B47DCD" w:rsidP="005A772A">
      <w:pPr>
        <w:pStyle w:val="Heading1"/>
        <w:jc w:val="both"/>
      </w:pPr>
      <w:r>
        <w:t xml:space="preserve">Discussion on remaining </w:t>
      </w:r>
      <w:r w:rsidR="004421B1">
        <w:t>c</w:t>
      </w:r>
      <w:r w:rsidR="005A772A">
        <w:t xml:space="preserve">oexistence evaluation </w:t>
      </w:r>
      <w:r w:rsidR="004421B1">
        <w:t>assumptions</w:t>
      </w:r>
    </w:p>
    <w:p w:rsidR="005E74B8" w:rsidRDefault="005E74B8" w:rsidP="005E74B8">
      <w:pPr>
        <w:pStyle w:val="Heading2"/>
      </w:pPr>
      <w:r>
        <w:t>Co</w:t>
      </w:r>
      <w:r w:rsidR="004A24A2">
        <w:t>-</w:t>
      </w:r>
      <w:r>
        <w:t xml:space="preserve">dependence of </w:t>
      </w:r>
      <w:r w:rsidR="00055064">
        <w:t xml:space="preserve">frequency and </w:t>
      </w:r>
      <w:r w:rsidR="00263EEB">
        <w:t>number of active UEs</w:t>
      </w:r>
      <w:r w:rsidR="00F8516E">
        <w:t xml:space="preserve"> for operator networks</w:t>
      </w:r>
    </w:p>
    <w:p w:rsidR="00CC6D8B" w:rsidRDefault="00CC6D8B" w:rsidP="00A44E83">
      <w:pPr>
        <w:pStyle w:val="BodyText"/>
      </w:pPr>
      <w:r>
        <w:t>One indoor and one outdoor scenario were agreed in RAN1 78b</w:t>
      </w:r>
      <w:r w:rsidR="004A24A2">
        <w:t>is</w:t>
      </w:r>
      <w:r>
        <w:t xml:space="preserve">. For both scenarios, different proposals on </w:t>
      </w:r>
    </w:p>
    <w:p w:rsidR="00CC6D8B" w:rsidRDefault="00CC6D8B" w:rsidP="00CC6D8B">
      <w:pPr>
        <w:pStyle w:val="BodyText"/>
        <w:numPr>
          <w:ilvl w:val="0"/>
          <w:numId w:val="23"/>
        </w:numPr>
        <w:spacing w:after="0"/>
      </w:pPr>
      <w:r>
        <w:t>number of available unlicensed band frequencies (Y)</w:t>
      </w:r>
    </w:p>
    <w:p w:rsidR="00CC6D8B" w:rsidRDefault="00263EEB" w:rsidP="00CC6D8B">
      <w:pPr>
        <w:pStyle w:val="BodyText"/>
        <w:numPr>
          <w:ilvl w:val="0"/>
          <w:numId w:val="23"/>
        </w:numPr>
        <w:spacing w:after="0"/>
      </w:pPr>
      <w:r>
        <w:t>number of UEs</w:t>
      </w:r>
      <w:r w:rsidR="00CC6D8B">
        <w:t xml:space="preserve"> </w:t>
      </w:r>
    </w:p>
    <w:p w:rsidR="00CC6D8B" w:rsidRDefault="00CC6D8B" w:rsidP="00CC6D8B">
      <w:pPr>
        <w:pStyle w:val="BodyText"/>
        <w:numPr>
          <w:ilvl w:val="0"/>
          <w:numId w:val="23"/>
        </w:numPr>
      </w:pPr>
      <w:r>
        <w:t>number of serving small cells (X)</w:t>
      </w:r>
    </w:p>
    <w:p w:rsidR="00055064" w:rsidRDefault="00CC6D8B" w:rsidP="00055064">
      <w:pPr>
        <w:pStyle w:val="BodyText"/>
      </w:pPr>
      <w:proofErr w:type="gramStart"/>
      <w:r>
        <w:t>were</w:t>
      </w:r>
      <w:proofErr w:type="gramEnd"/>
      <w:r>
        <w:t xml:space="preserve"> discussed extensively during the meeting as well as in </w:t>
      </w:r>
      <w:r w:rsidR="004A24A2">
        <w:t xml:space="preserve">a </w:t>
      </w:r>
      <w:r>
        <w:t xml:space="preserve">post-meeting email discussion. It’s our </w:t>
      </w:r>
      <w:r w:rsidR="005E74B8">
        <w:t xml:space="preserve">view that </w:t>
      </w:r>
      <w:r>
        <w:t xml:space="preserve">these three numbers should be connected and together they should make or approximate a reasonable practical deployment case. </w:t>
      </w:r>
      <w:r w:rsidR="00055064">
        <w:t xml:space="preserve">Since the agreed baseline traffic model is for each UE to drive meaningful traffic load in the system simulator, </w:t>
      </w:r>
      <w:r w:rsidR="00055064" w:rsidRPr="00B06BAF">
        <w:rPr>
          <w:b/>
        </w:rPr>
        <w:t xml:space="preserve">the number of UEs to be modelled in the system simulations should consider </w:t>
      </w:r>
      <w:r w:rsidR="00316C72">
        <w:rPr>
          <w:b/>
        </w:rPr>
        <w:t>only</w:t>
      </w:r>
      <w:r w:rsidR="00316C72" w:rsidRPr="00B06BAF">
        <w:rPr>
          <w:b/>
        </w:rPr>
        <w:t xml:space="preserve"> </w:t>
      </w:r>
      <w:r w:rsidR="00055064" w:rsidRPr="00B06BAF">
        <w:rPr>
          <w:b/>
        </w:rPr>
        <w:t>active UEs</w:t>
      </w:r>
      <w:r w:rsidR="00795B5F">
        <w:rPr>
          <w:b/>
        </w:rPr>
        <w:t xml:space="preserve"> </w:t>
      </w:r>
      <w:r w:rsidR="00795B5F" w:rsidRPr="00DB6900">
        <w:t>and does not include idle UEs that are not driving traffic.</w:t>
      </w:r>
      <w:r w:rsidR="00055064">
        <w:t xml:space="preserve"> </w:t>
      </w:r>
    </w:p>
    <w:p w:rsidR="00055064" w:rsidRDefault="0067390D" w:rsidP="00CC6D8B">
      <w:pPr>
        <w:pStyle w:val="BodyText"/>
      </w:pPr>
      <w:r>
        <w:t xml:space="preserve">There </w:t>
      </w:r>
      <w:r w:rsidR="00314348">
        <w:t>are</w:t>
      </w:r>
      <w:r>
        <w:t xml:space="preserve"> hundreds of MHz, and </w:t>
      </w:r>
      <w:r w:rsidR="00D4552B">
        <w:t>more than</w:t>
      </w:r>
      <w:r>
        <w:t xml:space="preserve"> 500MHz in some regions, of unlicensed 5GHz spectrum available for deploying wireless access systems. </w:t>
      </w:r>
      <w:r w:rsidR="00263EEB">
        <w:t xml:space="preserve">For any technology, </w:t>
      </w:r>
      <w:r w:rsidR="00ED2FAC">
        <w:t xml:space="preserve">when deploying an additional node, </w:t>
      </w:r>
      <w:r w:rsidR="00263EEB">
        <w:t xml:space="preserve">the first rule </w:t>
      </w:r>
      <w:r w:rsidR="00ED2FAC">
        <w:t>for</w:t>
      </w:r>
      <w:r w:rsidR="00263EEB">
        <w:t xml:space="preserve"> achieving high-performance for the new node itself as well as for the existing nodes is to scan the available channels and select one that would receive least interference for the node itself and cause leas</w:t>
      </w:r>
      <w:r w:rsidR="006B1AEA">
        <w:t>t</w:t>
      </w:r>
      <w:r w:rsidR="00263EEB">
        <w:t xml:space="preserve"> interference to existing nodes. </w:t>
      </w:r>
      <w:r w:rsidR="00055064">
        <w:t xml:space="preserve">Moreover, </w:t>
      </w:r>
      <w:r w:rsidR="00263EEB" w:rsidRPr="00263EEB">
        <w:rPr>
          <w:b/>
        </w:rPr>
        <w:t xml:space="preserve">the wide spectrum </w:t>
      </w:r>
      <w:r w:rsidR="00FC4322">
        <w:rPr>
          <w:b/>
        </w:rPr>
        <w:t xml:space="preserve">availability </w:t>
      </w:r>
      <w:r w:rsidR="00263EEB" w:rsidRPr="00263EEB">
        <w:rPr>
          <w:b/>
        </w:rPr>
        <w:t>allows operators t</w:t>
      </w:r>
      <w:r w:rsidR="00263EEB" w:rsidRPr="00055064">
        <w:rPr>
          <w:b/>
        </w:rPr>
        <w:t xml:space="preserve">o assess the traffic load and to partition the load into </w:t>
      </w:r>
      <w:r w:rsidR="00263EEB">
        <w:rPr>
          <w:b/>
        </w:rPr>
        <w:t xml:space="preserve">a suitable number of </w:t>
      </w:r>
      <w:r w:rsidR="00263EEB" w:rsidRPr="00055064">
        <w:rPr>
          <w:b/>
        </w:rPr>
        <w:t>serving frequencies with an aim to balance the operator CAPEX/OPEX and user experience</w:t>
      </w:r>
      <w:r w:rsidR="00263EEB" w:rsidRPr="00263EEB">
        <w:t xml:space="preserve">. </w:t>
      </w:r>
      <w:r w:rsidR="00263EEB">
        <w:t xml:space="preserve">Therefore, for an operator deployed high-performance Wi-Fi or LAA network, </w:t>
      </w:r>
      <w:r w:rsidR="00263EEB" w:rsidRPr="00263EEB">
        <w:t xml:space="preserve">the number of active UEs per serving frequency is managed </w:t>
      </w:r>
      <w:r w:rsidR="00263EEB">
        <w:t xml:space="preserve">at </w:t>
      </w:r>
      <w:r w:rsidR="00263EEB" w:rsidRPr="00263EEB">
        <w:t>a reasonable level.</w:t>
      </w:r>
      <w:r w:rsidR="00263EEB">
        <w:t xml:space="preserve"> </w:t>
      </w:r>
      <w:r w:rsidR="004A24A2">
        <w:t>H</w:t>
      </w:r>
      <w:r w:rsidR="00263EEB">
        <w:t>ence</w:t>
      </w:r>
      <w:r w:rsidR="004A24A2">
        <w:t>,</w:t>
      </w:r>
      <w:r w:rsidR="00263EEB">
        <w:t xml:space="preserve"> our proposal </w:t>
      </w:r>
      <w:r w:rsidR="004A24A2">
        <w:t xml:space="preserve">is </w:t>
      </w:r>
      <w:r w:rsidR="00263EEB">
        <w:t>to tie the number of active UEs with the number of available frequencies for each operator network</w:t>
      </w:r>
      <w:r w:rsidR="004A24A2">
        <w:t>.</w:t>
      </w:r>
    </w:p>
    <w:p w:rsidR="00263EEB" w:rsidRPr="00263EEB" w:rsidRDefault="00263EEB" w:rsidP="00CC6D8B">
      <w:pPr>
        <w:pStyle w:val="BodyText"/>
        <w:rPr>
          <w:b/>
        </w:rPr>
      </w:pPr>
      <w:r w:rsidRPr="00263EEB">
        <w:rPr>
          <w:b/>
        </w:rPr>
        <w:t>Proposal</w:t>
      </w:r>
      <w:r w:rsidR="0023189D">
        <w:rPr>
          <w:b/>
        </w:rPr>
        <w:t>:</w:t>
      </w:r>
    </w:p>
    <w:p w:rsidR="00263EEB" w:rsidRDefault="00263EEB" w:rsidP="00263EEB">
      <w:pPr>
        <w:pStyle w:val="BodyText"/>
        <w:numPr>
          <w:ilvl w:val="0"/>
          <w:numId w:val="25"/>
        </w:numPr>
        <w:rPr>
          <w:b/>
        </w:rPr>
      </w:pPr>
      <w:r w:rsidRPr="00263EEB">
        <w:rPr>
          <w:b/>
        </w:rPr>
        <w:t xml:space="preserve">U = 15 active UEs per unlicensed band frequency per </w:t>
      </w:r>
      <w:r w:rsidR="00055540">
        <w:rPr>
          <w:b/>
        </w:rPr>
        <w:t>operator</w:t>
      </w:r>
    </w:p>
    <w:p w:rsidR="00FB0774" w:rsidRDefault="00FB0774" w:rsidP="00FB0774">
      <w:pPr>
        <w:pStyle w:val="BodyText"/>
      </w:pPr>
      <w:r w:rsidRPr="00FB0774">
        <w:t>The n</w:t>
      </w:r>
      <w:r>
        <w:t xml:space="preserve">umber of small cells can be decided based on the number of frequencies and small cell coverage of the scenario with aim of realistic balance of </w:t>
      </w:r>
      <w:r w:rsidRPr="00FB0774">
        <w:t>CAPEX/OPEX and user experience</w:t>
      </w:r>
      <w:r>
        <w:t xml:space="preserve"> for the operator.</w:t>
      </w:r>
      <w:r w:rsidR="00645C09">
        <w:t xml:space="preserve"> Based on the above considerations from an operator’s point view, we believe the following two scenario setups can be studied:</w:t>
      </w:r>
    </w:p>
    <w:p w:rsidR="007C50FA" w:rsidRDefault="007C50FA" w:rsidP="007C50FA">
      <w:pPr>
        <w:pStyle w:val="BodyText"/>
        <w:numPr>
          <w:ilvl w:val="0"/>
          <w:numId w:val="25"/>
        </w:numPr>
      </w:pPr>
      <w:r>
        <w:t>Y = 4</w:t>
      </w:r>
      <w:r w:rsidR="00225D43">
        <w:t xml:space="preserve"> unlicensed band frequencies</w:t>
      </w:r>
      <w:r w:rsidR="00BD79C2">
        <w:t xml:space="preserve"> to share</w:t>
      </w:r>
      <w:r>
        <w:t>, X = 4</w:t>
      </w:r>
      <w:r w:rsidR="00225D43">
        <w:t xml:space="preserve"> small cells and</w:t>
      </w:r>
      <w:r>
        <w:t xml:space="preserve"> 60 active UEs per operator</w:t>
      </w:r>
    </w:p>
    <w:p w:rsidR="007C50FA" w:rsidRPr="00FB0774" w:rsidRDefault="00645C09" w:rsidP="007C50FA">
      <w:pPr>
        <w:pStyle w:val="BodyText"/>
        <w:numPr>
          <w:ilvl w:val="0"/>
          <w:numId w:val="25"/>
        </w:numPr>
      </w:pPr>
      <w:r>
        <w:lastRenderedPageBreak/>
        <w:t>Y = 1</w:t>
      </w:r>
      <w:r w:rsidR="00225D43" w:rsidRPr="00225D43">
        <w:t xml:space="preserve"> </w:t>
      </w:r>
      <w:r w:rsidR="00225D43">
        <w:t>unlicensed band frequencies</w:t>
      </w:r>
      <w:r w:rsidR="00BD79C2">
        <w:t xml:space="preserve"> to share</w:t>
      </w:r>
      <w:r>
        <w:t>, X = 2</w:t>
      </w:r>
      <w:r w:rsidR="00225D43">
        <w:t xml:space="preserve"> small cells and</w:t>
      </w:r>
      <w:r w:rsidR="007C50FA">
        <w:t xml:space="preserve"> 15 active UEs per operator</w:t>
      </w:r>
    </w:p>
    <w:p w:rsidR="00FB0774" w:rsidRDefault="00FB0774" w:rsidP="00263EEB">
      <w:pPr>
        <w:pStyle w:val="Heading2"/>
      </w:pPr>
      <w:r>
        <w:t xml:space="preserve">Wi-Fi beacon </w:t>
      </w:r>
      <w:r w:rsidR="00F3480C">
        <w:t xml:space="preserve">frame </w:t>
      </w:r>
      <w:r>
        <w:t>modeling</w:t>
      </w:r>
    </w:p>
    <w:p w:rsidR="00FB0774" w:rsidRDefault="00FB0774" w:rsidP="00FB0774">
      <w:pPr>
        <w:pStyle w:val="BodyText"/>
      </w:pPr>
      <w:r>
        <w:t xml:space="preserve">Each Wi-Fi AP </w:t>
      </w:r>
      <w:r w:rsidR="00F3480C">
        <w:t>transmits a beacon frame periodically to allow Wi-Fi devices to attach to the network. It’s proposed to model the Wi-Fi beacon frame transmissions with the following typical parameters used by the majority of Wi-Fi APs in the market:</w:t>
      </w:r>
    </w:p>
    <w:p w:rsidR="00F3480C" w:rsidRPr="00D71CC7" w:rsidRDefault="00D71CC7" w:rsidP="00FB0774">
      <w:pPr>
        <w:pStyle w:val="BodyText"/>
        <w:rPr>
          <w:b/>
        </w:rPr>
      </w:pPr>
      <w:r w:rsidRPr="00D71CC7">
        <w:rPr>
          <w:b/>
        </w:rPr>
        <w:t>Proposal</w:t>
      </w:r>
      <w:r w:rsidR="0023189D">
        <w:rPr>
          <w:b/>
        </w:rPr>
        <w:t>:</w:t>
      </w:r>
      <w:r w:rsidRPr="00D71CC7">
        <w:rPr>
          <w:b/>
        </w:rPr>
        <w:t xml:space="preserve"> </w:t>
      </w:r>
      <w:r w:rsidR="00F3480C" w:rsidRPr="00D71CC7">
        <w:rPr>
          <w:b/>
        </w:rPr>
        <w:t>Wi-Fi beacon frame</w:t>
      </w:r>
      <w:r w:rsidR="000B3FF8">
        <w:rPr>
          <w:b/>
        </w:rPr>
        <w:t xml:space="preserve"> transmission is modeled in the coexistence evaluations  </w:t>
      </w:r>
    </w:p>
    <w:p w:rsidR="00F3480C" w:rsidRPr="00D71CC7" w:rsidRDefault="00F3480C" w:rsidP="00F3480C">
      <w:pPr>
        <w:pStyle w:val="BodyText"/>
        <w:numPr>
          <w:ilvl w:val="0"/>
          <w:numId w:val="25"/>
        </w:numPr>
        <w:rPr>
          <w:b/>
        </w:rPr>
      </w:pPr>
      <w:r w:rsidRPr="00D71CC7">
        <w:rPr>
          <w:b/>
        </w:rPr>
        <w:t>Target beacon transmission time: every 100</w:t>
      </w:r>
      <w:r w:rsidR="000B3FF8">
        <w:rPr>
          <w:b/>
        </w:rPr>
        <w:t xml:space="preserve"> </w:t>
      </w:r>
      <w:proofErr w:type="spellStart"/>
      <w:r w:rsidRPr="00D71CC7">
        <w:rPr>
          <w:b/>
        </w:rPr>
        <w:t>ms</w:t>
      </w:r>
      <w:proofErr w:type="spellEnd"/>
    </w:p>
    <w:p w:rsidR="00F3480C" w:rsidRPr="00D71CC7" w:rsidRDefault="00D4552B" w:rsidP="00F3480C">
      <w:pPr>
        <w:pStyle w:val="BodyText"/>
        <w:numPr>
          <w:ilvl w:val="1"/>
          <w:numId w:val="25"/>
        </w:numPr>
        <w:rPr>
          <w:b/>
        </w:rPr>
      </w:pPr>
      <w:r>
        <w:rPr>
          <w:b/>
        </w:rPr>
        <w:t>Timing r</w:t>
      </w:r>
      <w:r w:rsidRPr="00D71CC7">
        <w:rPr>
          <w:b/>
        </w:rPr>
        <w:t xml:space="preserve">andomized between </w:t>
      </w:r>
      <w:r w:rsidR="00F3480C" w:rsidRPr="00D71CC7">
        <w:rPr>
          <w:b/>
        </w:rPr>
        <w:t>APs</w:t>
      </w:r>
    </w:p>
    <w:p w:rsidR="00FB0774" w:rsidRPr="00D71CC7" w:rsidRDefault="00F3480C" w:rsidP="00FB0774">
      <w:pPr>
        <w:pStyle w:val="BodyText"/>
        <w:numPr>
          <w:ilvl w:val="0"/>
          <w:numId w:val="25"/>
        </w:numPr>
        <w:rPr>
          <w:b/>
        </w:rPr>
      </w:pPr>
      <w:r w:rsidRPr="00D71CC7">
        <w:rPr>
          <w:b/>
        </w:rPr>
        <w:t>Beacon frame duration: 500</w:t>
      </w:r>
      <w:r w:rsidR="000B3FF8">
        <w:rPr>
          <w:b/>
        </w:rPr>
        <w:t xml:space="preserve"> </w:t>
      </w:r>
      <w:proofErr w:type="spellStart"/>
      <w:r w:rsidRPr="00D71CC7">
        <w:rPr>
          <w:rFonts w:ascii="Cambria Math" w:hAnsi="Cambria Math"/>
          <w:b/>
        </w:rPr>
        <w:t>μ</w:t>
      </w:r>
      <w:r w:rsidRPr="00D71CC7">
        <w:rPr>
          <w:b/>
        </w:rPr>
        <w:t>s</w:t>
      </w:r>
      <w:proofErr w:type="spellEnd"/>
    </w:p>
    <w:p w:rsidR="00263EEB" w:rsidRDefault="00263EEB" w:rsidP="00263EEB">
      <w:pPr>
        <w:pStyle w:val="Heading2"/>
      </w:pPr>
      <w:r>
        <w:t>Channel selection</w:t>
      </w:r>
      <w:r w:rsidR="00891D97">
        <w:t xml:space="preserve"> order</w:t>
      </w:r>
    </w:p>
    <w:p w:rsidR="00263EEB" w:rsidRDefault="00263EEB" w:rsidP="00263EEB">
      <w:pPr>
        <w:pStyle w:val="BodyText"/>
      </w:pPr>
      <w:r>
        <w:t xml:space="preserve">It’s our proposal that, in the system simulations, the </w:t>
      </w:r>
      <w:r w:rsidR="00891D97">
        <w:t xml:space="preserve">nonreplaced </w:t>
      </w:r>
      <w:r>
        <w:t xml:space="preserve">Wi-Fi network selects the channels for the APs first. </w:t>
      </w:r>
      <w:r w:rsidR="00891D97">
        <w:t>This enables th</w:t>
      </w:r>
      <w:r w:rsidR="000B3FF8">
        <w:t>e</w:t>
      </w:r>
      <w:r w:rsidR="00891D97">
        <w:t xml:space="preserve"> non</w:t>
      </w:r>
      <w:r w:rsidR="000B3FF8">
        <w:t>-</w:t>
      </w:r>
      <w:r w:rsidR="00891D97">
        <w:t>replaced Wi-Fi network to achieve highest performance. The same channel selection for this non</w:t>
      </w:r>
      <w:r w:rsidR="000B3FF8">
        <w:t>-</w:t>
      </w:r>
      <w:r w:rsidR="00891D97">
        <w:t>replaced Wi-Fi network shall be used in the two simulation runs in which the second network is either Wi-Fi or LAA.</w:t>
      </w:r>
    </w:p>
    <w:p w:rsidR="00891D97" w:rsidRDefault="00891D97" w:rsidP="00263EEB">
      <w:pPr>
        <w:pStyle w:val="BodyText"/>
      </w:pPr>
      <w:r>
        <w:t>The second network (Wi-Fi or LAA) shall take the existing radio condition</w:t>
      </w:r>
      <w:r w:rsidR="000B3FF8">
        <w:t>s</w:t>
      </w:r>
      <w:r>
        <w:t xml:space="preserve"> generated by the non</w:t>
      </w:r>
      <w:r w:rsidR="000B3FF8">
        <w:t>-</w:t>
      </w:r>
      <w:r>
        <w:t xml:space="preserve">replaced Wi-Fi network as given and select channels for its APs or </w:t>
      </w:r>
      <w:proofErr w:type="spellStart"/>
      <w:r>
        <w:t>eNBs</w:t>
      </w:r>
      <w:proofErr w:type="spellEnd"/>
      <w:r>
        <w:t xml:space="preserve"> to achieve high performance and good coexistence.</w:t>
      </w:r>
    </w:p>
    <w:p w:rsidR="00055540" w:rsidRDefault="00055540" w:rsidP="00055540">
      <w:pPr>
        <w:pStyle w:val="BodyText"/>
        <w:jc w:val="center"/>
      </w:pPr>
      <w:r>
        <w:rPr>
          <w:noProof/>
        </w:rPr>
        <w:drawing>
          <wp:inline distT="0" distB="0" distL="0" distR="0" wp14:anchorId="4459C44E" wp14:editId="42CCB82E">
            <wp:extent cx="3657600" cy="1815718"/>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657600" cy="1815718"/>
                    </a:xfrm>
                    <a:prstGeom prst="rect">
                      <a:avLst/>
                    </a:prstGeom>
                  </pic:spPr>
                </pic:pic>
              </a:graphicData>
            </a:graphic>
          </wp:inline>
        </w:drawing>
      </w:r>
    </w:p>
    <w:p w:rsidR="00C10E5A" w:rsidRDefault="00C10E5A" w:rsidP="00C10E5A">
      <w:pPr>
        <w:pStyle w:val="Heading2"/>
      </w:pPr>
      <w:r>
        <w:t>Indoor small cell layout</w:t>
      </w:r>
    </w:p>
    <w:p w:rsidR="00C10E5A" w:rsidRDefault="00C10E5A" w:rsidP="00C10E5A">
      <w:pPr>
        <w:pStyle w:val="BodyText"/>
      </w:pPr>
      <w:r>
        <w:t>For indoor small cell layout, we support the majority view of having certain randomization of the inter-operator separation in the system simulation.</w:t>
      </w:r>
      <w:r w:rsidR="00D1139E">
        <w:t xml:space="preserve"> </w:t>
      </w:r>
      <w:r w:rsidR="00C53351">
        <w:t xml:space="preserve">The </w:t>
      </w:r>
      <w:r w:rsidR="00D1139E">
        <w:t xml:space="preserve">minimum separation </w:t>
      </w:r>
      <w:r w:rsidR="00C53351">
        <w:t xml:space="preserve">should not be shorter than 3m. </w:t>
      </w:r>
      <w:r w:rsidR="00C5310E">
        <w:t>A</w:t>
      </w:r>
      <w:r w:rsidR="00D1139E">
        <w:t xml:space="preserve">ll the nodes </w:t>
      </w:r>
      <w:r w:rsidR="007734A4">
        <w:t xml:space="preserve">are </w:t>
      </w:r>
      <w:r w:rsidR="00D1139E">
        <w:t xml:space="preserve">centered </w:t>
      </w:r>
      <w:r w:rsidR="0023189D">
        <w:t>with respect to the shorter dimension of</w:t>
      </w:r>
      <w:r w:rsidR="00D1139E">
        <w:t xml:space="preserve"> the building</w:t>
      </w:r>
      <w:r w:rsidR="007734A4">
        <w:t>.</w:t>
      </w:r>
    </w:p>
    <w:p w:rsidR="00D1139E" w:rsidRDefault="00D1139E" w:rsidP="00C5310E">
      <w:pPr>
        <w:pStyle w:val="BodyText"/>
        <w:jc w:val="center"/>
        <w:rPr>
          <w:noProof/>
        </w:rPr>
      </w:pPr>
      <w:r>
        <w:rPr>
          <w:noProof/>
        </w:rPr>
        <mc:AlternateContent>
          <mc:Choice Requires="wpc">
            <w:drawing>
              <wp:inline distT="0" distB="0" distL="0" distR="0" wp14:anchorId="42C2A05E" wp14:editId="3F8EFFF4">
                <wp:extent cx="3388589" cy="1821180"/>
                <wp:effectExtent l="0" t="0" r="0" b="7620"/>
                <wp:docPr id="136" name="Canvas 1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0" name="Picture 1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121" name="Group 121"/>
                        <wpg:cNvGrpSpPr/>
                        <wpg:grpSpPr>
                          <a:xfrm>
                            <a:off x="449273" y="75255"/>
                            <a:ext cx="2821223" cy="266700"/>
                            <a:chOff x="332269" y="0"/>
                            <a:chExt cx="2821223" cy="266700"/>
                          </a:xfrm>
                        </wpg:grpSpPr>
                        <wps:wsp>
                          <wps:cNvPr id="122" name="Straight Arrow Connector 122"/>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123" name="TextBox 67"/>
                          <wps:cNvSpPr txBox="1"/>
                          <wps:spPr>
                            <a:xfrm>
                              <a:off x="1439277" y="0"/>
                              <a:ext cx="607060" cy="266700"/>
                            </a:xfrm>
                            <a:prstGeom prst="rect">
                              <a:avLst/>
                            </a:prstGeom>
                            <a:noFill/>
                          </wps:spPr>
                          <wps:txbx>
                            <w:txbxContent>
                              <w:p w:rsidR="00014A09" w:rsidRDefault="00014A09" w:rsidP="00D1139E">
                                <w:pPr>
                                  <w:pStyle w:val="NormalWeb"/>
                                  <w:spacing w:before="0" w:beforeAutospacing="0" w:after="0" w:afterAutospacing="0"/>
                                  <w:textAlignment w:val="baseline"/>
                                </w:pPr>
                                <w:r>
                                  <w:rPr>
                                    <w:rFonts w:ascii="Arial" w:hAnsi="Arial" w:cstheme="minorBidi"/>
                                    <w:color w:val="000000" w:themeColor="text1"/>
                                    <w:kern w:val="24"/>
                                  </w:rPr>
                                  <w:t>120 m</w:t>
                                </w:r>
                              </w:p>
                            </w:txbxContent>
                          </wps:txbx>
                          <wps:bodyPr wrap="none" rtlCol="0">
                            <a:spAutoFit/>
                          </wps:bodyPr>
                        </wps:wsp>
                      </wpg:wgp>
                      <wpg:wgp>
                        <wpg:cNvPr id="124" name="Group 124"/>
                        <wpg:cNvGrpSpPr/>
                        <wpg:grpSpPr>
                          <a:xfrm>
                            <a:off x="120086" y="438073"/>
                            <a:ext cx="266700" cy="1299410"/>
                            <a:chOff x="3082" y="362818"/>
                            <a:chExt cx="266700" cy="1299410"/>
                          </a:xfrm>
                        </wpg:grpSpPr>
                        <wps:wsp>
                          <wps:cNvPr id="125" name="Straight Arrow Connector 125"/>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126" name="TextBox 72"/>
                          <wps:cNvSpPr txBox="1"/>
                          <wps:spPr>
                            <a:xfrm rot="16200000">
                              <a:off x="-124553" y="873261"/>
                              <a:ext cx="521970" cy="266700"/>
                            </a:xfrm>
                            <a:prstGeom prst="rect">
                              <a:avLst/>
                            </a:prstGeom>
                            <a:noFill/>
                          </wps:spPr>
                          <wps:txbx>
                            <w:txbxContent>
                              <w:p w:rsidR="00014A09" w:rsidRDefault="00014A09" w:rsidP="00D1139E">
                                <w:pPr>
                                  <w:pStyle w:val="NormalWeb"/>
                                  <w:spacing w:before="0" w:beforeAutospacing="0" w:after="0" w:afterAutospacing="0"/>
                                  <w:textAlignment w:val="baseline"/>
                                </w:pPr>
                                <w:r>
                                  <w:rPr>
                                    <w:rFonts w:ascii="Arial" w:hAnsi="Arial" w:cstheme="minorBidi"/>
                                    <w:color w:val="000000" w:themeColor="text1"/>
                                    <w:kern w:val="24"/>
                                  </w:rPr>
                                  <w:t>50 m</w:t>
                                </w:r>
                              </w:p>
                            </w:txbxContent>
                          </wps:txbx>
                          <wps:bodyPr wrap="none" rtlCol="0">
                            <a:spAutoFit/>
                          </wps:bodyPr>
                        </wps:wsp>
                      </wpg:wgp>
                      <wps:wsp>
                        <wps:cNvPr id="127" name="Oval 127"/>
                        <wps:cNvSpPr/>
                        <wps:spPr>
                          <a:xfrm>
                            <a:off x="1641499"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128" name="Oval 128"/>
                        <wps:cNvSpPr/>
                        <wps:spPr>
                          <a:xfrm>
                            <a:off x="944730"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129" name="Oval 129"/>
                        <wps:cNvSpPr/>
                        <wps:spPr>
                          <a:xfrm>
                            <a:off x="2332659"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130" name="Oval 130"/>
                        <wps:cNvSpPr/>
                        <wps:spPr>
                          <a:xfrm>
                            <a:off x="3019963"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g:wgp>
                        <wpg:cNvPr id="131" name="Group 131"/>
                        <wpg:cNvGrpSpPr/>
                        <wpg:grpSpPr>
                          <a:xfrm>
                            <a:off x="688720" y="1048076"/>
                            <a:ext cx="2132965" cy="59055"/>
                            <a:chOff x="180000" y="180000"/>
                            <a:chExt cx="2132965" cy="59055"/>
                          </a:xfrm>
                        </wpg:grpSpPr>
                        <wps:wsp>
                          <wps:cNvPr id="132" name="Oval 132"/>
                          <wps:cNvSpPr/>
                          <wps:spPr>
                            <a:xfrm>
                              <a:off x="876595" y="180000"/>
                              <a:ext cx="57785" cy="49530"/>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wps:txbx>
                          <wps:bodyPr rtlCol="0" anchor="ctr"/>
                        </wps:wsp>
                        <wps:wsp>
                          <wps:cNvPr id="133" name="Oval 133"/>
                          <wps:cNvSpPr/>
                          <wps:spPr>
                            <a:xfrm>
                              <a:off x="180000" y="180000"/>
                              <a:ext cx="57785" cy="49530"/>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wps:txbx>
                          <wps:bodyPr rtlCol="0" anchor="ctr"/>
                        </wps:wsp>
                        <wps:wsp>
                          <wps:cNvPr id="134" name="Oval 134"/>
                          <wps:cNvSpPr/>
                          <wps:spPr>
                            <a:xfrm>
                              <a:off x="1567475" y="189525"/>
                              <a:ext cx="57785" cy="49530"/>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wps:txbx>
                          <wps:bodyPr rtlCol="0" anchor="ctr"/>
                        </wps:wsp>
                        <wps:wsp>
                          <wps:cNvPr id="135" name="Oval 135"/>
                          <wps:cNvSpPr/>
                          <wps:spPr>
                            <a:xfrm>
                              <a:off x="2255180" y="180000"/>
                              <a:ext cx="57785" cy="49530"/>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wps:txbx>
                          <wps:bodyPr rtlCol="0" anchor="ctr"/>
                        </wps:wsp>
                      </wpg:wgp>
                    </wpc:wpc>
                  </a:graphicData>
                </a:graphic>
              </wp:inline>
            </w:drawing>
          </mc:Choice>
          <mc:Fallback>
            <w:pict>
              <v:group id="Canvas 136" o:spid="_x0000_s1026"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height:18211;visibility:visible;mso-wrap-style:square">
                  <v:fill o:detectmouseclick="t"/>
                  <v:path o:connecttype="none"/>
                </v:shape>
                <v:shape id="Picture 120" o:spid="_x0000_s1028"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vWfFTGAAAA3AAAAA8AAABkcnMvZG93bnJldi54bWxEj0FrwkAQhe+F/odlhF6kbkxLCdFViiCU&#10;Qgtq6XnIjklwdzZm1xj/fedQ8DbDe/PeN8v16J0aqI9tYAPzWQaKuAq25drAz2H7XICKCdmiC0wG&#10;bhRhvXp8WGJpw5V3NOxTrSSEY4kGmpS6UutYNeQxzkJHLNox9B6TrH2tbY9XCfdO51n2pj22LA0N&#10;drRpqDrtL97A71lPX76K+ev2000PRX7Wt283GPM0Gd8XoBKN6W7+v/6wgp8LvjwjE+jV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9Z8VMYAAADcAAAADwAAAAAAAAAAAAAA&#10;AACfAgAAZHJzL2Rvd25yZXYueG1sUEsFBgAAAAAEAAQA9wAAAJIDAAAAAA==&#10;" fillcolor="#4f81bd [3204]" strokecolor="black [3213]">
                  <v:imagedata r:id="rId9" o:title=""/>
                  <v:shadow color="#eeece1 [3214]"/>
                </v:shape>
                <v:group id="Group 121" o:spid="_x0000_s1029" style="position:absolute;left:4492;top:752;width:28212;height:2667" coordorigin="3322" coordsize="28212,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shapetype id="_x0000_t32" coordsize="21600,21600" o:spt="32" o:oned="t" path="m,l21600,21600e" filled="f">
                    <v:path arrowok="t" fillok="f" o:connecttype="none"/>
                    <o:lock v:ext="edit" shapetype="t"/>
                  </v:shapetype>
                  <v:shape id="Straight Arrow Connector 122" o:spid="_x0000_s1030"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EicQAAADcAAAADwAAAGRycy9kb3ducmV2LnhtbESPT4vCMBDF74LfIYzgTVOLLFKNIgXZ&#10;Ffbin4PHsRnbaDOpTdTutzcLC3ub4b15vzeLVWdr8aTWG8cKJuMEBHHhtOFSwfGwGc1A+ICssXZM&#10;Cn7Iw2rZ7y0w0+7FO3ruQyliCPsMFVQhNJmUvqjIoh+7hjhqF9daDHFtS6lbfMVwW8s0ST6kRcOR&#10;UGFDeUXFbf+wkXttzPZ+Oud5+mnC/Vvr02SqlRoOuvUcRKAu/Jv/rr90rJ+m8PtMnEAu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NQSJxAAAANwAAAAPAAAAAAAAAAAA&#10;AAAAAKECAABkcnMvZG93bnJldi54bWxQSwUGAAAAAAQABAD5AAAAkgMAAAAA&#10;" filled="t" fillcolor="#4f81bd [3204]" strokecolor="black [3213]"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2;width:607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Ul4sIA&#10;AADcAAAADwAAAGRycy9kb3ducmV2LnhtbERPzWrCQBC+F/oOywjezMaoxcasUrRCb7a2DzBkx2xM&#10;djZkV0379N2C0Nt8fL9TbAbbiiv1vnasYJqkIIhLp2uuFHx97idLED4ga2wdk4Jv8rBZPz4UmGt3&#10;4w+6HkMlYgj7HBWYELpcSl8asugT1xFH7uR6iyHCvpK6x1sMt63M0vRJWqw5NhjsaGuobI4Xq2CZ&#10;2kPTPGfv3s5/pguz3bnX7qzUeDS8rEAEGsK/+O5+03F+NoO/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NSXiwgAAANwAAAAPAAAAAAAAAAAAAAAAAJgCAABkcnMvZG93&#10;bnJldi54bWxQSwUGAAAAAAQABAD1AAAAhwMAAAAA&#10;" filled="f" stroked="f">
                    <v:textbox style="mso-fit-shape-to-text:t">
                      <w:txbxContent>
                        <w:p w:rsidR="00014A09" w:rsidRDefault="00014A09" w:rsidP="00D1139E">
                          <w:pPr>
                            <w:pStyle w:val="NormalWeb"/>
                            <w:spacing w:before="0" w:beforeAutospacing="0" w:after="0" w:afterAutospacing="0"/>
                            <w:textAlignment w:val="baseline"/>
                          </w:pPr>
                          <w:r>
                            <w:rPr>
                              <w:rFonts w:ascii="Arial" w:hAnsi="Arial" w:cstheme="minorBidi"/>
                              <w:color w:val="000000" w:themeColor="text1"/>
                              <w:kern w:val="24"/>
                            </w:rPr>
                            <w:t>120 m</w:t>
                          </w:r>
                        </w:p>
                      </w:txbxContent>
                    </v:textbox>
                  </v:shape>
                </v:group>
                <v:group id="Group 124" o:spid="_x0000_s1032" style="position:absolute;left:1200;top:4380;width:2667;height:12994" coordorigin="30,3628" coordsize="2667,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shape id="Straight Arrow Connector 125" o:spid="_x0000_s1033"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yc/cUAAADcAAAADwAAAGRycy9kb3ducmV2LnhtbESPT2vCQBDF70K/wzIFb7oxWJHUVUqg&#10;VKEX/xw8TrNjsjY7G7Orxm/vCoK3Gd6b93szW3S2FhdqvXGsYDRMQBAXThsuFey234MpCB+QNdaO&#10;ScGNPCzmb70ZZtpdeU2XTShFDGGfoYIqhCaT0hcVWfRD1xBH7eBaiyGubSl1i9cYbmuZJslEWjQc&#10;CRU2lFdU/G/ONnKPjVmd9n95nv6YcPrVej8aa6X6793XJ4hAXXiZn9dLHeunH/B4Jk4g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dyc/cUAAADcAAAADwAAAAAAAAAA&#10;AAAAAAChAgAAZHJzL2Rvd25yZXYueG1sUEsFBgAAAAAEAAQA+QAAAJMDAAAAAA==&#10;" filled="t" fillcolor="#4f81bd [3204]" strokecolor="black [3213]" strokeweight="1pt">
                    <v:stroke startarrow="open" endarrow="open"/>
                  </v:shape>
                  <v:shape id="TextBox 72" o:spid="_x0000_s1034" type="#_x0000_t202" style="position:absolute;left:-1246;top:8732;width:5219;height:266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ahcIA&#10;AADcAAAADwAAAGRycy9kb3ducmV2LnhtbERPS2sCMRC+F/wPYQRvNbvaLnZrlFJQvPqgpbdhM26W&#10;biZLEtfVX98UCr3Nx/ec5XqwrejJh8axgnyagSCunG64VnA6bh4XIEJE1tg6JgU3CrBejR6WWGp3&#10;5T31h1iLFMKhRAUmxq6UMlSGLIap64gTd3beYkzQ11J7vKZw28pZlhXSYsOpwWBH74aq78PFKnj5&#10;7Ld+7ruv+9NHYXOTh/3zeaHUZDy8vYKINMR/8Z97p9P8WQG/z6QL5O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FqFwgAAANwAAAAPAAAAAAAAAAAAAAAAAJgCAABkcnMvZG93&#10;bnJldi54bWxQSwUGAAAAAAQABAD1AAAAhwMAAAAA&#10;" filled="f" stroked="f">
                    <v:textbox style="mso-fit-shape-to-text:t">
                      <w:txbxContent>
                        <w:p w:rsidR="00014A09" w:rsidRDefault="00014A09" w:rsidP="00D1139E">
                          <w:pPr>
                            <w:pStyle w:val="NormalWeb"/>
                            <w:spacing w:before="0" w:beforeAutospacing="0" w:after="0" w:afterAutospacing="0"/>
                            <w:textAlignment w:val="baseline"/>
                          </w:pPr>
                          <w:r>
                            <w:rPr>
                              <w:rFonts w:ascii="Arial" w:hAnsi="Arial" w:cstheme="minorBidi"/>
                              <w:color w:val="000000" w:themeColor="text1"/>
                              <w:kern w:val="24"/>
                            </w:rPr>
                            <w:t>50 m</w:t>
                          </w:r>
                        </w:p>
                      </w:txbxContent>
                    </v:textbox>
                  </v:shape>
                </v:group>
                <v:oval id="Oval 127" o:spid="_x0000_s1035" style="position:absolute;left:16414;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ohXr8A&#10;AADcAAAADwAAAGRycy9kb3ducmV2LnhtbERPS4vCMBC+C/sfwizsTVPLotI1iqgL602r7HloxrbY&#10;TEoT+/j3RhC8zcf3nOW6N5VoqXGlZQXTSQSCOLO65FzB5fw7XoBwHlljZZkUDORgvfoYLTHRtuMT&#10;tanPRQhhl6CCwvs6kdJlBRl0E1sTB+5qG4M+wCaXusEuhJtKxlE0kwZLDg0F1rQtKLuld6OgP38f&#10;4110OBhsh/8cOz0Me6/U12e/+QHhqfdv8cv9p8P8eA7PZ8IFc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iFevwAAANwAAAAPAAAAAAAAAAAAAAAAAJgCAABkcnMvZG93bnJl&#10;di54bWxQSwUGAAAAAAQABAD1AAAAhAMAAAAA&#10;" fillcolor="#e36c0a [2409]" strokecolor="#e36c0a [2409]" strokeweight="2pt">
                  <v:textbo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128" o:spid="_x0000_s1036" style="position:absolute;left:9447;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W1LMMA&#10;AADcAAAADwAAAGRycy9kb3ducmV2LnhtbESPS2vDQAyE74H+h0WF3JJ1TQnBzdqUPqC5pXHIWXhV&#10;29SrNd6tH/8+OgR6k5jRzKdDMbtOjTSE1rOBp20CirjytuXawKX83OxBhYhssfNMBhYKUOQPqwNm&#10;1k/8TeM51kpCOGRooImxz7QOVUMOw9b3xKL9+MFhlHWotR1wknDX6TRJdtphy9LQYE9vDVW/5z9n&#10;YC6fT+l7cjw6HJdrjZNdlo9ozPpxfn0BFWmO/+b79ZcV/FRo5RmZQO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pW1LMMAAADcAAAADwAAAAAAAAAAAAAAAACYAgAAZHJzL2Rv&#10;d25yZXYueG1sUEsFBgAAAAAEAAQA9QAAAIgDAAAAAA==&#10;" fillcolor="#e36c0a [2409]" strokecolor="#e36c0a [2409]" strokeweight="2pt">
                  <v:textbo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129" o:spid="_x0000_s1037" style="position:absolute;left:23326;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kQt78A&#10;AADcAAAADwAAAGRycy9kb3ducmV2LnhtbERPS4vCMBC+C/sfwizsTVPLIto1iqgL602r7HloxrbY&#10;TEoT+/j3RhC8zcf3nOW6N5VoqXGlZQXTSQSCOLO65FzB5fw7noNwHlljZZkUDORgvfoYLTHRtuMT&#10;tanPRQhhl6CCwvs6kdJlBRl0E1sTB+5qG4M+wCaXusEuhJtKxlE0kwZLDg0F1rQtKLuld6OgP38f&#10;4110OBhsh/8cOz0Me6/U12e/+QHhqfdv8cv9p8P8eAHPZ8IFcvU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2RC3vwAAANwAAAAPAAAAAAAAAAAAAAAAAJgCAABkcnMvZG93bnJl&#10;di54bWxQSwUGAAAAAAQABAD1AAAAhAMAAAAA&#10;" fillcolor="#e36c0a [2409]" strokecolor="#e36c0a [2409]" strokeweight="2pt">
                  <v:textbo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130" o:spid="_x0000_s1038" style="position:absolute;left:30199;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ov98MA&#10;AADcAAAADwAAAGRycy9kb3ducmV2LnhtbESPzWvCQBDF7wX/h2WE3upGW4pEVxE/oN7aKJ6H7JgE&#10;s7Mhu+bjv+8cCr3N8N6895v1dnC16qgNlWcD81kCijj3tuLCwPVyeluCChHZYu2ZDIwUYLuZvKwx&#10;tb7nH+qyWCgJ4ZCigTLGJtU65CU5DDPfEIt2963DKGtbaNtiL+Gu1osk+dQOK5aGEhval5Q/sqcz&#10;MFw+vheH5Hx22I23Ans7jsdozOt02K1ARRriv/nv+ssK/rvgyzMygd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ov98MAAADcAAAADwAAAAAAAAAAAAAAAACYAgAAZHJzL2Rv&#10;d25yZXYueG1sUEsFBgAAAAAEAAQA9QAAAIgDAAAAAA==&#10;" fillcolor="#e36c0a [2409]" strokecolor="#e36c0a [2409]" strokeweight="2pt">
                  <v:textbox>
                    <w:txbxContent>
                      <w:p w:rsidR="00014A09" w:rsidRDefault="00014A09" w:rsidP="00D1139E">
                        <w:pPr>
                          <w:pStyle w:val="NormalWeb"/>
                          <w:spacing w:before="0" w:beforeAutospacing="0" w:after="0" w:afterAutospacing="0"/>
                        </w:pPr>
                        <w:r>
                          <w:rPr>
                            <w:rFonts w:eastAsia="Times New Roman" w:cstheme="minorBidi"/>
                            <w:color w:val="FFFFFF" w:themeColor="light1"/>
                            <w:kern w:val="24"/>
                            <w:sz w:val="22"/>
                            <w:szCs w:val="22"/>
                          </w:rPr>
                          <w:t> </w:t>
                        </w:r>
                      </w:p>
                    </w:txbxContent>
                  </v:textbox>
                </v:oval>
                <v:group id="Group 131" o:spid="_x0000_s1039" style="position:absolute;left:6887;top:10480;width:21329;height:591" coordorigin="1800,1800" coordsize="21329,5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oval id="Oval 132" o:spid="_x0000_s1040" style="position:absolute;left:8765;top:1800;width:578;height: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eli8UA&#10;AADcAAAADwAAAGRycy9kb3ducmV2LnhtbERPXWvCQBB8L/Q/HFvwrbkYi0iaU4qgFEGkmlL6tuQ2&#10;HzS3F+6uGv99Tyj4NruzM7NTrEbTizM531lWME1SEMSV1R03CsrT5nkBwgdkjb1lUnAlD6vl40OB&#10;ubYX/qDzMTQimrDPUUEbwpBL6auWDPrEDsSRq60zGOLoGqkdXqK56WWWpnNpsOOY0OJA65aqn+Ov&#10;UbA7WD+fDp/113q/r0u9zV6+415Nnsa3VxCBxnA//le/6/j+LINbmYhAL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t6WLxQAAANwAAAAPAAAAAAAAAAAAAAAAAJgCAABkcnMv&#10;ZG93bnJldi54bWxQSwUGAAAAAAQABAD1AAAAigMAAAAA&#10;" fillcolor="#4e6128 [1606]" strokecolor="#4e6128 [1606]" strokeweight="2pt">
                    <v:textbo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v:textbox>
                  </v:oval>
                  <v:oval id="Oval 133" o:spid="_x0000_s1041" style="position:absolute;left:1800;top:1800;width:577;height: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sAEMUA&#10;AADcAAAADwAAAGRycy9kb3ducmV2LnhtbERPXWvCQBB8L/Q/HFvoW718FJHoGUqgUgoiWqX0bclt&#10;PjC3F3JnTP99TxD6NruzM7OzyifTiZEG11pWEM8iEMSl1S3XCo5f7y8LEM4ja+wsk4JfcpCvHx9W&#10;mGl75T2NB1+LYMIuQwWN930mpSsbMuhmticOXGUHgz6MQy31gNdgbjqZRNFcGmw5JDTYU9FQeT5c&#10;jILPnXXzuD9V38V2Wx31Jnn9CXv1/DS9LUF4mvz/8V39ocP7aQq3MgGB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wAQxQAAANwAAAAPAAAAAAAAAAAAAAAAAJgCAABkcnMv&#10;ZG93bnJldi54bWxQSwUGAAAAAAQABAD1AAAAigMAAAAA&#10;" fillcolor="#4e6128 [1606]" strokecolor="#4e6128 [1606]" strokeweight="2pt">
                    <v:textbo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v:textbox>
                  </v:oval>
                  <v:oval id="Oval 134" o:spid="_x0000_s1042" style="position:absolute;left:15674;top:1895;width:578;height: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KYZMMA&#10;AADcAAAADwAAAGRycy9kb3ducmV2LnhtbERPy4oCMRC8C/5DaMGbZnwgMhpFBBcRRNYH4q2Z9Dxw&#10;0hkmWR3/3ggL3qq7uqq65svGlOJBtSssKxj0IxDEidUFZwrOp01vCsJ5ZI2lZVLwIgfLRbs1x1jb&#10;J//S4+gzEUzYxagg976KpXRJTgZd31bEgUttbdCHsc6krvEZzE0ph1E0kQYLDgk5VrTOKbkf/4yC&#10;3cG6yaC6pNf1fp+e9c9wfAt71e00qxkIT43/Hv+rtzq8PxrDp0xAIB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KYZMMAAADcAAAADwAAAAAAAAAAAAAAAACYAgAAZHJzL2Rv&#10;d25yZXYueG1sUEsFBgAAAAAEAAQA9QAAAIgDAAAAAA==&#10;" fillcolor="#4e6128 [1606]" strokecolor="#4e6128 [1606]" strokeweight="2pt">
                    <v:textbo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v:textbox>
                  </v:oval>
                  <v:oval id="Oval 135" o:spid="_x0000_s1043" style="position:absolute;left:22551;top:1800;width:578;height:4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49/8MA&#10;AADcAAAADwAAAGRycy9kb3ducmV2LnhtbERPy4oCMRC8C/5DaGFvmtFVkdEoIuyyCCK+EG/NpOeB&#10;k84wyer490YQvFV3dVV1zRaNKcWNaldYVtDvRSCIE6sLzhQcDz/dCQjnkTWWlknBgxws5u3WDGNt&#10;77yj295nIpiwi1FB7n0VS+mSnAy6nq2IA5fa2qAPY51JXeM9mJtSDqJoLA0WHBJyrGiVU3Ld/xsF&#10;66114351Ss+rzSY96t/B8BL26qvTLKcgPDX+c/xW/+nw/vcIXmUCAj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49/8MAAADcAAAADwAAAAAAAAAAAAAAAACYAgAAZHJzL2Rv&#10;d25yZXYueG1sUEsFBgAAAAAEAAQA9QAAAIgDAAAAAA==&#10;" fillcolor="#4e6128 [1606]" strokecolor="#4e6128 [1606]" strokeweight="2pt">
                    <v:textbox>
                      <w:txbxContent>
                        <w:p w:rsidR="00014A09" w:rsidRDefault="00014A09" w:rsidP="00D1139E">
                          <w:pPr>
                            <w:pStyle w:val="NormalWeb"/>
                            <w:spacing w:before="0" w:beforeAutospacing="0" w:after="0" w:afterAutospacing="0"/>
                          </w:pPr>
                          <w:r>
                            <w:rPr>
                              <w:rFonts w:eastAsia="Times New Roman"/>
                              <w:color w:val="FFFFF0"/>
                              <w:kern w:val="24"/>
                              <w:sz w:val="22"/>
                              <w:szCs w:val="22"/>
                            </w:rPr>
                            <w:t> </w:t>
                          </w:r>
                        </w:p>
                      </w:txbxContent>
                    </v:textbox>
                  </v:oval>
                </v:group>
                <w10:anchorlock/>
              </v:group>
            </w:pict>
          </mc:Fallback>
        </mc:AlternateContent>
      </w:r>
    </w:p>
    <w:p w:rsidR="00523702" w:rsidRDefault="005D79EA" w:rsidP="00523702">
      <w:pPr>
        <w:pStyle w:val="Heading2"/>
      </w:pPr>
      <w:r>
        <w:lastRenderedPageBreak/>
        <w:t>U</w:t>
      </w:r>
      <w:r w:rsidR="00523702">
        <w:t>nmanaged Wi-Fi APs and UEs</w:t>
      </w:r>
    </w:p>
    <w:p w:rsidR="00301B83" w:rsidRPr="002B4FF6" w:rsidRDefault="00055540" w:rsidP="00C10E5A">
      <w:pPr>
        <w:pStyle w:val="BodyText"/>
      </w:pPr>
      <w:r>
        <w:t>There has also been discussion on adding unmanaged Wi-Fi APs in the building</w:t>
      </w:r>
      <w:r w:rsidR="00523702">
        <w:t xml:space="preserve"> for the indoor scenario</w:t>
      </w:r>
      <w:r>
        <w:t xml:space="preserve">. </w:t>
      </w:r>
      <w:r w:rsidRPr="002B4FF6">
        <w:t>This can be an optional scenario</w:t>
      </w:r>
      <w:r w:rsidR="00523702" w:rsidRPr="002B4FF6">
        <w:t xml:space="preserve"> for study</w:t>
      </w:r>
      <w:r w:rsidRPr="002B4FF6">
        <w:t>. However, the layout and load of these unmanaged Wi-Fi APs should be agreed so companies that want to study this scenario can have comparable results.</w:t>
      </w:r>
    </w:p>
    <w:p w:rsidR="00301B83" w:rsidRDefault="00301B83" w:rsidP="00C10E5A">
      <w:pPr>
        <w:pStyle w:val="BodyText"/>
      </w:pPr>
      <w:r>
        <w:t>Optional indoor unmanaged Wi-Fi</w:t>
      </w:r>
      <w:r w:rsidR="00B90F44">
        <w:t>:</w:t>
      </w:r>
    </w:p>
    <w:p w:rsidR="00301B83" w:rsidRDefault="00301B83" w:rsidP="00301B83">
      <w:pPr>
        <w:pStyle w:val="BodyText"/>
        <w:numPr>
          <w:ilvl w:val="0"/>
          <w:numId w:val="25"/>
        </w:numPr>
        <w:contextualSpacing/>
      </w:pPr>
      <w:r>
        <w:t>An unmanaged Wi-Fi AP is placed in the center of one of the 16 compartments in the indoor layout.</w:t>
      </w:r>
    </w:p>
    <w:p w:rsidR="00301B83" w:rsidRDefault="00301B83" w:rsidP="00301B83">
      <w:pPr>
        <w:pStyle w:val="BodyText"/>
        <w:numPr>
          <w:ilvl w:val="0"/>
          <w:numId w:val="25"/>
        </w:numPr>
      </w:pPr>
      <w:r>
        <w:t>There is one active UE served by each unmanaged Wi-Fi AP randomly placed in the same compartment.</w:t>
      </w:r>
    </w:p>
    <w:p w:rsidR="00523702" w:rsidRDefault="00523702" w:rsidP="00C10E5A">
      <w:pPr>
        <w:pStyle w:val="BodyText"/>
      </w:pPr>
      <w:r>
        <w:t>It has been agreed from the email discussion that all the UEs in the outdoor scenarios are considered as outdoor.</w:t>
      </w:r>
      <w:r w:rsidR="00735DB3">
        <w:t xml:space="preserve"> </w:t>
      </w:r>
      <w:r w:rsidR="00193560">
        <w:t>Since unmanaged Wi-Fi APs are placed indoor in practice</w:t>
      </w:r>
      <w:r w:rsidR="00735DB3">
        <w:t xml:space="preserve"> and noting the penetration loss of the 5GHz bands</w:t>
      </w:r>
      <w:r w:rsidR="00193560">
        <w:t>, i</w:t>
      </w:r>
      <w:r>
        <w:t xml:space="preserve">t’s our </w:t>
      </w:r>
      <w:r w:rsidR="00193560" w:rsidRPr="002B4FF6">
        <w:t>proposal</w:t>
      </w:r>
      <w:r w:rsidRPr="002B4FF6">
        <w:t xml:space="preserve"> that only operator networks are modeled for the outdoor scenario.</w:t>
      </w:r>
      <w:r>
        <w:t xml:space="preserve">  </w:t>
      </w:r>
    </w:p>
    <w:p w:rsidR="009B001B" w:rsidRDefault="003D3E19" w:rsidP="003D3E19">
      <w:pPr>
        <w:pStyle w:val="Heading2"/>
      </w:pPr>
      <w:r>
        <w:t>Traffic model</w:t>
      </w:r>
      <w:r w:rsidR="00095565">
        <w:t>s</w:t>
      </w:r>
    </w:p>
    <w:p w:rsidR="00BF674E" w:rsidRDefault="00BF674E" w:rsidP="00BF674E">
      <w:pPr>
        <w:pStyle w:val="BodyText"/>
      </w:pPr>
      <w:r>
        <w:t>For phase 1 coexistence evaluation of DL-only LAA solutions, 100% of the data traffic is DL for both Wi-Fi and LAA networks. However, the Wi-Fi ACK frames sent by the UEs should be modeled.</w:t>
      </w:r>
    </w:p>
    <w:p w:rsidR="00BF674E" w:rsidRDefault="00BF674E" w:rsidP="00BF674E">
      <w:pPr>
        <w:pStyle w:val="BodyText"/>
      </w:pPr>
      <w:r>
        <w:t>For phase 2 coexistence evaluation of TDD LAA solutions, data traffic for both Wi-Fi and LAA networks is 80% DL and 20% UL</w:t>
      </w:r>
      <w:r w:rsidR="00D265CC">
        <w:t xml:space="preserve"> </w:t>
      </w:r>
      <w:r w:rsidR="00D265CC">
        <w:fldChar w:fldCharType="begin"/>
      </w:r>
      <w:r w:rsidR="00D265CC">
        <w:instrText xml:space="preserve"> REF _Ref403052350 \r \h </w:instrText>
      </w:r>
      <w:r w:rsidR="00D265CC">
        <w:fldChar w:fldCharType="separate"/>
      </w:r>
      <w:r w:rsidR="002A463C">
        <w:t>[3]</w:t>
      </w:r>
      <w:r w:rsidR="00D265CC">
        <w:fldChar w:fldCharType="end"/>
      </w:r>
      <w:r>
        <w:t>. The Wi-Fi ACK frames sent by the UEs should be modeled.</w:t>
      </w:r>
    </w:p>
    <w:p w:rsidR="003D3E19" w:rsidRDefault="003322BA" w:rsidP="003D3E19">
      <w:pPr>
        <w:pStyle w:val="BodyText"/>
      </w:pPr>
      <w:r>
        <w:t>The UEs modeled in the system simulations are active UEs with DL traffic. Therefore, w</w:t>
      </w:r>
      <w:r w:rsidR="00993F98">
        <w:t xml:space="preserve">e </w:t>
      </w:r>
      <w:r>
        <w:t>propose 0.5MB for the FTP traffic model</w:t>
      </w:r>
      <w:r w:rsidR="009874E1">
        <w:t>s</w:t>
      </w:r>
      <w:r>
        <w:t xml:space="preserve"> as </w:t>
      </w:r>
      <w:r w:rsidR="00993F98">
        <w:t xml:space="preserve">a good balance between </w:t>
      </w:r>
      <w:r>
        <w:t>studying the throughput/latency performance metrics.</w:t>
      </w:r>
    </w:p>
    <w:p w:rsidR="00E43A8C" w:rsidRDefault="00E43A8C" w:rsidP="003D3E19">
      <w:pPr>
        <w:pStyle w:val="BodyText"/>
      </w:pPr>
    </w:p>
    <w:p w:rsidR="00E43A8C" w:rsidRDefault="00E43A8C" w:rsidP="003D3E19">
      <w:pPr>
        <w:pStyle w:val="BodyText"/>
      </w:pPr>
      <w:r>
        <w:t xml:space="preserve">Optional </w:t>
      </w:r>
      <w:r w:rsidR="00352181">
        <w:t>VoIP traffic model</w:t>
      </w:r>
      <w:r w:rsidR="001D479C">
        <w:t>:</w:t>
      </w:r>
    </w:p>
    <w:p w:rsidR="003D3E19" w:rsidRDefault="00AF35D2" w:rsidP="003D3E19">
      <w:pPr>
        <w:pStyle w:val="BodyText"/>
      </w:pPr>
      <w:r>
        <w:t>Additional</w:t>
      </w:r>
      <w:r w:rsidR="00F81D9C">
        <w:t xml:space="preserve"> VoIP</w:t>
      </w:r>
      <w:r>
        <w:t xml:space="preserve"> traffic models have been proposed and discussed by companies. </w:t>
      </w:r>
      <w:r w:rsidR="00E43A8C" w:rsidRPr="00B100B4">
        <w:t xml:space="preserve">This can be an optional </w:t>
      </w:r>
      <w:r w:rsidR="00352181" w:rsidRPr="00B100B4">
        <w:t xml:space="preserve">traffic </w:t>
      </w:r>
      <w:r w:rsidR="00E43A8C" w:rsidRPr="00B100B4">
        <w:t xml:space="preserve">scenario for study. However, the parameters of </w:t>
      </w:r>
      <w:r w:rsidR="00F81D9C" w:rsidRPr="00B100B4">
        <w:t xml:space="preserve">the optional VoIP traffic </w:t>
      </w:r>
      <w:r w:rsidR="00E43A8C" w:rsidRPr="00B100B4">
        <w:t xml:space="preserve">should be agreed so </w:t>
      </w:r>
      <w:r w:rsidR="001D479C">
        <w:t xml:space="preserve">that </w:t>
      </w:r>
      <w:r w:rsidR="00E43A8C" w:rsidRPr="00B100B4">
        <w:t>companies that want to study this scenario can have comparable results.</w:t>
      </w:r>
      <w:r w:rsidR="00E43A8C">
        <w:rPr>
          <w:b/>
        </w:rPr>
        <w:t xml:space="preserve"> </w:t>
      </w:r>
      <w:r w:rsidR="00E43A8C">
        <w:t xml:space="preserve">We think the following proposal from Intel is a reasonable </w:t>
      </w:r>
      <w:r w:rsidR="00D26E67">
        <w:t xml:space="preserve">setup </w:t>
      </w:r>
      <w:r w:rsidR="00E43A8C">
        <w:t>for the optional real-time traffic study</w:t>
      </w:r>
      <w:r w:rsidR="003F51A7">
        <w:t xml:space="preserve"> </w:t>
      </w:r>
      <w:r w:rsidR="003F51A7">
        <w:fldChar w:fldCharType="begin"/>
      </w:r>
      <w:r w:rsidR="003F51A7">
        <w:instrText xml:space="preserve"> REF _Ref403144420 \r \h </w:instrText>
      </w:r>
      <w:r w:rsidR="003F51A7">
        <w:fldChar w:fldCharType="separate"/>
      </w:r>
      <w:r w:rsidR="003F51A7">
        <w:t>[2]</w:t>
      </w:r>
      <w:r w:rsidR="003F51A7">
        <w:fldChar w:fldCharType="end"/>
      </w:r>
      <w:r w:rsidR="00E43A8C">
        <w:t>:</w:t>
      </w:r>
    </w:p>
    <w:p w:rsidR="00E43A8C" w:rsidRDefault="00E43A8C" w:rsidP="00642CFB">
      <w:pPr>
        <w:pStyle w:val="BodyText"/>
        <w:numPr>
          <w:ilvl w:val="0"/>
          <w:numId w:val="26"/>
        </w:numPr>
      </w:pPr>
      <w:r>
        <w:t>For the non-replaced Wi-Fi network, V =</w:t>
      </w:r>
      <w:r w:rsidR="00352181">
        <w:t xml:space="preserve"> </w:t>
      </w:r>
      <w:r>
        <w:t xml:space="preserve">2 VoIP UEs per </w:t>
      </w:r>
      <w:r w:rsidR="00642CFB" w:rsidRPr="00642CFB">
        <w:t xml:space="preserve">unlicensed band </w:t>
      </w:r>
      <w:r>
        <w:t xml:space="preserve">frequency per operator </w:t>
      </w:r>
      <w:r w:rsidR="005B360C">
        <w:t xml:space="preserve">can be </w:t>
      </w:r>
      <w:r w:rsidR="00703134">
        <w:t>introduced</w:t>
      </w:r>
      <w:r w:rsidR="00352181">
        <w:t xml:space="preserve"> </w:t>
      </w:r>
    </w:p>
    <w:p w:rsidR="00C53351" w:rsidRDefault="00C53351" w:rsidP="00C53351">
      <w:pPr>
        <w:pStyle w:val="BodyText"/>
        <w:numPr>
          <w:ilvl w:val="1"/>
          <w:numId w:val="26"/>
        </w:numPr>
      </w:pPr>
      <w:r>
        <w:t xml:space="preserve">The VoIP model </w:t>
      </w:r>
      <w:r w:rsidR="005B360C">
        <w:t xml:space="preserve">can be </w:t>
      </w:r>
      <w:r>
        <w:t>based on G729A</w:t>
      </w:r>
    </w:p>
    <w:p w:rsidR="004A3A68" w:rsidRDefault="004A3A68" w:rsidP="0033326A">
      <w:pPr>
        <w:pStyle w:val="Heading2"/>
      </w:pPr>
      <w:r>
        <w:t>UE</w:t>
      </w:r>
      <w:r w:rsidR="00487B5D">
        <w:t xml:space="preserve"> cell association and</w:t>
      </w:r>
      <w:r>
        <w:t xml:space="preserve"> bandwidth</w:t>
      </w:r>
    </w:p>
    <w:p w:rsidR="00487B5D" w:rsidRDefault="00271596" w:rsidP="004A3A68">
      <w:pPr>
        <w:pStyle w:val="BodyText"/>
      </w:pPr>
      <w:r>
        <w:t xml:space="preserve">It has been agreed that, in the outdoor scenario, all UEs are dropped in the cluster. </w:t>
      </w:r>
      <w:r w:rsidR="00C12C4B">
        <w:t xml:space="preserve">It has also been agreed that the same UE/small cell positions shall be reused between coexistence evaluation step 1 and step 2. </w:t>
      </w:r>
      <w:r>
        <w:t xml:space="preserve">The </w:t>
      </w:r>
      <w:r w:rsidR="00487B5D">
        <w:t>UE selects the small cells to associate based on RSRP.</w:t>
      </w:r>
    </w:p>
    <w:p w:rsidR="004A3A68" w:rsidRDefault="004A3A68" w:rsidP="004A3A68">
      <w:pPr>
        <w:pStyle w:val="BodyText"/>
      </w:pPr>
      <w:r>
        <w:t xml:space="preserve">A UE associated with a Wi-Fi AP is served </w:t>
      </w:r>
      <w:r w:rsidR="00A70CC5">
        <w:t>by</w:t>
      </w:r>
      <w:r>
        <w:t xml:space="preserve"> a 20MHz</w:t>
      </w:r>
      <w:r w:rsidRPr="008A2588">
        <w:t xml:space="preserve"> </w:t>
      </w:r>
      <w:r>
        <w:t xml:space="preserve">unlicensed band carrier. </w:t>
      </w:r>
    </w:p>
    <w:p w:rsidR="004A3A68" w:rsidRPr="004A3A68" w:rsidRDefault="004A3A68" w:rsidP="004A3A68">
      <w:pPr>
        <w:pStyle w:val="BodyText"/>
      </w:pPr>
      <w:r>
        <w:t xml:space="preserve">An operator UE associated with a LAA small cell is served </w:t>
      </w:r>
      <w:r w:rsidR="00A70CC5">
        <w:t>by</w:t>
      </w:r>
      <w:r>
        <w:t xml:space="preserve"> a 20MHz unlicensed band carrier and a 10MHz licensed band carrier. The licensed band carrier is an additional asset an operator can utilize to enhance coexistence with other technologies in the unlicensed band.</w:t>
      </w:r>
    </w:p>
    <w:p w:rsidR="001D59B0" w:rsidRDefault="0033326A" w:rsidP="0033326A">
      <w:pPr>
        <w:pStyle w:val="Heading2"/>
      </w:pPr>
      <w:r>
        <w:t>Common parameters for Wi-Fi and LAA</w:t>
      </w:r>
    </w:p>
    <w:p w:rsidR="0033326A" w:rsidRDefault="0033326A" w:rsidP="0033326A">
      <w:pPr>
        <w:pStyle w:val="BodyText"/>
      </w:pPr>
      <w:r>
        <w:t xml:space="preserve">To make the study results applicable globally, </w:t>
      </w:r>
      <w:r w:rsidR="00C867E0">
        <w:t xml:space="preserve">the </w:t>
      </w:r>
      <w:r>
        <w:t>output power</w:t>
      </w:r>
      <w:r w:rsidR="00C867E0">
        <w:t>s</w:t>
      </w:r>
      <w:r>
        <w:t xml:space="preserve"> </w:t>
      </w:r>
      <w:r w:rsidR="00795B5F">
        <w:t xml:space="preserve">in the unlicensed band </w:t>
      </w:r>
      <w:r>
        <w:t>for Wi-Fi AP</w:t>
      </w:r>
      <w:r w:rsidR="00C867E0">
        <w:t xml:space="preserve">/UE and LAA </w:t>
      </w:r>
      <w:proofErr w:type="spellStart"/>
      <w:r w:rsidR="00C867E0">
        <w:t>eNB</w:t>
      </w:r>
      <w:proofErr w:type="spellEnd"/>
      <w:r w:rsidR="00C867E0">
        <w:t xml:space="preserve">/UE </w:t>
      </w:r>
      <w:r>
        <w:t xml:space="preserve">in the unlicensed band </w:t>
      </w:r>
      <w:r w:rsidR="00795B5F">
        <w:t xml:space="preserve">can be </w:t>
      </w:r>
      <w:r w:rsidR="00C867E0">
        <w:t xml:space="preserve">set to </w:t>
      </w:r>
      <w:r>
        <w:t xml:space="preserve">18 </w:t>
      </w:r>
      <w:proofErr w:type="spellStart"/>
      <w:r>
        <w:t>dBm</w:t>
      </w:r>
      <w:proofErr w:type="spellEnd"/>
      <w:r>
        <w:t>.</w:t>
      </w:r>
    </w:p>
    <w:p w:rsidR="0033326A" w:rsidRDefault="002B4FF6" w:rsidP="0033326A">
      <w:pPr>
        <w:pStyle w:val="BodyText"/>
      </w:pPr>
      <w:r>
        <w:lastRenderedPageBreak/>
        <w:t>For network synchronization, the</w:t>
      </w:r>
      <w:r w:rsidR="00624903">
        <w:t xml:space="preserve"> baseline is that small cells are synchronized within the same network but </w:t>
      </w:r>
      <w:r w:rsidR="00FC4322">
        <w:t xml:space="preserve">not </w:t>
      </w:r>
      <w:r w:rsidR="00624903">
        <w:t>synchronized across networks.</w:t>
      </w:r>
    </w:p>
    <w:p w:rsidR="004A3A68" w:rsidRDefault="00624903" w:rsidP="0033326A">
      <w:pPr>
        <w:pStyle w:val="BodyText"/>
      </w:pPr>
      <w:r>
        <w:t xml:space="preserve">For both Wi-Fi and LAA, the DL MIMO configuration is </w:t>
      </w:r>
      <w:r w:rsidRPr="00624903">
        <w:t>2Tx2Rx</w:t>
      </w:r>
      <w:r>
        <w:t xml:space="preserve"> (c</w:t>
      </w:r>
      <w:r w:rsidRPr="00624903">
        <w:t>ross-polarized</w:t>
      </w:r>
      <w:r>
        <w:t>). Our view is to include 256QAM for both systems.</w:t>
      </w:r>
    </w:p>
    <w:p w:rsidR="000D0231" w:rsidRDefault="000D0231" w:rsidP="0033326A">
      <w:pPr>
        <w:pStyle w:val="BodyText"/>
      </w:pPr>
      <w:r>
        <w:t>The performance metrics for coexistence evaluation are</w:t>
      </w:r>
    </w:p>
    <w:p w:rsidR="000D0231" w:rsidRDefault="000D0231" w:rsidP="000D0231">
      <w:pPr>
        <w:pStyle w:val="BodyText"/>
        <w:numPr>
          <w:ilvl w:val="0"/>
          <w:numId w:val="26"/>
        </w:numPr>
      </w:pPr>
      <w:r>
        <w:t>User throughput CDF for FTP model users</w:t>
      </w:r>
    </w:p>
    <w:p w:rsidR="000D0231" w:rsidRDefault="00795B5F" w:rsidP="00795B5F">
      <w:pPr>
        <w:pStyle w:val="BodyText"/>
        <w:numPr>
          <w:ilvl w:val="0"/>
          <w:numId w:val="26"/>
        </w:numPr>
      </w:pPr>
      <w:r>
        <w:t xml:space="preserve">Number of </w:t>
      </w:r>
      <w:r w:rsidR="00BD2821">
        <w:t xml:space="preserve">VoIP </w:t>
      </w:r>
      <w:r>
        <w:t>users</w:t>
      </w:r>
      <w:r w:rsidRPr="00795B5F">
        <w:t xml:space="preserve"> whose 98% delay &gt; 50 </w:t>
      </w:r>
      <w:proofErr w:type="spellStart"/>
      <w:r w:rsidRPr="00795B5F">
        <w:t>ms</w:t>
      </w:r>
      <w:proofErr w:type="spellEnd"/>
      <w:r w:rsidRPr="00795B5F">
        <w:t xml:space="preserve"> </w:t>
      </w:r>
      <w:r w:rsidR="002B4FF6">
        <w:t>if optional VoIP users are modeled</w:t>
      </w:r>
    </w:p>
    <w:p w:rsidR="00861197" w:rsidRDefault="00BF674E" w:rsidP="00861197">
      <w:pPr>
        <w:pStyle w:val="Heading2"/>
      </w:pPr>
      <w:r>
        <w:t xml:space="preserve">Additional </w:t>
      </w:r>
      <w:r w:rsidR="00861197">
        <w:t xml:space="preserve">Wi-Fi </w:t>
      </w:r>
      <w:r w:rsidR="003E251F">
        <w:t>protocol</w:t>
      </w:r>
      <w:r w:rsidR="00861197">
        <w:t xml:space="preserve"> assumptions</w:t>
      </w:r>
    </w:p>
    <w:p w:rsidR="0056220A" w:rsidRPr="0056220A" w:rsidRDefault="0056220A" w:rsidP="0056220A">
      <w:pPr>
        <w:pStyle w:val="BodyText"/>
      </w:pPr>
      <w:r>
        <w:t xml:space="preserve">Additional parameters and assumptions for Wi-Fi </w:t>
      </w:r>
      <w:r w:rsidR="003E251F">
        <w:t>protocol</w:t>
      </w:r>
      <w:r>
        <w:t xml:space="preserve"> behavior</w:t>
      </w:r>
      <w:r w:rsidR="00C1441D">
        <w:t>s</w:t>
      </w:r>
      <w:r>
        <w:t xml:space="preserve"> are listed in </w:t>
      </w:r>
      <w:r>
        <w:fldChar w:fldCharType="begin"/>
      </w:r>
      <w:r>
        <w:instrText xml:space="preserve"> REF _Ref399334056 \h </w:instrText>
      </w:r>
      <w:r>
        <w:fldChar w:fldCharType="separate"/>
      </w:r>
      <w:r w:rsidR="002A463C">
        <w:t xml:space="preserve">Table </w:t>
      </w:r>
      <w:r w:rsidR="002A463C">
        <w:rPr>
          <w:noProof/>
        </w:rPr>
        <w:t>1</w:t>
      </w:r>
      <w:r>
        <w:fldChar w:fldCharType="end"/>
      </w:r>
      <w:r>
        <w:t>.</w:t>
      </w:r>
    </w:p>
    <w:p w:rsidR="00985F4A" w:rsidRPr="00985F4A" w:rsidRDefault="0056220A" w:rsidP="0056220A">
      <w:pPr>
        <w:pStyle w:val="Caption"/>
        <w:spacing w:before="240" w:after="120"/>
        <w:jc w:val="center"/>
      </w:pPr>
      <w:bookmarkStart w:id="2" w:name="_Ref399334056"/>
      <w:r>
        <w:t xml:space="preserve">Table </w:t>
      </w:r>
      <w:r w:rsidR="000F4FEB">
        <w:fldChar w:fldCharType="begin"/>
      </w:r>
      <w:r w:rsidR="000F4FEB">
        <w:instrText xml:space="preserve"> SEQ Table \* ARABIC </w:instrText>
      </w:r>
      <w:r w:rsidR="000F4FEB">
        <w:fldChar w:fldCharType="separate"/>
      </w:r>
      <w:r w:rsidR="002A463C">
        <w:rPr>
          <w:noProof/>
        </w:rPr>
        <w:t>1</w:t>
      </w:r>
      <w:r w:rsidR="000F4FEB">
        <w:rPr>
          <w:noProof/>
        </w:rPr>
        <w:fldChar w:fldCharType="end"/>
      </w:r>
      <w:bookmarkEnd w:id="2"/>
      <w:r>
        <w:t xml:space="preserve"> </w:t>
      </w:r>
      <w:r w:rsidR="00C1441D">
        <w:t xml:space="preserve">Additional </w:t>
      </w:r>
      <w:r>
        <w:t xml:space="preserve">Wi-Fi </w:t>
      </w:r>
      <w:r w:rsidR="00C1441D">
        <w:t xml:space="preserve">protocol </w:t>
      </w:r>
      <w:r>
        <w:t>assumptions</w:t>
      </w:r>
    </w:p>
    <w:tbl>
      <w:tblPr>
        <w:tblStyle w:val="TableGrid"/>
        <w:tblW w:w="6930" w:type="dxa"/>
        <w:tblInd w:w="1098" w:type="dxa"/>
        <w:tblLook w:val="0420" w:firstRow="1" w:lastRow="0" w:firstColumn="0" w:lastColumn="0" w:noHBand="0" w:noVBand="1"/>
      </w:tblPr>
      <w:tblGrid>
        <w:gridCol w:w="1117"/>
        <w:gridCol w:w="1380"/>
        <w:gridCol w:w="4433"/>
      </w:tblGrid>
      <w:tr w:rsidR="004B2F3C" w:rsidRPr="00A57722" w:rsidTr="00544D6B">
        <w:tc>
          <w:tcPr>
            <w:tcW w:w="2497" w:type="dxa"/>
            <w:gridSpan w:val="2"/>
            <w:shd w:val="clear" w:color="auto" w:fill="D9D9D9"/>
            <w:hideMark/>
          </w:tcPr>
          <w:p w:rsidR="004B2F3C" w:rsidRPr="00985F4A" w:rsidRDefault="004B2F3C" w:rsidP="004B2F3C">
            <w:pPr>
              <w:rPr>
                <w:rFonts w:ascii="Arial" w:eastAsiaTheme="minorEastAsia" w:hAnsi="Arial" w:cs="Arial"/>
                <w:b/>
                <w:sz w:val="18"/>
                <w:szCs w:val="18"/>
                <w:lang w:eastAsia="ko-KR"/>
              </w:rPr>
            </w:pPr>
            <w:r w:rsidRPr="00985F4A">
              <w:rPr>
                <w:rFonts w:ascii="Arial" w:eastAsiaTheme="minorEastAsia" w:hAnsi="Arial" w:cs="Arial"/>
                <w:b/>
                <w:sz w:val="18"/>
                <w:szCs w:val="18"/>
                <w:lang w:eastAsia="ko-KR"/>
              </w:rPr>
              <w:t>Parameter</w:t>
            </w:r>
          </w:p>
        </w:tc>
        <w:tc>
          <w:tcPr>
            <w:tcW w:w="4433" w:type="dxa"/>
            <w:shd w:val="clear" w:color="auto" w:fill="D9D9D9"/>
            <w:hideMark/>
          </w:tcPr>
          <w:p w:rsidR="004B2F3C" w:rsidRPr="00985F4A" w:rsidRDefault="00985F4A" w:rsidP="004B2F3C">
            <w:pPr>
              <w:rPr>
                <w:rFonts w:ascii="Arial" w:eastAsiaTheme="minorEastAsia" w:hAnsi="Arial" w:cs="Arial"/>
                <w:sz w:val="18"/>
                <w:szCs w:val="18"/>
                <w:lang w:eastAsia="ko-KR"/>
              </w:rPr>
            </w:pPr>
            <w:r w:rsidRPr="00985F4A">
              <w:rPr>
                <w:rFonts w:ascii="Arial" w:eastAsiaTheme="minorEastAsia" w:hAnsi="Arial" w:cs="Arial"/>
                <w:b/>
                <w:bCs/>
                <w:sz w:val="18"/>
                <w:szCs w:val="18"/>
                <w:lang w:eastAsia="ko-KR"/>
              </w:rPr>
              <w:t>value</w:t>
            </w:r>
          </w:p>
        </w:tc>
      </w:tr>
      <w:tr w:rsidR="0081482F" w:rsidRPr="00A57722" w:rsidTr="00544D6B">
        <w:trPr>
          <w:trHeight w:val="107"/>
        </w:trPr>
        <w:tc>
          <w:tcPr>
            <w:tcW w:w="2497" w:type="dxa"/>
            <w:gridSpan w:val="2"/>
            <w:vAlign w:val="center"/>
          </w:tcPr>
          <w:p w:rsidR="0081482F" w:rsidRPr="00985F4A" w:rsidRDefault="0081482F" w:rsidP="0081482F">
            <w:pPr>
              <w:rPr>
                <w:rFonts w:ascii="Arial" w:eastAsiaTheme="minorEastAsia" w:hAnsi="Arial" w:cs="Arial"/>
                <w:sz w:val="18"/>
                <w:szCs w:val="18"/>
                <w:lang w:eastAsia="ko-KR"/>
              </w:rPr>
            </w:pPr>
            <w:r w:rsidRPr="00985F4A">
              <w:rPr>
                <w:rFonts w:ascii="Arial" w:eastAsiaTheme="minorEastAsia" w:hAnsi="Arial" w:cs="Arial"/>
                <w:sz w:val="18"/>
                <w:szCs w:val="18"/>
                <w:lang w:eastAsia="ko-KR"/>
              </w:rPr>
              <w:t>TXOP</w:t>
            </w:r>
          </w:p>
        </w:tc>
        <w:tc>
          <w:tcPr>
            <w:tcW w:w="4433" w:type="dxa"/>
          </w:tcPr>
          <w:p w:rsidR="0081482F" w:rsidRPr="00985F4A" w:rsidRDefault="00D945F6" w:rsidP="008669F5">
            <w:pPr>
              <w:rPr>
                <w:rFonts w:ascii="Arial" w:eastAsiaTheme="minorEastAsia" w:hAnsi="Arial" w:cs="Arial"/>
                <w:sz w:val="18"/>
                <w:szCs w:val="18"/>
                <w:lang w:eastAsia="ko-KR"/>
              </w:rPr>
            </w:pPr>
            <w:r w:rsidRPr="00D945F6">
              <w:rPr>
                <w:rFonts w:ascii="Arial" w:eastAsiaTheme="minorEastAsia" w:hAnsi="Arial" w:cs="Arial"/>
                <w:sz w:val="18"/>
                <w:szCs w:val="18"/>
                <w:lang w:eastAsia="ko-KR"/>
              </w:rPr>
              <w:t>4.096</w:t>
            </w:r>
            <w:r w:rsidR="0081482F" w:rsidRPr="00985F4A">
              <w:rPr>
                <w:rFonts w:ascii="Arial" w:eastAsiaTheme="minorEastAsia" w:hAnsi="Arial" w:cs="Arial"/>
                <w:sz w:val="18"/>
                <w:szCs w:val="18"/>
                <w:lang w:eastAsia="ko-KR"/>
              </w:rPr>
              <w:t xml:space="preserve">ms </w:t>
            </w:r>
          </w:p>
          <w:p w:rsidR="0081482F" w:rsidRPr="00985F4A" w:rsidRDefault="00C97296" w:rsidP="00D945F6">
            <w:pPr>
              <w:rPr>
                <w:rFonts w:ascii="Arial" w:eastAsiaTheme="minorEastAsia" w:hAnsi="Arial" w:cs="Arial"/>
                <w:sz w:val="18"/>
                <w:szCs w:val="18"/>
                <w:lang w:eastAsia="ko-KR"/>
              </w:rPr>
            </w:pPr>
            <w:r>
              <w:rPr>
                <w:rFonts w:ascii="Arial" w:eastAsiaTheme="minorEastAsia" w:hAnsi="Arial" w:cs="Arial"/>
                <w:sz w:val="18"/>
                <w:szCs w:val="18"/>
                <w:lang w:eastAsia="ko-KR"/>
              </w:rPr>
              <w:t>(</w:t>
            </w:r>
            <w:r w:rsidR="0081482F" w:rsidRPr="00985F4A">
              <w:rPr>
                <w:rFonts w:ascii="Arial" w:eastAsiaTheme="minorEastAsia" w:hAnsi="Arial" w:cs="Arial"/>
                <w:sz w:val="18"/>
                <w:szCs w:val="18"/>
                <w:lang w:eastAsia="ko-KR"/>
              </w:rPr>
              <w:t xml:space="preserve">Asynchronous to LTE </w:t>
            </w:r>
            <w:r w:rsidR="00D945F6">
              <w:rPr>
                <w:rFonts w:ascii="Arial" w:eastAsiaTheme="minorEastAsia" w:hAnsi="Arial" w:cs="Arial"/>
                <w:sz w:val="18"/>
                <w:szCs w:val="18"/>
                <w:lang w:eastAsia="ko-KR"/>
              </w:rPr>
              <w:t>timing</w:t>
            </w:r>
            <w:r>
              <w:rPr>
                <w:rFonts w:ascii="Arial" w:eastAsiaTheme="minorEastAsia" w:hAnsi="Arial" w:cs="Arial"/>
                <w:sz w:val="18"/>
                <w:szCs w:val="18"/>
                <w:lang w:eastAsia="ko-KR"/>
              </w:rPr>
              <w:t>)</w:t>
            </w:r>
          </w:p>
        </w:tc>
      </w:tr>
      <w:tr w:rsidR="0081482F" w:rsidRPr="00A57722" w:rsidTr="00544D6B">
        <w:tc>
          <w:tcPr>
            <w:tcW w:w="1117" w:type="dxa"/>
            <w:vMerge w:val="restart"/>
            <w:vAlign w:val="center"/>
            <w:hideMark/>
          </w:tcPr>
          <w:p w:rsidR="0081482F" w:rsidRPr="00985F4A" w:rsidRDefault="0081482F" w:rsidP="008669F5">
            <w:pPr>
              <w:jc w:val="center"/>
              <w:rPr>
                <w:rFonts w:ascii="Arial" w:eastAsiaTheme="minorEastAsia" w:hAnsi="Arial" w:cs="Arial"/>
                <w:sz w:val="18"/>
                <w:szCs w:val="18"/>
                <w:lang w:eastAsia="ko-KR"/>
              </w:rPr>
            </w:pPr>
            <w:r w:rsidRPr="00985F4A">
              <w:rPr>
                <w:rFonts w:ascii="Arial" w:eastAsiaTheme="minorEastAsia" w:hAnsi="Arial" w:cs="Arial"/>
                <w:sz w:val="18"/>
                <w:szCs w:val="18"/>
                <w:lang w:eastAsia="ko-KR"/>
              </w:rPr>
              <w:t>MAC</w:t>
            </w: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Coordination</w:t>
            </w:r>
          </w:p>
        </w:tc>
        <w:tc>
          <w:tcPr>
            <w:tcW w:w="4433"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DCF</w:t>
            </w:r>
          </w:p>
        </w:tc>
      </w:tr>
      <w:tr w:rsidR="0081482F" w:rsidRPr="00A57722" w:rsidTr="00544D6B">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SIFS, DIFS</w:t>
            </w:r>
          </w:p>
        </w:tc>
        <w:tc>
          <w:tcPr>
            <w:tcW w:w="4433" w:type="dxa"/>
            <w:hideMark/>
          </w:tcPr>
          <w:p w:rsidR="0081482F" w:rsidRPr="00985F4A" w:rsidRDefault="004D5B94" w:rsidP="004D5B94">
            <w:pPr>
              <w:rPr>
                <w:rFonts w:ascii="Arial" w:eastAsiaTheme="minorEastAsia" w:hAnsi="Arial" w:cs="Arial"/>
                <w:sz w:val="18"/>
                <w:szCs w:val="18"/>
                <w:lang w:eastAsia="ko-KR"/>
              </w:rPr>
            </w:pPr>
            <w:r>
              <w:rPr>
                <w:rFonts w:ascii="Arial" w:eastAsiaTheme="minorEastAsia" w:hAnsi="Arial" w:cs="Arial"/>
                <w:sz w:val="18"/>
                <w:szCs w:val="18"/>
                <w:lang w:eastAsia="ko-KR"/>
              </w:rPr>
              <w:t>16</w:t>
            </w:r>
            <w:r w:rsidRPr="004D5B94">
              <w:rPr>
                <w:rFonts w:ascii="Arial" w:eastAsiaTheme="minorEastAsia" w:hAnsi="Arial" w:cs="Arial"/>
                <w:sz w:val="18"/>
                <w:szCs w:val="18"/>
                <w:lang w:eastAsia="ko-KR"/>
              </w:rPr>
              <w:t>μs</w:t>
            </w:r>
            <w:r w:rsidR="0081482F" w:rsidRPr="00985F4A">
              <w:rPr>
                <w:rFonts w:ascii="Arial" w:eastAsiaTheme="minorEastAsia" w:hAnsi="Arial" w:cs="Arial"/>
                <w:sz w:val="18"/>
                <w:szCs w:val="18"/>
                <w:lang w:eastAsia="ko-KR"/>
              </w:rPr>
              <w:t xml:space="preserve">, </w:t>
            </w:r>
            <w:r>
              <w:rPr>
                <w:rFonts w:ascii="Arial" w:eastAsiaTheme="minorEastAsia" w:hAnsi="Arial" w:cs="Arial"/>
                <w:sz w:val="18"/>
                <w:szCs w:val="18"/>
                <w:lang w:eastAsia="ko-KR"/>
              </w:rPr>
              <w:t>34</w:t>
            </w:r>
            <w:r w:rsidRPr="004D5B94">
              <w:rPr>
                <w:rFonts w:ascii="Arial" w:eastAsiaTheme="minorEastAsia" w:hAnsi="Arial" w:cs="Arial"/>
                <w:sz w:val="18"/>
                <w:szCs w:val="18"/>
                <w:lang w:eastAsia="ko-KR"/>
              </w:rPr>
              <w:t>μs</w:t>
            </w:r>
          </w:p>
        </w:tc>
      </w:tr>
      <w:tr w:rsidR="0081482F" w:rsidRPr="00A57722" w:rsidTr="00544D6B">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Detection</w:t>
            </w:r>
          </w:p>
        </w:tc>
        <w:tc>
          <w:tcPr>
            <w:tcW w:w="4433"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Energy detection &amp; preamble detection</w:t>
            </w:r>
          </w:p>
        </w:tc>
      </w:tr>
      <w:tr w:rsidR="0081482F" w:rsidRPr="00A57722" w:rsidTr="00544D6B">
        <w:trPr>
          <w:trHeight w:val="107"/>
        </w:trPr>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RTS/CTS</w:t>
            </w:r>
          </w:p>
        </w:tc>
        <w:tc>
          <w:tcPr>
            <w:tcW w:w="4433"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N/A</w:t>
            </w:r>
          </w:p>
        </w:tc>
      </w:tr>
      <w:tr w:rsidR="0081482F" w:rsidRPr="00A57722" w:rsidTr="00544D6B">
        <w:trPr>
          <w:trHeight w:val="145"/>
        </w:trPr>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Contention window</w:t>
            </w:r>
          </w:p>
        </w:tc>
        <w:tc>
          <w:tcPr>
            <w:tcW w:w="4433"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Min : 15 slot,  Max : 1023 slot</w:t>
            </w:r>
          </w:p>
        </w:tc>
      </w:tr>
      <w:tr w:rsidR="004B2F3C" w:rsidRPr="00A57722" w:rsidTr="00544D6B">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CCA-CS</w:t>
            </w:r>
          </w:p>
        </w:tc>
        <w:tc>
          <w:tcPr>
            <w:tcW w:w="4433" w:type="dxa"/>
          </w:tcPr>
          <w:p w:rsidR="004B2F3C" w:rsidRPr="00985F4A" w:rsidDel="00623036"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-82dBm and preamble decoding</w:t>
            </w:r>
            <w:r w:rsidR="0081482F">
              <w:rPr>
                <w:rFonts w:ascii="Arial" w:eastAsiaTheme="minorEastAsia" w:hAnsi="Arial" w:cs="Arial"/>
                <w:sz w:val="18"/>
                <w:szCs w:val="18"/>
                <w:lang w:eastAsia="ko-KR"/>
              </w:rPr>
              <w:br/>
              <w:t xml:space="preserve">(Note preamble </w:t>
            </w:r>
            <w:r w:rsidR="0081482F" w:rsidRPr="0081482F">
              <w:rPr>
                <w:rFonts w:ascii="Arial" w:eastAsiaTheme="minorEastAsia" w:hAnsi="Arial" w:cs="Arial"/>
                <w:sz w:val="18"/>
                <w:szCs w:val="18"/>
                <w:lang w:eastAsia="ko-KR"/>
              </w:rPr>
              <w:t>occupies the 20MHz system bandwidth with rate 1/2 coding and BPSK modulation</w:t>
            </w:r>
            <w:r w:rsidR="0081482F">
              <w:rPr>
                <w:rFonts w:ascii="Arial" w:eastAsiaTheme="minorEastAsia" w:hAnsi="Arial" w:cs="Arial"/>
                <w:sz w:val="18"/>
                <w:szCs w:val="18"/>
                <w:lang w:eastAsia="ko-KR"/>
              </w:rPr>
              <w:t>)</w:t>
            </w:r>
          </w:p>
        </w:tc>
      </w:tr>
      <w:tr w:rsidR="004B2F3C" w:rsidRPr="00A57722" w:rsidTr="00544D6B">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CCA-ED</w:t>
            </w:r>
          </w:p>
        </w:tc>
        <w:tc>
          <w:tcPr>
            <w:tcW w:w="4433" w:type="dxa"/>
          </w:tcPr>
          <w:p w:rsidR="004B2F3C" w:rsidRPr="00985F4A" w:rsidRDefault="00E4522A" w:rsidP="00AC4C62">
            <w:pPr>
              <w:rPr>
                <w:rFonts w:ascii="Arial" w:eastAsiaTheme="minorEastAsia" w:hAnsi="Arial" w:cs="Arial"/>
                <w:sz w:val="18"/>
                <w:szCs w:val="18"/>
                <w:lang w:eastAsia="ko-KR"/>
              </w:rPr>
            </w:pPr>
            <w:r w:rsidRPr="00985F4A">
              <w:rPr>
                <w:rFonts w:ascii="Arial" w:eastAsiaTheme="minorEastAsia" w:hAnsi="Arial" w:cs="Arial"/>
                <w:sz w:val="18"/>
                <w:szCs w:val="18"/>
                <w:lang w:eastAsia="ko-KR"/>
              </w:rPr>
              <w:t>-62dBm</w:t>
            </w:r>
          </w:p>
        </w:tc>
      </w:tr>
    </w:tbl>
    <w:p w:rsidR="002443A0" w:rsidRPr="00E70914" w:rsidRDefault="002443A0" w:rsidP="002443A0">
      <w:pPr>
        <w:pStyle w:val="Heading1"/>
        <w:jc w:val="both"/>
      </w:pPr>
      <w:r w:rsidRPr="00E70914">
        <w:t>Conclusions</w:t>
      </w:r>
      <w:bookmarkStart w:id="3" w:name="_GoBack"/>
      <w:bookmarkEnd w:id="3"/>
    </w:p>
    <w:p w:rsidR="002443A0" w:rsidRDefault="002443A0" w:rsidP="002443A0">
      <w:pPr>
        <w:pStyle w:val="BodyText"/>
      </w:pPr>
      <w:r w:rsidRPr="00E70914">
        <w:t xml:space="preserve">In this contribution, </w:t>
      </w:r>
      <w:r w:rsidR="00FE50A2">
        <w:t xml:space="preserve">we discuss and provide our views on the </w:t>
      </w:r>
      <w:r w:rsidR="00D4552B">
        <w:t xml:space="preserve">remaining </w:t>
      </w:r>
      <w:r w:rsidR="00FE50A2">
        <w:t>coexistence evaluation methodology, scenarios and assumptions.</w:t>
      </w:r>
    </w:p>
    <w:p w:rsidR="00D4552B" w:rsidRPr="0008449E" w:rsidRDefault="00D4552B" w:rsidP="00CA488E">
      <w:pPr>
        <w:pStyle w:val="BodyText"/>
        <w:spacing w:after="240"/>
      </w:pPr>
      <w:r w:rsidRPr="00DB6900">
        <w:rPr>
          <w:b/>
        </w:rPr>
        <w:t>Observation</w:t>
      </w:r>
      <w:r w:rsidR="00EB3B41" w:rsidRPr="00DB6900">
        <w:rPr>
          <w:b/>
        </w:rPr>
        <w:t>:</w:t>
      </w:r>
      <w:r w:rsidRPr="0008449E">
        <w:t xml:space="preserve"> There is hundreds of MHz, and more than 500MHz in some regions, of unlicensed 5GHz spectrum available for deploying wireless access systems. The wide spectrum </w:t>
      </w:r>
      <w:r w:rsidR="00FC4322">
        <w:t xml:space="preserve">availability </w:t>
      </w:r>
      <w:r w:rsidRPr="0008449E">
        <w:t>allows operators to assess the traffic load and to partition the load into a suitable number of serving frequencies with an aim to balance the operator CAPEX/OPEX and user experience.</w:t>
      </w:r>
    </w:p>
    <w:p w:rsidR="00D4552B" w:rsidRPr="0008449E" w:rsidRDefault="00D4552B" w:rsidP="00CA488E">
      <w:pPr>
        <w:pStyle w:val="BodyText"/>
        <w:spacing w:after="240"/>
        <w:contextualSpacing/>
      </w:pPr>
      <w:r w:rsidRPr="00DB6900">
        <w:rPr>
          <w:b/>
        </w:rPr>
        <w:t>Proposal 1</w:t>
      </w:r>
      <w:r w:rsidR="0023189D" w:rsidRPr="00DB6900">
        <w:rPr>
          <w:b/>
        </w:rPr>
        <w:t>:</w:t>
      </w:r>
      <w:r w:rsidRPr="0008449E">
        <w:t xml:space="preserve"> For an operator deployed high-performance Wi-Fi or LAA network, the number of active UEs per serving frequency is </w:t>
      </w:r>
      <w:r w:rsidR="0023189D">
        <w:t>set to</w:t>
      </w:r>
      <w:r w:rsidRPr="0008449E">
        <w:t xml:space="preserve"> a reasonable level</w:t>
      </w:r>
      <w:r w:rsidR="0023189D">
        <w:t>.</w:t>
      </w:r>
    </w:p>
    <w:p w:rsidR="00D4552B" w:rsidRPr="0008449E" w:rsidRDefault="00D4552B" w:rsidP="00CA488E">
      <w:pPr>
        <w:pStyle w:val="BodyText"/>
        <w:numPr>
          <w:ilvl w:val="0"/>
          <w:numId w:val="27"/>
        </w:numPr>
        <w:spacing w:after="240"/>
      </w:pPr>
      <w:r w:rsidRPr="0008449E">
        <w:t>U = 15 active UEs per unlicensed band frequency per operator</w:t>
      </w:r>
    </w:p>
    <w:p w:rsidR="00D4552B" w:rsidRPr="0008449E" w:rsidRDefault="00D4552B" w:rsidP="00CA488E">
      <w:pPr>
        <w:pStyle w:val="BodyText"/>
        <w:keepNext/>
        <w:spacing w:after="240"/>
        <w:contextualSpacing/>
      </w:pPr>
      <w:r w:rsidRPr="00DB6900">
        <w:rPr>
          <w:b/>
        </w:rPr>
        <w:t>Proposal 2</w:t>
      </w:r>
      <w:r w:rsidR="0023189D" w:rsidRPr="00DB6900">
        <w:rPr>
          <w:b/>
        </w:rPr>
        <w:t>:</w:t>
      </w:r>
      <w:r w:rsidRPr="0008449E">
        <w:t xml:space="preserve"> Wi-Fi beacon frame transmission is modeled in </w:t>
      </w:r>
      <w:r w:rsidR="000B3FF8">
        <w:t xml:space="preserve">the </w:t>
      </w:r>
      <w:r w:rsidRPr="0008449E">
        <w:t>coexistence evaluation</w:t>
      </w:r>
      <w:r w:rsidR="000B3FF8">
        <w:t>s</w:t>
      </w:r>
    </w:p>
    <w:p w:rsidR="00D4552B" w:rsidRPr="0008449E" w:rsidRDefault="00D4552B" w:rsidP="00CA488E">
      <w:pPr>
        <w:pStyle w:val="BodyText"/>
        <w:numPr>
          <w:ilvl w:val="0"/>
          <w:numId w:val="25"/>
        </w:numPr>
        <w:spacing w:after="240"/>
        <w:contextualSpacing/>
      </w:pPr>
      <w:r w:rsidRPr="0008449E">
        <w:t>Target beacon transmission time: every 100ms</w:t>
      </w:r>
    </w:p>
    <w:p w:rsidR="00D4552B" w:rsidRPr="0008449E" w:rsidRDefault="00D4552B" w:rsidP="00CA488E">
      <w:pPr>
        <w:pStyle w:val="BodyText"/>
        <w:numPr>
          <w:ilvl w:val="1"/>
          <w:numId w:val="25"/>
        </w:numPr>
        <w:spacing w:after="240"/>
        <w:contextualSpacing/>
      </w:pPr>
      <w:r w:rsidRPr="0008449E">
        <w:t>Timing randomized between APs</w:t>
      </w:r>
    </w:p>
    <w:p w:rsidR="00D4552B" w:rsidRPr="0008449E" w:rsidRDefault="00D4552B" w:rsidP="00CA488E">
      <w:pPr>
        <w:pStyle w:val="BodyText"/>
        <w:numPr>
          <w:ilvl w:val="0"/>
          <w:numId w:val="25"/>
        </w:numPr>
        <w:spacing w:after="240"/>
      </w:pPr>
      <w:r w:rsidRPr="0008449E">
        <w:t>Beacon frame duration: 500</w:t>
      </w:r>
      <w:r w:rsidRPr="0008449E">
        <w:rPr>
          <w:rFonts w:ascii="Cambria Math" w:hAnsi="Cambria Math"/>
        </w:rPr>
        <w:t>μ</w:t>
      </w:r>
      <w:r w:rsidRPr="0008449E">
        <w:t>s</w:t>
      </w:r>
    </w:p>
    <w:p w:rsidR="00D4552B" w:rsidRPr="0008449E" w:rsidRDefault="00D4552B" w:rsidP="00CA488E">
      <w:pPr>
        <w:pStyle w:val="BodyText"/>
        <w:spacing w:after="240"/>
      </w:pPr>
      <w:r w:rsidRPr="00DB6900">
        <w:rPr>
          <w:b/>
        </w:rPr>
        <w:t>Proposal 3</w:t>
      </w:r>
      <w:r w:rsidR="0023189D">
        <w:rPr>
          <w:b/>
        </w:rPr>
        <w:t>:</w:t>
      </w:r>
      <w:r w:rsidRPr="0008449E">
        <w:t xml:space="preserve"> For LAA and Wi-Fi coexistence evaluation, the nonreplaced Wi-Fi network selects the channels for the APs first.</w:t>
      </w:r>
    </w:p>
    <w:p w:rsidR="0008449E" w:rsidRPr="0008449E" w:rsidRDefault="00D4552B" w:rsidP="00CA488E">
      <w:pPr>
        <w:pStyle w:val="BodyText"/>
        <w:spacing w:after="240"/>
      </w:pPr>
      <w:r w:rsidRPr="00DB6900">
        <w:rPr>
          <w:b/>
        </w:rPr>
        <w:t>Proposal 4</w:t>
      </w:r>
      <w:r w:rsidR="0023189D">
        <w:t>:</w:t>
      </w:r>
      <w:r w:rsidRPr="0008449E">
        <w:t xml:space="preserve"> </w:t>
      </w:r>
      <w:r w:rsidR="0008449E" w:rsidRPr="0008449E">
        <w:t xml:space="preserve">Randomized inter-operator separation in the system simulation is supported in the indoor scenario. All the nodes are centered </w:t>
      </w:r>
      <w:r w:rsidR="0023189D">
        <w:t xml:space="preserve">with respect to the shorter dimension </w:t>
      </w:r>
      <w:r w:rsidR="0023189D">
        <w:t>of</w:t>
      </w:r>
      <w:r w:rsidR="0008449E" w:rsidRPr="0008449E">
        <w:t xml:space="preserve"> the building</w:t>
      </w:r>
    </w:p>
    <w:p w:rsidR="00D4552B" w:rsidRPr="0008449E" w:rsidRDefault="0008449E" w:rsidP="00CA488E">
      <w:pPr>
        <w:pStyle w:val="BodyText"/>
        <w:spacing w:after="240"/>
      </w:pPr>
      <w:r w:rsidRPr="00DB6900">
        <w:rPr>
          <w:b/>
        </w:rPr>
        <w:lastRenderedPageBreak/>
        <w:t>Proposal 5</w:t>
      </w:r>
      <w:r w:rsidR="0023189D" w:rsidRPr="00DB6900">
        <w:rPr>
          <w:b/>
        </w:rPr>
        <w:t>:</w:t>
      </w:r>
      <w:r w:rsidRPr="0008449E">
        <w:t xml:space="preserve"> </w:t>
      </w:r>
      <w:r w:rsidR="00D4552B" w:rsidRPr="0008449E">
        <w:t>Unmanaged Wi-Fi APs and UEs are optional for indoor scenario only.</w:t>
      </w:r>
    </w:p>
    <w:p w:rsidR="002B4FF6" w:rsidRPr="0008449E" w:rsidRDefault="00D4552B" w:rsidP="00CA488E">
      <w:pPr>
        <w:pStyle w:val="BodyText"/>
        <w:spacing w:after="240"/>
        <w:contextualSpacing/>
      </w:pPr>
      <w:r w:rsidRPr="00DB6900">
        <w:rPr>
          <w:b/>
        </w:rPr>
        <w:t xml:space="preserve">Proposal </w:t>
      </w:r>
      <w:r w:rsidR="0008449E" w:rsidRPr="00DB6900">
        <w:rPr>
          <w:b/>
        </w:rPr>
        <w:t>6</w:t>
      </w:r>
      <w:r w:rsidR="0023189D" w:rsidRPr="00DB6900">
        <w:rPr>
          <w:b/>
        </w:rPr>
        <w:t>:</w:t>
      </w:r>
      <w:r w:rsidRPr="0008449E">
        <w:t xml:space="preserve"> </w:t>
      </w:r>
      <w:r w:rsidR="002B4FF6" w:rsidRPr="0008449E">
        <w:t xml:space="preserve">For phase 1 coexistence evaluation of DL-only LAA solutions, 100% of the data traffic is DL for both Wi-Fi and LAA networks. </w:t>
      </w:r>
      <w:r w:rsidR="0008449E">
        <w:t xml:space="preserve">For phase 2 coexistence evaluation of TDD LAA solutions, data traffic for both Wi-Fi and LAA networks is 80% DL and 20% UL. </w:t>
      </w:r>
      <w:r w:rsidR="002B4FF6" w:rsidRPr="0008449E">
        <w:t xml:space="preserve">However, the Wi-Fi ACK frames sent by the UEs should </w:t>
      </w:r>
      <w:r w:rsidR="00EF263F">
        <w:t xml:space="preserve">always </w:t>
      </w:r>
      <w:r w:rsidR="002B4FF6" w:rsidRPr="0008449E">
        <w:t xml:space="preserve">be modeled. </w:t>
      </w:r>
    </w:p>
    <w:p w:rsidR="00D4552B" w:rsidRPr="0008449E" w:rsidRDefault="009874E1" w:rsidP="00CA488E">
      <w:pPr>
        <w:pStyle w:val="BodyText"/>
        <w:numPr>
          <w:ilvl w:val="0"/>
          <w:numId w:val="28"/>
        </w:numPr>
        <w:spacing w:after="240"/>
        <w:contextualSpacing/>
      </w:pPr>
      <w:r w:rsidRPr="0008449E">
        <w:t>The file size for the agreed FTP models is 0.5MB.</w:t>
      </w:r>
    </w:p>
    <w:p w:rsidR="002B4FF6" w:rsidRPr="0008449E" w:rsidRDefault="00E47386" w:rsidP="00CA488E">
      <w:pPr>
        <w:pStyle w:val="BodyText"/>
        <w:numPr>
          <w:ilvl w:val="0"/>
          <w:numId w:val="28"/>
        </w:numPr>
        <w:spacing w:after="240"/>
      </w:pPr>
      <w:r>
        <w:t>Optional</w:t>
      </w:r>
      <w:r w:rsidR="002A463C">
        <w:t>:</w:t>
      </w:r>
      <w:r>
        <w:t xml:space="preserve"> </w:t>
      </w:r>
      <w:r w:rsidR="002B4FF6" w:rsidRPr="0008449E">
        <w:t>VoIP users in the non-replaced Wi-Fi network.</w:t>
      </w:r>
    </w:p>
    <w:p w:rsidR="002B4FF6" w:rsidRPr="0008449E" w:rsidRDefault="002B4FF6" w:rsidP="00CA488E">
      <w:pPr>
        <w:pStyle w:val="BodyText"/>
        <w:spacing w:after="240"/>
      </w:pPr>
      <w:r w:rsidRPr="00DB6900">
        <w:rPr>
          <w:b/>
        </w:rPr>
        <w:t xml:space="preserve">Proposal </w:t>
      </w:r>
      <w:r w:rsidR="00725CCB" w:rsidRPr="00DB6900">
        <w:rPr>
          <w:b/>
        </w:rPr>
        <w:t>7</w:t>
      </w:r>
      <w:r w:rsidR="0023189D" w:rsidRPr="00DB6900">
        <w:rPr>
          <w:b/>
        </w:rPr>
        <w:t>:</w:t>
      </w:r>
      <w:r w:rsidRPr="0008449E">
        <w:t xml:space="preserve"> UEs select the small cells to associate </w:t>
      </w:r>
      <w:r w:rsidR="002A463C">
        <w:t xml:space="preserve">to </w:t>
      </w:r>
      <w:proofErr w:type="spellStart"/>
      <w:proofErr w:type="gramStart"/>
      <w:r w:rsidRPr="0008449E">
        <w:t>based</w:t>
      </w:r>
      <w:proofErr w:type="spellEnd"/>
      <w:proofErr w:type="gramEnd"/>
      <w:r w:rsidRPr="0008449E">
        <w:t xml:space="preserve"> on RSRP. A UE associated with a Wi-Fi AP is served </w:t>
      </w:r>
      <w:r w:rsidR="00A70CC5">
        <w:t>by</w:t>
      </w:r>
      <w:r w:rsidRPr="0008449E">
        <w:t xml:space="preserve"> a 20MHz unlicensed band carrier. An operator UE associated with a LAA small cell is served </w:t>
      </w:r>
      <w:r w:rsidR="00A70CC5">
        <w:t>by</w:t>
      </w:r>
      <w:r w:rsidRPr="0008449E">
        <w:t xml:space="preserve"> a 20MHz unlicensed band carrier and a 10MHz licensed band carrier.</w:t>
      </w:r>
    </w:p>
    <w:p w:rsidR="00D4552B" w:rsidRPr="0008449E" w:rsidRDefault="002B4FF6" w:rsidP="00CA488E">
      <w:pPr>
        <w:pStyle w:val="BodyText"/>
        <w:spacing w:after="240"/>
      </w:pPr>
      <w:r w:rsidRPr="00DB6900">
        <w:rPr>
          <w:b/>
        </w:rPr>
        <w:t xml:space="preserve">Proposal </w:t>
      </w:r>
      <w:r w:rsidR="00725CCB" w:rsidRPr="00DB6900">
        <w:rPr>
          <w:b/>
        </w:rPr>
        <w:t>8</w:t>
      </w:r>
      <w:r w:rsidR="0023189D" w:rsidRPr="00DB6900">
        <w:rPr>
          <w:b/>
        </w:rPr>
        <w:t>:</w:t>
      </w:r>
      <w:r w:rsidRPr="0008449E">
        <w:t xml:space="preserve"> To make the study results applicable globally, the output powers for Wi-Fi AP/UE and LAA </w:t>
      </w:r>
      <w:proofErr w:type="spellStart"/>
      <w:r w:rsidRPr="0008449E">
        <w:t>eNB</w:t>
      </w:r>
      <w:proofErr w:type="spellEnd"/>
      <w:r w:rsidRPr="0008449E">
        <w:t xml:space="preserve">/UE in the unlicensed band </w:t>
      </w:r>
      <w:r w:rsidR="00FB639B">
        <w:t>can be</w:t>
      </w:r>
      <w:r w:rsidR="00FB639B" w:rsidRPr="0008449E">
        <w:t xml:space="preserve"> </w:t>
      </w:r>
      <w:r w:rsidRPr="0008449E">
        <w:t xml:space="preserve">set to 18 </w:t>
      </w:r>
      <w:proofErr w:type="spellStart"/>
      <w:r w:rsidRPr="0008449E">
        <w:t>dBm</w:t>
      </w:r>
      <w:proofErr w:type="spellEnd"/>
      <w:r w:rsidRPr="0008449E">
        <w:t>.</w:t>
      </w:r>
    </w:p>
    <w:p w:rsidR="002B4FF6" w:rsidRDefault="00725CCB" w:rsidP="00CA488E">
      <w:pPr>
        <w:pStyle w:val="BodyText"/>
        <w:spacing w:after="240"/>
      </w:pPr>
      <w:r w:rsidRPr="00DB6900">
        <w:rPr>
          <w:b/>
        </w:rPr>
        <w:t>Proposal 9</w:t>
      </w:r>
      <w:r w:rsidR="0023189D" w:rsidRPr="00DB6900">
        <w:rPr>
          <w:b/>
        </w:rPr>
        <w:t>:</w:t>
      </w:r>
      <w:r w:rsidR="002B4FF6" w:rsidRPr="0008449E">
        <w:t xml:space="preserve"> Small cells are synchronized within the same network but </w:t>
      </w:r>
      <w:r w:rsidR="002A463C">
        <w:t xml:space="preserve">not </w:t>
      </w:r>
      <w:r w:rsidR="002B4FF6" w:rsidRPr="0008449E">
        <w:t>synchronized across networks.</w:t>
      </w:r>
    </w:p>
    <w:p w:rsidR="00A70CC5" w:rsidRPr="0008449E" w:rsidRDefault="00A70CC5" w:rsidP="00CA488E">
      <w:pPr>
        <w:pStyle w:val="BodyText"/>
        <w:spacing w:after="240"/>
      </w:pPr>
      <w:r w:rsidRPr="00DB6900">
        <w:rPr>
          <w:b/>
        </w:rPr>
        <w:t>Proposal 10</w:t>
      </w:r>
      <w:r w:rsidR="0023189D" w:rsidRPr="00DB6900">
        <w:rPr>
          <w:b/>
        </w:rPr>
        <w:t>:</w:t>
      </w:r>
      <w:r>
        <w:t xml:space="preserve"> Common DL MIMO </w:t>
      </w:r>
      <w:r w:rsidR="00F71099">
        <w:t>capabilities of</w:t>
      </w:r>
      <w:r>
        <w:t xml:space="preserve"> </w:t>
      </w:r>
      <w:r w:rsidRPr="00624903">
        <w:t>2Tx2Rx</w:t>
      </w:r>
      <w:r>
        <w:t xml:space="preserve"> </w:t>
      </w:r>
      <w:r w:rsidR="00F71099">
        <w:t>(</w:t>
      </w:r>
      <w:r>
        <w:t>c</w:t>
      </w:r>
      <w:r w:rsidRPr="00624903">
        <w:t>ross-polarized</w:t>
      </w:r>
      <w:r w:rsidR="00F71099">
        <w:t>)</w:t>
      </w:r>
      <w:r>
        <w:t xml:space="preserve"> and </w:t>
      </w:r>
      <w:r w:rsidR="007A269B">
        <w:t xml:space="preserve">256QAM support </w:t>
      </w:r>
      <w:r>
        <w:t>are assumed for both Wi-Fi and LAA systems.</w:t>
      </w:r>
    </w:p>
    <w:p w:rsidR="002B4FF6" w:rsidRPr="0008449E" w:rsidRDefault="00333526" w:rsidP="00CA488E">
      <w:pPr>
        <w:pStyle w:val="BodyText"/>
        <w:spacing w:after="240"/>
        <w:contextualSpacing/>
      </w:pPr>
      <w:r w:rsidRPr="00DB6900">
        <w:rPr>
          <w:b/>
        </w:rPr>
        <w:t>Proposal 11</w:t>
      </w:r>
      <w:r w:rsidR="0023189D" w:rsidRPr="00DB6900">
        <w:rPr>
          <w:b/>
        </w:rPr>
        <w:t>:</w:t>
      </w:r>
      <w:r w:rsidR="002B4FF6" w:rsidRPr="0008449E">
        <w:t xml:space="preserve"> The performance metrics for coexistence evaluation are</w:t>
      </w:r>
    </w:p>
    <w:p w:rsidR="002B4FF6" w:rsidRPr="0008449E" w:rsidRDefault="002B4FF6" w:rsidP="00CA488E">
      <w:pPr>
        <w:pStyle w:val="BodyText"/>
        <w:numPr>
          <w:ilvl w:val="0"/>
          <w:numId w:val="26"/>
        </w:numPr>
        <w:spacing w:after="240"/>
        <w:contextualSpacing/>
      </w:pPr>
      <w:r w:rsidRPr="0008449E">
        <w:t>User throughput CDF for FTP model users</w:t>
      </w:r>
    </w:p>
    <w:p w:rsidR="002B4FF6" w:rsidRPr="0008449E" w:rsidRDefault="00994FFD" w:rsidP="00CA488E">
      <w:pPr>
        <w:pStyle w:val="BodyText"/>
        <w:numPr>
          <w:ilvl w:val="0"/>
          <w:numId w:val="26"/>
        </w:numPr>
        <w:spacing w:after="240"/>
      </w:pPr>
      <w:r>
        <w:t xml:space="preserve">Number of </w:t>
      </w:r>
      <w:r w:rsidR="000F4FEB">
        <w:t xml:space="preserve">VoIP </w:t>
      </w:r>
      <w:r>
        <w:t>users</w:t>
      </w:r>
      <w:r w:rsidRPr="00795B5F">
        <w:t xml:space="preserve"> whose 98% delay &gt; 50 </w:t>
      </w:r>
      <w:proofErr w:type="spellStart"/>
      <w:r w:rsidRPr="00795B5F">
        <w:t>ms</w:t>
      </w:r>
      <w:proofErr w:type="spellEnd"/>
      <w:r w:rsidRPr="00795B5F">
        <w:t xml:space="preserve"> </w:t>
      </w:r>
      <w:r>
        <w:t>if optional VoIP users are modeled</w:t>
      </w:r>
    </w:p>
    <w:p w:rsidR="00D4552B" w:rsidRPr="0008449E" w:rsidRDefault="00725CCB" w:rsidP="00CA488E">
      <w:pPr>
        <w:pStyle w:val="BodyText"/>
        <w:spacing w:after="240"/>
      </w:pPr>
      <w:r w:rsidRPr="00DB6900">
        <w:rPr>
          <w:b/>
        </w:rPr>
        <w:t>Proposal 1</w:t>
      </w:r>
      <w:r w:rsidR="007637DA" w:rsidRPr="00DB6900">
        <w:rPr>
          <w:b/>
        </w:rPr>
        <w:t>2</w:t>
      </w:r>
      <w:r w:rsidR="0023189D" w:rsidRPr="00DB6900">
        <w:rPr>
          <w:b/>
        </w:rPr>
        <w:t>:</w:t>
      </w:r>
      <w:r w:rsidR="00225D43" w:rsidRPr="0008449E">
        <w:t xml:space="preserve"> </w:t>
      </w:r>
      <w:r w:rsidR="006C6A93">
        <w:t>Adopt the a</w:t>
      </w:r>
      <w:r w:rsidR="00225D43" w:rsidRPr="0008449E">
        <w:t xml:space="preserve">dditional remaining Wi-Fi </w:t>
      </w:r>
      <w:r w:rsidR="003E251F">
        <w:t xml:space="preserve">protocol </w:t>
      </w:r>
      <w:r w:rsidR="00225D43" w:rsidRPr="0008449E">
        <w:t xml:space="preserve">assumptions listed in </w:t>
      </w:r>
      <w:r w:rsidR="00225D43" w:rsidRPr="0008449E">
        <w:fldChar w:fldCharType="begin"/>
      </w:r>
      <w:r w:rsidR="00225D43" w:rsidRPr="0008449E">
        <w:instrText xml:space="preserve"> REF _Ref399334056 \h  \* MERGEFORMAT </w:instrText>
      </w:r>
      <w:r w:rsidR="00225D43" w:rsidRPr="0008449E">
        <w:fldChar w:fldCharType="separate"/>
      </w:r>
      <w:r w:rsidR="002A463C">
        <w:t xml:space="preserve">Table </w:t>
      </w:r>
      <w:r w:rsidR="002A463C">
        <w:rPr>
          <w:noProof/>
        </w:rPr>
        <w:t>1</w:t>
      </w:r>
      <w:r w:rsidR="00225D43" w:rsidRPr="0008449E">
        <w:fldChar w:fldCharType="end"/>
      </w:r>
      <w:r w:rsidR="00225D43" w:rsidRPr="0008449E">
        <w:t>.</w:t>
      </w:r>
    </w:p>
    <w:p w:rsidR="002443A0" w:rsidRPr="00E70914" w:rsidRDefault="002443A0" w:rsidP="002443A0">
      <w:pPr>
        <w:pStyle w:val="Heading1"/>
        <w:jc w:val="both"/>
      </w:pPr>
      <w:r w:rsidRPr="00E70914">
        <w:t>References</w:t>
      </w:r>
    </w:p>
    <w:p w:rsidR="002443A0" w:rsidRDefault="00EC5C84" w:rsidP="005579A3">
      <w:pPr>
        <w:pStyle w:val="Reference"/>
      </w:pPr>
      <w:bookmarkStart w:id="4" w:name="_Ref399149024"/>
      <w:r>
        <w:t>RP-141664</w:t>
      </w:r>
      <w:r w:rsidR="002A463C">
        <w:t>, “</w:t>
      </w:r>
      <w:r w:rsidR="005579A3" w:rsidRPr="005579A3">
        <w:t>Study on Licensed-Assisted Access usi</w:t>
      </w:r>
      <w:r>
        <w:t>ng LTE</w:t>
      </w:r>
      <w:r w:rsidR="002A463C">
        <w:t>”</w:t>
      </w:r>
      <w:r>
        <w:t>,</w:t>
      </w:r>
      <w:r w:rsidR="005579A3" w:rsidRPr="005579A3">
        <w:t xml:space="preserve"> Ericsson, Qualcomm, Huawei, ALU</w:t>
      </w:r>
      <w:bookmarkEnd w:id="4"/>
      <w:r w:rsidR="005579A3" w:rsidRPr="005579A3">
        <w:t xml:space="preserve"> </w:t>
      </w:r>
    </w:p>
    <w:p w:rsidR="000252DC" w:rsidRDefault="002A463C" w:rsidP="00DB6900">
      <w:pPr>
        <w:pStyle w:val="Reference"/>
      </w:pPr>
      <w:bookmarkStart w:id="5" w:name="_Ref399155171"/>
      <w:bookmarkStart w:id="6" w:name="_Ref403144420"/>
      <w:r>
        <w:t>R1-144775, “</w:t>
      </w:r>
      <w:r>
        <w:t xml:space="preserve">Email Discussion (78bis-15) Summary on Evaluation Methodology for </w:t>
      </w:r>
      <w:r>
        <w:t>LAA”, Ericsson</w:t>
      </w:r>
      <w:bookmarkEnd w:id="5"/>
      <w:bookmarkEnd w:id="6"/>
    </w:p>
    <w:p w:rsidR="004C7974" w:rsidRPr="000252DC" w:rsidRDefault="004C7974" w:rsidP="000252DC">
      <w:pPr>
        <w:pStyle w:val="Reference"/>
      </w:pPr>
      <w:bookmarkStart w:id="7" w:name="_Ref399336919"/>
      <w:bookmarkStart w:id="8" w:name="_Ref403052350"/>
      <w:r>
        <w:t xml:space="preserve">Ericsson mobility report available at </w:t>
      </w:r>
      <w:hyperlink r:id="rId10" w:history="1">
        <w:r>
          <w:rPr>
            <w:rStyle w:val="Hyperlink"/>
          </w:rPr>
          <w:t>http://www.ericsson.com/res/docs/2012/ericsson-mobility-report-november-2012.pdf</w:t>
        </w:r>
      </w:hyperlink>
      <w:bookmarkEnd w:id="7"/>
      <w:r>
        <w:t>.</w:t>
      </w:r>
      <w:bookmarkEnd w:id="8"/>
    </w:p>
    <w:p w:rsidR="00B93118" w:rsidRDefault="00B93118" w:rsidP="00B93118">
      <w:pPr>
        <w:pStyle w:val="Reference"/>
        <w:numPr>
          <w:ilvl w:val="0"/>
          <w:numId w:val="0"/>
        </w:numPr>
        <w:spacing w:after="200" w:line="276" w:lineRule="auto"/>
        <w:ind w:left="567" w:hanging="567"/>
        <w:jc w:val="left"/>
      </w:pPr>
    </w:p>
    <w:sectPr w:rsidR="00B9311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4707A5"/>
    <w:multiLevelType w:val="hybridMultilevel"/>
    <w:tmpl w:val="0130F1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12752"/>
    <w:multiLevelType w:val="hybridMultilevel"/>
    <w:tmpl w:val="80BC19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DA11158"/>
    <w:multiLevelType w:val="hybridMultilevel"/>
    <w:tmpl w:val="E04660C0"/>
    <w:lvl w:ilvl="0" w:tplc="E3A25026">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5">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B27DF0"/>
    <w:multiLevelType w:val="hybridMultilevel"/>
    <w:tmpl w:val="692C3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C8E51C1"/>
    <w:multiLevelType w:val="hybridMultilevel"/>
    <w:tmpl w:val="2DD6E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222FE1"/>
    <w:multiLevelType w:val="hybridMultilevel"/>
    <w:tmpl w:val="215C18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3C90503"/>
    <w:multiLevelType w:val="hybridMultilevel"/>
    <w:tmpl w:val="71CCF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73425BB"/>
    <w:multiLevelType w:val="hybridMultilevel"/>
    <w:tmpl w:val="84566544"/>
    <w:lvl w:ilvl="0" w:tplc="50042274">
      <w:start w:val="1"/>
      <w:numFmt w:val="bullet"/>
      <w:lvlText w:val="•"/>
      <w:lvlJc w:val="left"/>
      <w:pPr>
        <w:tabs>
          <w:tab w:val="num" w:pos="360"/>
        </w:tabs>
        <w:ind w:left="360" w:hanging="360"/>
      </w:pPr>
      <w:rPr>
        <w:rFonts w:ascii="Arial" w:hAnsi="Arial" w:hint="default"/>
      </w:rPr>
    </w:lvl>
    <w:lvl w:ilvl="1" w:tplc="1E18DF46">
      <w:start w:val="2013"/>
      <w:numFmt w:val="bullet"/>
      <w:lvlText w:val="–"/>
      <w:lvlJc w:val="left"/>
      <w:pPr>
        <w:tabs>
          <w:tab w:val="num" w:pos="1080"/>
        </w:tabs>
        <w:ind w:left="1080" w:hanging="360"/>
      </w:pPr>
      <w:rPr>
        <w:rFonts w:ascii="Arial" w:hAnsi="Arial" w:hint="default"/>
      </w:rPr>
    </w:lvl>
    <w:lvl w:ilvl="2" w:tplc="21A2A1D6">
      <w:start w:val="1"/>
      <w:numFmt w:val="bullet"/>
      <w:lvlText w:val="•"/>
      <w:lvlJc w:val="left"/>
      <w:pPr>
        <w:tabs>
          <w:tab w:val="num" w:pos="1800"/>
        </w:tabs>
        <w:ind w:left="1800" w:hanging="360"/>
      </w:pPr>
      <w:rPr>
        <w:rFonts w:ascii="Arial" w:hAnsi="Arial" w:hint="default"/>
      </w:rPr>
    </w:lvl>
    <w:lvl w:ilvl="3" w:tplc="3B743FE6" w:tentative="1">
      <w:start w:val="1"/>
      <w:numFmt w:val="bullet"/>
      <w:lvlText w:val="•"/>
      <w:lvlJc w:val="left"/>
      <w:pPr>
        <w:tabs>
          <w:tab w:val="num" w:pos="2520"/>
        </w:tabs>
        <w:ind w:left="2520" w:hanging="360"/>
      </w:pPr>
      <w:rPr>
        <w:rFonts w:ascii="Arial" w:hAnsi="Arial" w:hint="default"/>
      </w:rPr>
    </w:lvl>
    <w:lvl w:ilvl="4" w:tplc="D5E2B948" w:tentative="1">
      <w:start w:val="1"/>
      <w:numFmt w:val="bullet"/>
      <w:lvlText w:val="•"/>
      <w:lvlJc w:val="left"/>
      <w:pPr>
        <w:tabs>
          <w:tab w:val="num" w:pos="3240"/>
        </w:tabs>
        <w:ind w:left="3240" w:hanging="360"/>
      </w:pPr>
      <w:rPr>
        <w:rFonts w:ascii="Arial" w:hAnsi="Arial" w:hint="default"/>
      </w:rPr>
    </w:lvl>
    <w:lvl w:ilvl="5" w:tplc="A190AF40" w:tentative="1">
      <w:start w:val="1"/>
      <w:numFmt w:val="bullet"/>
      <w:lvlText w:val="•"/>
      <w:lvlJc w:val="left"/>
      <w:pPr>
        <w:tabs>
          <w:tab w:val="num" w:pos="3960"/>
        </w:tabs>
        <w:ind w:left="3960" w:hanging="360"/>
      </w:pPr>
      <w:rPr>
        <w:rFonts w:ascii="Arial" w:hAnsi="Arial" w:hint="default"/>
      </w:rPr>
    </w:lvl>
    <w:lvl w:ilvl="6" w:tplc="9E06B3E4" w:tentative="1">
      <w:start w:val="1"/>
      <w:numFmt w:val="bullet"/>
      <w:lvlText w:val="•"/>
      <w:lvlJc w:val="left"/>
      <w:pPr>
        <w:tabs>
          <w:tab w:val="num" w:pos="4680"/>
        </w:tabs>
        <w:ind w:left="4680" w:hanging="360"/>
      </w:pPr>
      <w:rPr>
        <w:rFonts w:ascii="Arial" w:hAnsi="Arial" w:hint="default"/>
      </w:rPr>
    </w:lvl>
    <w:lvl w:ilvl="7" w:tplc="C70A3C6C" w:tentative="1">
      <w:start w:val="1"/>
      <w:numFmt w:val="bullet"/>
      <w:lvlText w:val="•"/>
      <w:lvlJc w:val="left"/>
      <w:pPr>
        <w:tabs>
          <w:tab w:val="num" w:pos="5400"/>
        </w:tabs>
        <w:ind w:left="5400" w:hanging="360"/>
      </w:pPr>
      <w:rPr>
        <w:rFonts w:ascii="Arial" w:hAnsi="Arial" w:hint="default"/>
      </w:rPr>
    </w:lvl>
    <w:lvl w:ilvl="8" w:tplc="57EEDCA2" w:tentative="1">
      <w:start w:val="1"/>
      <w:numFmt w:val="bullet"/>
      <w:lvlText w:val="•"/>
      <w:lvlJc w:val="left"/>
      <w:pPr>
        <w:tabs>
          <w:tab w:val="num" w:pos="6120"/>
        </w:tabs>
        <w:ind w:left="6120" w:hanging="360"/>
      </w:pPr>
      <w:rPr>
        <w:rFonts w:ascii="Arial" w:hAnsi="Arial" w:hint="default"/>
      </w:rPr>
    </w:lvl>
  </w:abstractNum>
  <w:abstractNum w:abstractNumId="18">
    <w:nsid w:val="67546099"/>
    <w:multiLevelType w:val="hybridMultilevel"/>
    <w:tmpl w:val="53C2A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036232"/>
    <w:multiLevelType w:val="hybridMultilevel"/>
    <w:tmpl w:val="E35CEF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84F4352"/>
    <w:multiLevelType w:val="hybridMultilevel"/>
    <w:tmpl w:val="AAB6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6">
    <w:nsid w:val="7F315940"/>
    <w:multiLevelType w:val="hybridMultilevel"/>
    <w:tmpl w:val="83220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5"/>
  </w:num>
  <w:num w:numId="3">
    <w:abstractNumId w:val="8"/>
  </w:num>
  <w:num w:numId="4">
    <w:abstractNumId w:val="11"/>
  </w:num>
  <w:num w:numId="5">
    <w:abstractNumId w:val="14"/>
  </w:num>
  <w:num w:numId="6">
    <w:abstractNumId w:val="24"/>
  </w:num>
  <w:num w:numId="7">
    <w:abstractNumId w:val="19"/>
  </w:num>
  <w:num w:numId="8">
    <w:abstractNumId w:val="10"/>
  </w:num>
  <w:num w:numId="9">
    <w:abstractNumId w:val="9"/>
  </w:num>
  <w:num w:numId="10">
    <w:abstractNumId w:val="6"/>
  </w:num>
  <w:num w:numId="11">
    <w:abstractNumId w:val="22"/>
  </w:num>
  <w:num w:numId="12">
    <w:abstractNumId w:val="0"/>
  </w:num>
  <w:num w:numId="13">
    <w:abstractNumId w:val="7"/>
  </w:num>
  <w:num w:numId="14">
    <w:abstractNumId w:val="5"/>
  </w:num>
  <w:num w:numId="15">
    <w:abstractNumId w:val="2"/>
  </w:num>
  <w:num w:numId="16">
    <w:abstractNumId w:val="21"/>
  </w:num>
  <w:num w:numId="17">
    <w:abstractNumId w:val="15"/>
  </w:num>
  <w:num w:numId="18">
    <w:abstractNumId w:val="3"/>
  </w:num>
  <w:num w:numId="19">
    <w:abstractNumId w:val="4"/>
  </w:num>
  <w:num w:numId="20">
    <w:abstractNumId w:val="1"/>
  </w:num>
  <w:num w:numId="21">
    <w:abstractNumId w:val="20"/>
  </w:num>
  <w:num w:numId="22">
    <w:abstractNumId w:val="17"/>
  </w:num>
  <w:num w:numId="23">
    <w:abstractNumId w:val="12"/>
  </w:num>
  <w:num w:numId="24">
    <w:abstractNumId w:val="23"/>
  </w:num>
  <w:num w:numId="25">
    <w:abstractNumId w:val="16"/>
  </w:num>
  <w:num w:numId="26">
    <w:abstractNumId w:val="13"/>
  </w:num>
  <w:num w:numId="27">
    <w:abstractNumId w:val="18"/>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14A09"/>
    <w:rsid w:val="00020322"/>
    <w:rsid w:val="000244CE"/>
    <w:rsid w:val="000252DC"/>
    <w:rsid w:val="00025356"/>
    <w:rsid w:val="000267B4"/>
    <w:rsid w:val="00026EB0"/>
    <w:rsid w:val="00027AD5"/>
    <w:rsid w:val="00046CD7"/>
    <w:rsid w:val="000470C5"/>
    <w:rsid w:val="00051368"/>
    <w:rsid w:val="00055064"/>
    <w:rsid w:val="00055540"/>
    <w:rsid w:val="000666BA"/>
    <w:rsid w:val="00073823"/>
    <w:rsid w:val="0008449E"/>
    <w:rsid w:val="00094096"/>
    <w:rsid w:val="00095565"/>
    <w:rsid w:val="000A5208"/>
    <w:rsid w:val="000B27DD"/>
    <w:rsid w:val="000B3FF8"/>
    <w:rsid w:val="000B422F"/>
    <w:rsid w:val="000C6BAD"/>
    <w:rsid w:val="000D0231"/>
    <w:rsid w:val="000D1218"/>
    <w:rsid w:val="000E344A"/>
    <w:rsid w:val="000E3A12"/>
    <w:rsid w:val="000F2C41"/>
    <w:rsid w:val="000F4FEB"/>
    <w:rsid w:val="000F6AB3"/>
    <w:rsid w:val="00106222"/>
    <w:rsid w:val="00111612"/>
    <w:rsid w:val="00112A93"/>
    <w:rsid w:val="00130933"/>
    <w:rsid w:val="00131938"/>
    <w:rsid w:val="00132C22"/>
    <w:rsid w:val="0014401D"/>
    <w:rsid w:val="001477CA"/>
    <w:rsid w:val="001563B2"/>
    <w:rsid w:val="0015732F"/>
    <w:rsid w:val="00161864"/>
    <w:rsid w:val="0016249F"/>
    <w:rsid w:val="00186916"/>
    <w:rsid w:val="001871C3"/>
    <w:rsid w:val="00193560"/>
    <w:rsid w:val="001A06AC"/>
    <w:rsid w:val="001A1CE6"/>
    <w:rsid w:val="001A1FD1"/>
    <w:rsid w:val="001B48AC"/>
    <w:rsid w:val="001C3E71"/>
    <w:rsid w:val="001D0668"/>
    <w:rsid w:val="001D479C"/>
    <w:rsid w:val="001D59B0"/>
    <w:rsid w:val="001E1170"/>
    <w:rsid w:val="001F0A42"/>
    <w:rsid w:val="001F3B43"/>
    <w:rsid w:val="00201319"/>
    <w:rsid w:val="00210475"/>
    <w:rsid w:val="0021181D"/>
    <w:rsid w:val="00216EA4"/>
    <w:rsid w:val="0022142E"/>
    <w:rsid w:val="00225D43"/>
    <w:rsid w:val="00226330"/>
    <w:rsid w:val="0023189D"/>
    <w:rsid w:val="002343EE"/>
    <w:rsid w:val="002443A0"/>
    <w:rsid w:val="00251837"/>
    <w:rsid w:val="00254054"/>
    <w:rsid w:val="002574CA"/>
    <w:rsid w:val="00260907"/>
    <w:rsid w:val="00263EEB"/>
    <w:rsid w:val="00271596"/>
    <w:rsid w:val="00273F0F"/>
    <w:rsid w:val="00286CC0"/>
    <w:rsid w:val="002900AE"/>
    <w:rsid w:val="00296698"/>
    <w:rsid w:val="002A0B9C"/>
    <w:rsid w:val="002A463C"/>
    <w:rsid w:val="002B4FF6"/>
    <w:rsid w:val="002C1898"/>
    <w:rsid w:val="002D1E74"/>
    <w:rsid w:val="002D4655"/>
    <w:rsid w:val="00301B83"/>
    <w:rsid w:val="00304E57"/>
    <w:rsid w:val="00313352"/>
    <w:rsid w:val="00314348"/>
    <w:rsid w:val="00315917"/>
    <w:rsid w:val="00316C72"/>
    <w:rsid w:val="00320F89"/>
    <w:rsid w:val="003322BA"/>
    <w:rsid w:val="0033326A"/>
    <w:rsid w:val="003332F3"/>
    <w:rsid w:val="00333526"/>
    <w:rsid w:val="00334A50"/>
    <w:rsid w:val="00340F55"/>
    <w:rsid w:val="00345559"/>
    <w:rsid w:val="00352181"/>
    <w:rsid w:val="00357BFF"/>
    <w:rsid w:val="003666F9"/>
    <w:rsid w:val="003736D3"/>
    <w:rsid w:val="003778CF"/>
    <w:rsid w:val="003900C1"/>
    <w:rsid w:val="00393F38"/>
    <w:rsid w:val="0039572E"/>
    <w:rsid w:val="003D3E19"/>
    <w:rsid w:val="003E251F"/>
    <w:rsid w:val="003E593D"/>
    <w:rsid w:val="003E5BDE"/>
    <w:rsid w:val="003F51A7"/>
    <w:rsid w:val="003F7679"/>
    <w:rsid w:val="00434B62"/>
    <w:rsid w:val="00437FF8"/>
    <w:rsid w:val="00440945"/>
    <w:rsid w:val="004421B1"/>
    <w:rsid w:val="00450532"/>
    <w:rsid w:val="0045472A"/>
    <w:rsid w:val="004603AF"/>
    <w:rsid w:val="00467D8D"/>
    <w:rsid w:val="00474129"/>
    <w:rsid w:val="004858E4"/>
    <w:rsid w:val="00487B5D"/>
    <w:rsid w:val="004909D3"/>
    <w:rsid w:val="0049209A"/>
    <w:rsid w:val="004935FB"/>
    <w:rsid w:val="004A24A2"/>
    <w:rsid w:val="004A3A68"/>
    <w:rsid w:val="004B2F3C"/>
    <w:rsid w:val="004B51EA"/>
    <w:rsid w:val="004B740D"/>
    <w:rsid w:val="004B767F"/>
    <w:rsid w:val="004C7974"/>
    <w:rsid w:val="004D5722"/>
    <w:rsid w:val="004D5B94"/>
    <w:rsid w:val="004E158C"/>
    <w:rsid w:val="004E6145"/>
    <w:rsid w:val="004F3F73"/>
    <w:rsid w:val="005017D1"/>
    <w:rsid w:val="00506A6E"/>
    <w:rsid w:val="00511CC2"/>
    <w:rsid w:val="00513103"/>
    <w:rsid w:val="0051482C"/>
    <w:rsid w:val="00523702"/>
    <w:rsid w:val="00534801"/>
    <w:rsid w:val="00543E28"/>
    <w:rsid w:val="00544D6B"/>
    <w:rsid w:val="00554BE5"/>
    <w:rsid w:val="005579A3"/>
    <w:rsid w:val="0056220A"/>
    <w:rsid w:val="00562290"/>
    <w:rsid w:val="005707CA"/>
    <w:rsid w:val="00594573"/>
    <w:rsid w:val="005A772A"/>
    <w:rsid w:val="005B157E"/>
    <w:rsid w:val="005B27C0"/>
    <w:rsid w:val="005B360C"/>
    <w:rsid w:val="005C5F43"/>
    <w:rsid w:val="005D078B"/>
    <w:rsid w:val="005D345D"/>
    <w:rsid w:val="005D4F86"/>
    <w:rsid w:val="005D79EA"/>
    <w:rsid w:val="005E57D0"/>
    <w:rsid w:val="005E74B8"/>
    <w:rsid w:val="005F384B"/>
    <w:rsid w:val="005F7F97"/>
    <w:rsid w:val="00600464"/>
    <w:rsid w:val="0060696D"/>
    <w:rsid w:val="00622B6C"/>
    <w:rsid w:val="00624903"/>
    <w:rsid w:val="006375EF"/>
    <w:rsid w:val="006423C0"/>
    <w:rsid w:val="00642CFB"/>
    <w:rsid w:val="00645C09"/>
    <w:rsid w:val="0065237F"/>
    <w:rsid w:val="00663289"/>
    <w:rsid w:val="00667240"/>
    <w:rsid w:val="0067390D"/>
    <w:rsid w:val="00681874"/>
    <w:rsid w:val="00686D90"/>
    <w:rsid w:val="006915A9"/>
    <w:rsid w:val="006B0837"/>
    <w:rsid w:val="006B1AEA"/>
    <w:rsid w:val="006B4570"/>
    <w:rsid w:val="006C4D06"/>
    <w:rsid w:val="006C65A4"/>
    <w:rsid w:val="006C6A93"/>
    <w:rsid w:val="006E7BA7"/>
    <w:rsid w:val="006F22EA"/>
    <w:rsid w:val="006F29BD"/>
    <w:rsid w:val="006F544D"/>
    <w:rsid w:val="006F66D1"/>
    <w:rsid w:val="00703134"/>
    <w:rsid w:val="00703951"/>
    <w:rsid w:val="007059C4"/>
    <w:rsid w:val="007256A7"/>
    <w:rsid w:val="00725CCB"/>
    <w:rsid w:val="0072775D"/>
    <w:rsid w:val="007313E9"/>
    <w:rsid w:val="00735DB3"/>
    <w:rsid w:val="00741C50"/>
    <w:rsid w:val="00746BBD"/>
    <w:rsid w:val="007538D3"/>
    <w:rsid w:val="007556EC"/>
    <w:rsid w:val="00761FC3"/>
    <w:rsid w:val="007637DA"/>
    <w:rsid w:val="00770BC1"/>
    <w:rsid w:val="00770D08"/>
    <w:rsid w:val="007734A4"/>
    <w:rsid w:val="0077497D"/>
    <w:rsid w:val="007778CA"/>
    <w:rsid w:val="00782AE6"/>
    <w:rsid w:val="007843A9"/>
    <w:rsid w:val="00795B5F"/>
    <w:rsid w:val="007A19DD"/>
    <w:rsid w:val="007A269B"/>
    <w:rsid w:val="007B1C54"/>
    <w:rsid w:val="007B6A80"/>
    <w:rsid w:val="007C50FA"/>
    <w:rsid w:val="007E462C"/>
    <w:rsid w:val="007E4D40"/>
    <w:rsid w:val="007F04FD"/>
    <w:rsid w:val="007F2176"/>
    <w:rsid w:val="007F344D"/>
    <w:rsid w:val="008056E3"/>
    <w:rsid w:val="008061C1"/>
    <w:rsid w:val="00806AEC"/>
    <w:rsid w:val="008105ED"/>
    <w:rsid w:val="0081098A"/>
    <w:rsid w:val="00813A2E"/>
    <w:rsid w:val="00813F2F"/>
    <w:rsid w:val="0081482F"/>
    <w:rsid w:val="00832BD1"/>
    <w:rsid w:val="008404F6"/>
    <w:rsid w:val="0085564C"/>
    <w:rsid w:val="00861197"/>
    <w:rsid w:val="00864655"/>
    <w:rsid w:val="008669F5"/>
    <w:rsid w:val="00891D97"/>
    <w:rsid w:val="00893D93"/>
    <w:rsid w:val="00894456"/>
    <w:rsid w:val="008A2588"/>
    <w:rsid w:val="008A47C5"/>
    <w:rsid w:val="008B60A3"/>
    <w:rsid w:val="008C7B5B"/>
    <w:rsid w:val="008D1F6A"/>
    <w:rsid w:val="008E5B69"/>
    <w:rsid w:val="008E78FB"/>
    <w:rsid w:val="009026C8"/>
    <w:rsid w:val="00910629"/>
    <w:rsid w:val="009112D6"/>
    <w:rsid w:val="0091245C"/>
    <w:rsid w:val="009263F6"/>
    <w:rsid w:val="009310F3"/>
    <w:rsid w:val="009335C3"/>
    <w:rsid w:val="00934C4C"/>
    <w:rsid w:val="00940DFB"/>
    <w:rsid w:val="00942722"/>
    <w:rsid w:val="0094512A"/>
    <w:rsid w:val="0095212E"/>
    <w:rsid w:val="009548E2"/>
    <w:rsid w:val="00970982"/>
    <w:rsid w:val="009764E1"/>
    <w:rsid w:val="009832DA"/>
    <w:rsid w:val="00983434"/>
    <w:rsid w:val="00985F4A"/>
    <w:rsid w:val="009874E1"/>
    <w:rsid w:val="00993F98"/>
    <w:rsid w:val="00994FFD"/>
    <w:rsid w:val="009B001B"/>
    <w:rsid w:val="009B131A"/>
    <w:rsid w:val="009B3249"/>
    <w:rsid w:val="009B7337"/>
    <w:rsid w:val="009B7D53"/>
    <w:rsid w:val="009C104C"/>
    <w:rsid w:val="009D14B6"/>
    <w:rsid w:val="009D4F00"/>
    <w:rsid w:val="009E1FF5"/>
    <w:rsid w:val="00A05F49"/>
    <w:rsid w:val="00A11A66"/>
    <w:rsid w:val="00A12F8F"/>
    <w:rsid w:val="00A207E6"/>
    <w:rsid w:val="00A235F8"/>
    <w:rsid w:val="00A34536"/>
    <w:rsid w:val="00A36C2E"/>
    <w:rsid w:val="00A44E83"/>
    <w:rsid w:val="00A54860"/>
    <w:rsid w:val="00A562B7"/>
    <w:rsid w:val="00A70CC5"/>
    <w:rsid w:val="00A808CF"/>
    <w:rsid w:val="00A815F5"/>
    <w:rsid w:val="00A84A3D"/>
    <w:rsid w:val="00A87783"/>
    <w:rsid w:val="00A87F16"/>
    <w:rsid w:val="00A94861"/>
    <w:rsid w:val="00AB18AB"/>
    <w:rsid w:val="00AB2164"/>
    <w:rsid w:val="00AC04D7"/>
    <w:rsid w:val="00AC4C62"/>
    <w:rsid w:val="00AC5152"/>
    <w:rsid w:val="00AD17FA"/>
    <w:rsid w:val="00AE59EB"/>
    <w:rsid w:val="00AF35D2"/>
    <w:rsid w:val="00AF641B"/>
    <w:rsid w:val="00AF6456"/>
    <w:rsid w:val="00B01401"/>
    <w:rsid w:val="00B056E1"/>
    <w:rsid w:val="00B05F4A"/>
    <w:rsid w:val="00B06BAF"/>
    <w:rsid w:val="00B100B4"/>
    <w:rsid w:val="00B11970"/>
    <w:rsid w:val="00B1343D"/>
    <w:rsid w:val="00B14C8B"/>
    <w:rsid w:val="00B17736"/>
    <w:rsid w:val="00B21B7E"/>
    <w:rsid w:val="00B33466"/>
    <w:rsid w:val="00B448CC"/>
    <w:rsid w:val="00B47DCD"/>
    <w:rsid w:val="00B50BA4"/>
    <w:rsid w:val="00B55301"/>
    <w:rsid w:val="00B661E1"/>
    <w:rsid w:val="00B70BCD"/>
    <w:rsid w:val="00B75C21"/>
    <w:rsid w:val="00B807C6"/>
    <w:rsid w:val="00B81C44"/>
    <w:rsid w:val="00B90F44"/>
    <w:rsid w:val="00B93118"/>
    <w:rsid w:val="00B935B2"/>
    <w:rsid w:val="00B960ED"/>
    <w:rsid w:val="00BA0E13"/>
    <w:rsid w:val="00BB305D"/>
    <w:rsid w:val="00BC2A47"/>
    <w:rsid w:val="00BD07C2"/>
    <w:rsid w:val="00BD18B9"/>
    <w:rsid w:val="00BD2821"/>
    <w:rsid w:val="00BD47D6"/>
    <w:rsid w:val="00BD79C2"/>
    <w:rsid w:val="00BE10FC"/>
    <w:rsid w:val="00BF0604"/>
    <w:rsid w:val="00BF43CF"/>
    <w:rsid w:val="00BF5895"/>
    <w:rsid w:val="00BF674E"/>
    <w:rsid w:val="00C10E5A"/>
    <w:rsid w:val="00C11A3C"/>
    <w:rsid w:val="00C12C4B"/>
    <w:rsid w:val="00C1441D"/>
    <w:rsid w:val="00C23EC8"/>
    <w:rsid w:val="00C33CBF"/>
    <w:rsid w:val="00C40D40"/>
    <w:rsid w:val="00C413C3"/>
    <w:rsid w:val="00C5310E"/>
    <w:rsid w:val="00C53351"/>
    <w:rsid w:val="00C60B12"/>
    <w:rsid w:val="00C74A08"/>
    <w:rsid w:val="00C867E0"/>
    <w:rsid w:val="00C96DD0"/>
    <w:rsid w:val="00C97296"/>
    <w:rsid w:val="00CA2D29"/>
    <w:rsid w:val="00CA42E2"/>
    <w:rsid w:val="00CA488E"/>
    <w:rsid w:val="00CB6120"/>
    <w:rsid w:val="00CC1C57"/>
    <w:rsid w:val="00CC2819"/>
    <w:rsid w:val="00CC6D8B"/>
    <w:rsid w:val="00CE3F47"/>
    <w:rsid w:val="00CF5E58"/>
    <w:rsid w:val="00CF6515"/>
    <w:rsid w:val="00D01162"/>
    <w:rsid w:val="00D0243C"/>
    <w:rsid w:val="00D02F3F"/>
    <w:rsid w:val="00D1139E"/>
    <w:rsid w:val="00D11908"/>
    <w:rsid w:val="00D2131C"/>
    <w:rsid w:val="00D23AFA"/>
    <w:rsid w:val="00D265CC"/>
    <w:rsid w:val="00D26E67"/>
    <w:rsid w:val="00D37A9A"/>
    <w:rsid w:val="00D42A52"/>
    <w:rsid w:val="00D43331"/>
    <w:rsid w:val="00D4552B"/>
    <w:rsid w:val="00D458E6"/>
    <w:rsid w:val="00D56D04"/>
    <w:rsid w:val="00D60E79"/>
    <w:rsid w:val="00D6154B"/>
    <w:rsid w:val="00D70BCA"/>
    <w:rsid w:val="00D71CC7"/>
    <w:rsid w:val="00D83629"/>
    <w:rsid w:val="00D91F1A"/>
    <w:rsid w:val="00D9260C"/>
    <w:rsid w:val="00D945F6"/>
    <w:rsid w:val="00DA4F06"/>
    <w:rsid w:val="00DA7A4B"/>
    <w:rsid w:val="00DB17FC"/>
    <w:rsid w:val="00DB6900"/>
    <w:rsid w:val="00DC0182"/>
    <w:rsid w:val="00DD0733"/>
    <w:rsid w:val="00DD3514"/>
    <w:rsid w:val="00DD4B6B"/>
    <w:rsid w:val="00DD763E"/>
    <w:rsid w:val="00DE2B08"/>
    <w:rsid w:val="00DF2E49"/>
    <w:rsid w:val="00DF34B3"/>
    <w:rsid w:val="00E2330E"/>
    <w:rsid w:val="00E236F8"/>
    <w:rsid w:val="00E302C7"/>
    <w:rsid w:val="00E31BFA"/>
    <w:rsid w:val="00E4174D"/>
    <w:rsid w:val="00E42CA1"/>
    <w:rsid w:val="00E43340"/>
    <w:rsid w:val="00E43A8C"/>
    <w:rsid w:val="00E4522A"/>
    <w:rsid w:val="00E47386"/>
    <w:rsid w:val="00E52DA4"/>
    <w:rsid w:val="00E70BB9"/>
    <w:rsid w:val="00E720BF"/>
    <w:rsid w:val="00E76D42"/>
    <w:rsid w:val="00E876B5"/>
    <w:rsid w:val="00EA02AD"/>
    <w:rsid w:val="00EA0945"/>
    <w:rsid w:val="00EB32ED"/>
    <w:rsid w:val="00EB33A7"/>
    <w:rsid w:val="00EB3B41"/>
    <w:rsid w:val="00EB5BF0"/>
    <w:rsid w:val="00EC5C84"/>
    <w:rsid w:val="00ED0963"/>
    <w:rsid w:val="00ED2FAC"/>
    <w:rsid w:val="00ED5B0F"/>
    <w:rsid w:val="00EE213C"/>
    <w:rsid w:val="00EF263F"/>
    <w:rsid w:val="00EF3059"/>
    <w:rsid w:val="00F13D82"/>
    <w:rsid w:val="00F255C2"/>
    <w:rsid w:val="00F3336D"/>
    <w:rsid w:val="00F34185"/>
    <w:rsid w:val="00F3480C"/>
    <w:rsid w:val="00F621CB"/>
    <w:rsid w:val="00F63E30"/>
    <w:rsid w:val="00F6593F"/>
    <w:rsid w:val="00F71099"/>
    <w:rsid w:val="00F7320F"/>
    <w:rsid w:val="00F736B9"/>
    <w:rsid w:val="00F81D9C"/>
    <w:rsid w:val="00F82A91"/>
    <w:rsid w:val="00F83D73"/>
    <w:rsid w:val="00F8516E"/>
    <w:rsid w:val="00FA2B73"/>
    <w:rsid w:val="00FA7484"/>
    <w:rsid w:val="00FB0774"/>
    <w:rsid w:val="00FB639B"/>
    <w:rsid w:val="00FC0BC9"/>
    <w:rsid w:val="00FC1D25"/>
    <w:rsid w:val="00FC4322"/>
    <w:rsid w:val="00FE50A2"/>
    <w:rsid w:val="00FE69DB"/>
    <w:rsid w:val="00FE765F"/>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ericsson.com/res/docs/2012/ericsson-mobility-report-november-2012.pdf" TargetMode="External"/><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CB370-F79D-4B59-8F9E-FB9185C8D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1711</Words>
  <Characters>9756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 - Ericsson</cp:lastModifiedBy>
  <cp:revision>3</cp:revision>
  <dcterms:created xsi:type="dcterms:W3CDTF">2014-11-08T01:27:00Z</dcterms:created>
  <dcterms:modified xsi:type="dcterms:W3CDTF">2014-11-08T01:27:00Z</dcterms:modified>
</cp:coreProperties>
</file>