
<file path=[Content_Types].xml><?xml version="1.0" encoding="utf-8"?>
<Types xmlns="http://schemas.openxmlformats.org/package/2006/content-types">
  <Default Extension="xml" ContentType="application/xml"/>
  <Default Extension="pptx" ContentType="application/vnd.openxmlformats-officedocument.presentationml.presentation"/>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hint="eastAsia" w:ascii="Arial" w:hAnsi="Arial" w:cs="Arial"/>
          <w:b/>
          <w:bCs/>
          <w:sz w:val="22"/>
          <w:szCs w:val="22"/>
        </w:rPr>
        <w:t>2</w:t>
      </w:r>
      <w:r>
        <w:rPr>
          <w:rFonts w:ascii="Arial" w:hAnsi="Arial" w:cs="Arial"/>
          <w:b/>
          <w:bCs/>
          <w:sz w:val="22"/>
          <w:szCs w:val="22"/>
        </w:rPr>
        <w:t>3</w:t>
      </w:r>
      <w:r>
        <w:rPr>
          <w:rFonts w:ascii="Arial" w:hAnsi="Arial" w:cs="Arial"/>
          <w:b/>
          <w:bCs/>
          <w:sz w:val="22"/>
          <w:szCs w:val="22"/>
          <w:lang w:eastAsia="ja-JP"/>
        </w:rPr>
        <w:tab/>
      </w:r>
      <w:r>
        <w:rPr>
          <w:rFonts w:ascii="Arial" w:hAnsi="Arial" w:cs="Arial"/>
          <w:b/>
          <w:bCs/>
          <w:sz w:val="22"/>
          <w:szCs w:val="22"/>
          <w:lang w:eastAsia="ja-JP"/>
        </w:rPr>
        <w:tab/>
      </w:r>
      <w:r>
        <w:rPr>
          <w:rFonts w:ascii="Arial" w:hAnsi="Arial" w:cs="Arial"/>
          <w:b/>
          <w:bCs/>
          <w:sz w:val="22"/>
          <w:szCs w:val="22"/>
          <w:lang w:eastAsia="ja-JP"/>
        </w:rPr>
        <w:t xml:space="preserve">                            R1-2</w:t>
      </w:r>
      <w:r>
        <w:rPr>
          <w:rFonts w:hint="eastAsia" w:ascii="Arial" w:hAnsi="Arial" w:cs="Arial"/>
          <w:b/>
          <w:bCs/>
          <w:sz w:val="22"/>
          <w:szCs w:val="22"/>
        </w:rPr>
        <w:t>5</w:t>
      </w:r>
      <w:r>
        <w:rPr>
          <w:rFonts w:ascii="Arial" w:hAnsi="Arial" w:cs="Arial"/>
          <w:b/>
          <w:bCs/>
          <w:sz w:val="22"/>
          <w:szCs w:val="22"/>
        </w:rPr>
        <w:t>08822</w:t>
      </w:r>
    </w:p>
    <w:p>
      <w:pPr>
        <w:spacing w:beforeLines="0" w:after="0" w:afterLines="0"/>
        <w:rPr>
          <w:sz w:val="22"/>
          <w:szCs w:val="22"/>
        </w:rPr>
      </w:pPr>
      <w:r>
        <w:rPr>
          <w:rFonts w:ascii="Arial" w:hAnsi="Arial" w:cs="Arial"/>
          <w:b/>
          <w:bCs/>
          <w:sz w:val="22"/>
          <w:szCs w:val="22"/>
        </w:rPr>
        <w:t>Dallas</w:t>
      </w:r>
      <w:r>
        <w:rPr>
          <w:rFonts w:ascii="Arial" w:hAnsi="Arial" w:cs="Arial"/>
          <w:b/>
          <w:bCs/>
          <w:sz w:val="22"/>
          <w:szCs w:val="22"/>
          <w:lang w:eastAsia="ja-JP"/>
        </w:rPr>
        <w:t>, USA</w:t>
      </w:r>
      <w:r>
        <w:rPr>
          <w:rFonts w:hint="eastAsia" w:ascii="Arial" w:hAnsi="Arial" w:cs="Arial"/>
          <w:b/>
          <w:bCs/>
          <w:sz w:val="22"/>
          <w:szCs w:val="22"/>
        </w:rPr>
        <w:t xml:space="preserve">, </w:t>
      </w:r>
      <w:r>
        <w:rPr>
          <w:rFonts w:ascii="Arial" w:hAnsi="Arial" w:cs="Arial"/>
          <w:b/>
          <w:bCs/>
          <w:sz w:val="22"/>
          <w:szCs w:val="22"/>
        </w:rPr>
        <w:t>November</w:t>
      </w:r>
      <w:r>
        <w:rPr>
          <w:rFonts w:hint="eastAsia" w:ascii="Arial" w:hAnsi="Arial" w:cs="Arial"/>
          <w:b/>
          <w:bCs/>
          <w:sz w:val="22"/>
          <w:szCs w:val="22"/>
        </w:rPr>
        <w:t xml:space="preserve"> </w:t>
      </w:r>
      <w:r>
        <w:rPr>
          <w:rFonts w:ascii="Arial" w:hAnsi="Arial" w:cs="Arial"/>
          <w:b/>
          <w:bCs/>
          <w:sz w:val="22"/>
          <w:szCs w:val="22"/>
        </w:rPr>
        <w:t>17</w:t>
      </w:r>
      <w:r>
        <w:rPr>
          <w:rFonts w:hint="eastAsia" w:ascii="Arial" w:hAnsi="Arial" w:cs="Arial"/>
          <w:b/>
          <w:bCs/>
          <w:sz w:val="22"/>
          <w:szCs w:val="22"/>
          <w:vertAlign w:val="superscript"/>
        </w:rPr>
        <w:t>th</w:t>
      </w:r>
      <w:r>
        <w:rPr>
          <w:rFonts w:ascii="Arial" w:hAnsi="Arial" w:eastAsia="MS Mincho" w:cs="Arial"/>
          <w:b/>
          <w:bCs/>
          <w:sz w:val="22"/>
          <w:szCs w:val="22"/>
        </w:rPr>
        <w:t xml:space="preserve"> –</w:t>
      </w:r>
      <w:r>
        <w:rPr>
          <w:rFonts w:ascii="Arial" w:hAnsi="Arial" w:cs="Arial"/>
          <w:b/>
          <w:bCs/>
          <w:sz w:val="22"/>
          <w:szCs w:val="22"/>
        </w:rPr>
        <w:t xml:space="preserve"> 21</w:t>
      </w:r>
      <w:r>
        <w:rPr>
          <w:rFonts w:ascii="Arial" w:hAnsi="Arial" w:cs="Arial"/>
          <w:b/>
          <w:bCs/>
          <w:sz w:val="22"/>
          <w:szCs w:val="22"/>
          <w:vertAlign w:val="superscript"/>
        </w:rPr>
        <w:t>st</w:t>
      </w:r>
      <w:r>
        <w:rPr>
          <w:rFonts w:ascii="Arial" w:hAnsi="Arial" w:cs="Arial"/>
          <w:b/>
          <w:bCs/>
          <w:sz w:val="22"/>
          <w:szCs w:val="22"/>
          <w:lang w:eastAsia="ja-JP"/>
        </w:rPr>
        <w:t>, 202</w:t>
      </w:r>
      <w:r>
        <w:rPr>
          <w:rFonts w:hint="eastAsia" w:ascii="Arial" w:hAnsi="Arial" w:cs="Arial"/>
          <w:b/>
          <w:bCs/>
          <w:sz w:val="22"/>
          <w:szCs w:val="22"/>
        </w:rPr>
        <w:t>5</w:t>
      </w:r>
    </w:p>
    <w:p>
      <w:pPr>
        <w:tabs>
          <w:tab w:val="center" w:pos="4536"/>
          <w:tab w:val="right" w:pos="9072"/>
        </w:tabs>
        <w:spacing w:beforeLines="0" w:after="0" w:afterLines="0" w:line="240" w:lineRule="auto"/>
        <w:rPr>
          <w:rFonts w:ascii="Arial" w:hAnsi="Arial" w:cs="Arial"/>
          <w:b/>
          <w:bCs/>
          <w:sz w:val="22"/>
          <w:szCs w:val="22"/>
        </w:rPr>
      </w:pPr>
    </w:p>
    <w:p>
      <w:pPr>
        <w:tabs>
          <w:tab w:val="left" w:pos="1985"/>
        </w:tabs>
        <w:spacing w:beforeLines="0" w:after="0" w:afterLines="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hint="eastAsia" w:ascii="Arial" w:hAnsi="Arial"/>
          <w:b/>
          <w:sz w:val="22"/>
          <w:szCs w:val="22"/>
        </w:rPr>
        <w:t>Discussion on modulation for 6GR</w:t>
      </w:r>
      <w:r>
        <w:rPr>
          <w:rFonts w:ascii="Arial" w:hAnsi="Arial"/>
          <w:b/>
          <w:sz w:val="22"/>
          <w:szCs w:val="22"/>
        </w:rPr>
        <w:t> </w:t>
      </w:r>
    </w:p>
    <w:p>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r>
      <w:r>
        <w:rPr>
          <w:rFonts w:ascii="Arial" w:hAnsi="Arial"/>
          <w:b/>
          <w:sz w:val="22"/>
          <w:szCs w:val="22"/>
        </w:rPr>
        <w:t>ZTE</w:t>
      </w:r>
      <w:r>
        <w:rPr>
          <w:rFonts w:hint="eastAsia" w:ascii="Arial" w:hAnsi="Arial"/>
          <w:b/>
          <w:sz w:val="22"/>
          <w:szCs w:val="22"/>
        </w:rPr>
        <w:t xml:space="preserve"> Corporation</w:t>
      </w:r>
      <w:r>
        <w:rPr>
          <w:rFonts w:ascii="Arial" w:hAnsi="Arial"/>
          <w:b/>
          <w:sz w:val="22"/>
          <w:szCs w:val="22"/>
        </w:rPr>
        <w:t>, Sanechips</w:t>
      </w:r>
    </w:p>
    <w:p>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hint="eastAsia" w:ascii="Arial" w:hAnsi="Arial"/>
          <w:b/>
          <w:sz w:val="22"/>
          <w:szCs w:val="22"/>
        </w:rPr>
        <w:t>11</w:t>
      </w:r>
      <w:r>
        <w:rPr>
          <w:rFonts w:ascii="Arial" w:hAnsi="Arial"/>
          <w:b/>
          <w:sz w:val="22"/>
          <w:szCs w:val="22"/>
        </w:rPr>
        <w:t>.</w:t>
      </w:r>
      <w:r>
        <w:rPr>
          <w:rFonts w:hint="eastAsia" w:ascii="Arial" w:hAnsi="Arial"/>
          <w:b/>
          <w:sz w:val="22"/>
          <w:szCs w:val="22"/>
        </w:rPr>
        <w:t>4</w:t>
      </w:r>
      <w:r>
        <w:rPr>
          <w:rFonts w:ascii="Arial" w:hAnsi="Arial"/>
          <w:b/>
          <w:sz w:val="22"/>
          <w:szCs w:val="22"/>
        </w:rPr>
        <w:t>.</w:t>
      </w:r>
      <w:r>
        <w:rPr>
          <w:rFonts w:hint="eastAsia" w:ascii="Arial" w:hAnsi="Arial"/>
          <w:b/>
          <w:sz w:val="22"/>
          <w:szCs w:val="22"/>
        </w:rPr>
        <w:t>2</w:t>
      </w:r>
    </w:p>
    <w:p>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hint="eastAsia" w:ascii="Arial" w:hAnsi="Arial"/>
          <w:b/>
          <w:sz w:val="22"/>
          <w:szCs w:val="22"/>
        </w:rPr>
        <w:t>Discussion</w:t>
      </w:r>
      <w:r>
        <w:rPr>
          <w:rFonts w:ascii="Arial" w:hAnsi="Arial"/>
          <w:b/>
          <w:sz w:val="22"/>
          <w:szCs w:val="22"/>
        </w:rPr>
        <w:t xml:space="preserve"> and decision</w:t>
      </w:r>
    </w:p>
    <w:p>
      <w:pPr>
        <w:pStyle w:val="2"/>
        <w:spacing w:before="120" w:after="120"/>
        <w:ind w:left="0"/>
        <w:rPr>
          <w:rFonts w:eastAsia="宋体"/>
        </w:rPr>
      </w:pPr>
      <w:r>
        <w:rPr>
          <w:rFonts w:hint="eastAsia" w:eastAsia="宋体"/>
        </w:rPr>
        <w:t>Introduction</w:t>
      </w:r>
    </w:p>
    <w:p>
      <w:pPr>
        <w:spacing w:before="120" w:after="120"/>
        <w:rPr>
          <w:szCs w:val="21"/>
        </w:rPr>
      </w:pPr>
      <w:r>
        <w:rPr>
          <w:rFonts w:hint="eastAsia"/>
          <w:szCs w:val="21"/>
        </w:rPr>
        <w:t>In RAN</w:t>
      </w:r>
      <w:r>
        <w:rPr>
          <w:szCs w:val="21"/>
        </w:rPr>
        <w:t>1#122bis</w:t>
      </w:r>
      <w:r>
        <w:rPr>
          <w:rFonts w:hint="eastAsia"/>
          <w:szCs w:val="21"/>
        </w:rPr>
        <w:t xml:space="preserve"> meeting, </w:t>
      </w:r>
      <w:r>
        <w:rPr>
          <w:szCs w:val="21"/>
        </w:rPr>
        <w:t>some agreements on uniform QAM, shaping modulation [1].</w:t>
      </w:r>
    </w:p>
    <w:p>
      <w:pPr>
        <w:spacing w:before="120" w:after="120"/>
      </w:pPr>
      <w:r>
        <w:rPr>
          <w:rFonts w:hint="eastAsia"/>
          <w:szCs w:val="21"/>
        </w:rPr>
        <w:t>In this contribution, we provide analysis on modulation for 6GR</w:t>
      </w:r>
      <w:r>
        <w:rPr>
          <w:szCs w:val="21"/>
        </w:rPr>
        <w:t>, including higher modulation order, optimized MCS table, shaping modulation and low PAPR modulation</w:t>
      </w:r>
      <w:r>
        <w:rPr>
          <w:rFonts w:hint="eastAsia"/>
          <w:szCs w:val="21"/>
        </w:rPr>
        <w:t>.</w:t>
      </w:r>
      <w:r>
        <w:rPr>
          <w:szCs w:val="21"/>
        </w:rPr>
        <w:t xml:space="preserve"> </w:t>
      </w:r>
    </w:p>
    <w:p>
      <w:pPr>
        <w:pStyle w:val="2"/>
        <w:spacing w:before="120" w:after="120"/>
        <w:ind w:left="0"/>
      </w:pPr>
      <w:r>
        <w:rPr>
          <w:rFonts w:hint="eastAsia" w:eastAsia="宋体"/>
        </w:rPr>
        <w:t>Discussion on QAM modulation for 6GR</w:t>
      </w:r>
    </w:p>
    <w:p>
      <w:pPr>
        <w:pStyle w:val="3"/>
        <w:spacing w:before="120" w:after="120"/>
        <w:ind w:left="991" w:right="210" w:hanging="991" w:hangingChars="354"/>
      </w:pPr>
      <w:r>
        <w:rPr>
          <w:rFonts w:eastAsia="宋体"/>
        </w:rPr>
        <w:t>Discussion on higher modulation order</w:t>
      </w:r>
    </w:p>
    <w:p>
      <w:pPr>
        <w:spacing w:before="120" w:after="120"/>
      </w:pPr>
      <w:r>
        <w:rPr>
          <w:rFonts w:hint="eastAsia"/>
        </w:rPr>
        <w:t>In</w:t>
      </w:r>
      <w:r>
        <w:t xml:space="preserve"> RAN1#122bis meeting, we made an agreement on higher order modulation [1].</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5" w:type="dxa"/>
          </w:tcPr>
          <w:p>
            <w:pPr>
              <w:spacing w:beforeLines="0" w:after="0" w:afterLines="0" w:line="240" w:lineRule="auto"/>
              <w:rPr>
                <w:rFonts w:eastAsia="等线"/>
                <w:kern w:val="0"/>
                <w:szCs w:val="21"/>
                <w:highlight w:val="green"/>
              </w:rPr>
            </w:pPr>
            <w:r>
              <w:rPr>
                <w:rFonts w:hint="eastAsia" w:eastAsia="等线" w:cs="Times"/>
                <w:szCs w:val="21"/>
                <w:highlight w:val="green"/>
              </w:rPr>
              <w:t>Agreement</w:t>
            </w:r>
          </w:p>
          <w:p>
            <w:pPr>
              <w:spacing w:beforeLines="0" w:after="0" w:afterLines="0" w:line="240" w:lineRule="auto"/>
              <w:rPr>
                <w:rFonts w:eastAsia="Batang"/>
                <w:szCs w:val="21"/>
              </w:rPr>
            </w:pPr>
            <w:r>
              <w:rPr>
                <w:szCs w:val="21"/>
              </w:rPr>
              <w:t xml:space="preserve">For the study of uniform 4096QAM for DL and uniform 1024QAM for UL, need to study performance </w:t>
            </w:r>
            <w:r>
              <w:rPr>
                <w:rFonts w:hint="eastAsia" w:eastAsia="等线" w:cs="Times"/>
                <w:szCs w:val="21"/>
              </w:rPr>
              <w:t>(assuming</w:t>
            </w:r>
            <w:r>
              <w:rPr>
                <w:szCs w:val="21"/>
              </w:rPr>
              <w:t xml:space="preserve"> realistic channel estimation, time/freq synchronization assumption, phase noise assumption</w:t>
            </w:r>
            <w:r>
              <w:rPr>
                <w:rFonts w:hint="eastAsia" w:eastAsia="等线" w:cs="Times"/>
                <w:szCs w:val="21"/>
              </w:rPr>
              <w:t>, etc</w:t>
            </w:r>
            <w:r>
              <w:rPr>
                <w:szCs w:val="21"/>
              </w:rPr>
              <w:t>), complexity/power consumption, requirements, benefit/necessity under applicable scenarios, associated restrictions, and challenges (such as EVM requirement, PAPR increase, MPR or A-MPR increase</w:t>
            </w:r>
            <w:r>
              <w:rPr>
                <w:rFonts w:hint="eastAsia" w:eastAsia="等线"/>
                <w:szCs w:val="21"/>
              </w:rPr>
              <w:t xml:space="preserve"> </w:t>
            </w:r>
            <w:r>
              <w:rPr>
                <w:rFonts w:hint="eastAsia" w:eastAsia="等线" w:cs="Times"/>
                <w:szCs w:val="21"/>
              </w:rPr>
              <w:t>under realistic PA model</w:t>
            </w:r>
            <w:r>
              <w:rPr>
                <w:szCs w:val="21"/>
              </w:rPr>
              <w:t>).</w:t>
            </w:r>
          </w:p>
          <w:p>
            <w:pPr>
              <w:pStyle w:val="64"/>
              <w:numPr>
                <w:ilvl w:val="0"/>
                <w:numId w:val="5"/>
              </w:numPr>
              <w:overflowPunct w:val="0"/>
              <w:autoSpaceDE w:val="0"/>
              <w:autoSpaceDN w:val="0"/>
              <w:adjustRightInd w:val="0"/>
              <w:spacing w:before="0" w:beforeAutospacing="0" w:after="0" w:afterAutospacing="0"/>
              <w:ind w:leftChars="0"/>
              <w:contextualSpacing/>
              <w:textAlignment w:val="baseline"/>
              <w:rPr>
                <w:sz w:val="21"/>
                <w:szCs w:val="21"/>
              </w:rPr>
            </w:pPr>
            <w:r>
              <w:rPr>
                <w:sz w:val="21"/>
                <w:szCs w:val="21"/>
              </w:rPr>
              <w:t>FFS: How to involve RAN4 early</w:t>
            </w:r>
          </w:p>
          <w:p>
            <w:pPr>
              <w:pStyle w:val="64"/>
              <w:numPr>
                <w:ilvl w:val="0"/>
                <w:numId w:val="5"/>
              </w:numPr>
              <w:overflowPunct w:val="0"/>
              <w:autoSpaceDE w:val="0"/>
              <w:autoSpaceDN w:val="0"/>
              <w:adjustRightInd w:val="0"/>
              <w:spacing w:before="0" w:beforeAutospacing="0" w:after="0" w:afterAutospacing="0"/>
              <w:ind w:leftChars="0"/>
              <w:contextualSpacing/>
              <w:textAlignment w:val="baseline"/>
              <w:rPr>
                <w:sz w:val="21"/>
                <w:szCs w:val="21"/>
              </w:rPr>
            </w:pPr>
            <w:r>
              <w:rPr>
                <w:rFonts w:hint="eastAsia" w:eastAsia="等线" w:cs="Times"/>
                <w:sz w:val="21"/>
                <w:szCs w:val="21"/>
              </w:rPr>
              <w:t>FFS: Shaping of higher order modulation</w:t>
            </w:r>
          </w:p>
          <w:p>
            <w:pPr>
              <w:pStyle w:val="64"/>
              <w:numPr>
                <w:ilvl w:val="0"/>
                <w:numId w:val="5"/>
              </w:numPr>
              <w:overflowPunct w:val="0"/>
              <w:autoSpaceDE w:val="0"/>
              <w:autoSpaceDN w:val="0"/>
              <w:adjustRightInd w:val="0"/>
              <w:spacing w:before="0" w:beforeAutospacing="0" w:after="0" w:afterAutospacing="0"/>
              <w:ind w:leftChars="0"/>
              <w:contextualSpacing/>
              <w:textAlignment w:val="baseline"/>
            </w:pPr>
            <w:r>
              <w:rPr>
                <w:sz w:val="21"/>
                <w:szCs w:val="21"/>
              </w:rPr>
              <w:t xml:space="preserve">System level evaluation can be done after link level evaluation. </w:t>
            </w:r>
          </w:p>
        </w:tc>
      </w:tr>
    </w:tbl>
    <w:p>
      <w:pPr>
        <w:spacing w:before="120" w:after="120"/>
      </w:pPr>
      <w:r>
        <w:t>F</w:t>
      </w:r>
      <w:r>
        <w:rPr>
          <w:rFonts w:hint="eastAsia"/>
        </w:rPr>
        <w:t>or advanced UEs (e.g., FWA or CPE devices) with relaxed form factor limitation, 1024QAM can be supported in UL to achieve high throughput.</w:t>
      </w:r>
      <w:r>
        <w:t xml:space="preserve"> </w:t>
      </w:r>
      <w:r>
        <w:rPr>
          <w:rFonts w:hint="eastAsia"/>
        </w:rPr>
        <w:t>H</w:t>
      </w:r>
      <w:r>
        <w:t xml:space="preserve">owever, further higher modulation order for QAM constellation (e.g., 4096QAM) is more sensitive on </w:t>
      </w:r>
      <w:r>
        <w:rPr>
          <w:rFonts w:hint="eastAsia"/>
        </w:rPr>
        <w:t>error vector magnitude (</w:t>
      </w:r>
      <w:r>
        <w:t>EVM</w:t>
      </w:r>
      <w:r>
        <w:rPr>
          <w:rFonts w:hint="eastAsia"/>
        </w:rPr>
        <w:t xml:space="preserve">) </w:t>
      </w:r>
      <w:r>
        <w:t xml:space="preserve">and requires higher </w:t>
      </w:r>
      <w:r>
        <w:rPr>
          <w:rFonts w:hint="eastAsia"/>
        </w:rPr>
        <w:t>signal-to-noise ratio (</w:t>
      </w:r>
      <w:r>
        <w:t>SNR</w:t>
      </w:r>
      <w:r>
        <w:rPr>
          <w:rFonts w:hint="eastAsia"/>
        </w:rPr>
        <w:t>)</w:t>
      </w:r>
      <w:r>
        <w:t>. Therefore, we think 4096QAM should not be considered in 6G Day 1.</w:t>
      </w:r>
    </w:p>
    <w:p>
      <w:pPr>
        <w:pStyle w:val="55"/>
        <w:spacing w:before="120" w:after="120"/>
        <w:jc w:val="both"/>
        <w:rPr>
          <w:lang w:val="en-US" w:eastAsia="zh-CN"/>
        </w:rPr>
      </w:pPr>
      <w:bookmarkStart w:id="0" w:name="_Toc4525"/>
      <w:bookmarkStart w:id="1" w:name="_Toc399"/>
      <w:bookmarkStart w:id="2" w:name="_Toc24818"/>
      <w:bookmarkStart w:id="3" w:name="_Toc18410"/>
      <w:bookmarkStart w:id="4" w:name="_Toc27028"/>
      <w:bookmarkStart w:id="5" w:name="_Toc9262"/>
      <w:bookmarkStart w:id="6" w:name="_Toc206179001"/>
      <w:bookmarkStart w:id="7" w:name="_Toc213435938"/>
      <w:r>
        <w:rPr>
          <w:rFonts w:hint="eastAsia"/>
          <w:lang w:val="en-US" w:eastAsia="zh-CN"/>
        </w:rPr>
        <w:t>1024</w:t>
      </w:r>
      <w:r>
        <w:rPr>
          <w:lang w:val="en-US" w:eastAsia="zh-CN"/>
        </w:rPr>
        <w:t>QAM can be considered for 6GR UL</w:t>
      </w:r>
      <w:bookmarkEnd w:id="0"/>
      <w:bookmarkEnd w:id="1"/>
      <w:bookmarkEnd w:id="2"/>
      <w:bookmarkEnd w:id="3"/>
      <w:bookmarkEnd w:id="4"/>
      <w:bookmarkEnd w:id="5"/>
      <w:bookmarkEnd w:id="6"/>
      <w:r>
        <w:rPr>
          <w:rFonts w:hint="eastAsia"/>
          <w:lang w:val="en-US" w:eastAsia="zh-CN"/>
        </w:rPr>
        <w:t>.</w:t>
      </w:r>
      <w:bookmarkEnd w:id="7"/>
    </w:p>
    <w:p>
      <w:pPr>
        <w:pStyle w:val="3"/>
        <w:spacing w:before="120" w:after="120"/>
        <w:ind w:left="991" w:right="210" w:hanging="991" w:hangingChars="354"/>
        <w:rPr>
          <w:rFonts w:eastAsia="宋体"/>
        </w:rPr>
      </w:pPr>
      <w:r>
        <w:rPr>
          <w:rFonts w:eastAsia="宋体"/>
        </w:rPr>
        <w:t xml:space="preserve">Discussion on improved MCS table </w:t>
      </w:r>
    </w:p>
    <w:p>
      <w:pPr>
        <w:spacing w:before="120" w:after="120"/>
      </w:pPr>
      <w:r>
        <w:rPr>
          <w:rFonts w:hint="eastAsia"/>
        </w:rPr>
        <w:t>I</w:t>
      </w:r>
      <w:r>
        <w:t>n RAN1#122bis meeting, we discussed the proposal of how to improve MCS table design [2]. We clarify the following sub-bullets based on our understanding.</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5" w:type="dxa"/>
          </w:tcPr>
          <w:p>
            <w:pPr>
              <w:pStyle w:val="60"/>
              <w:spacing w:before="0" w:beforeAutospacing="0" w:after="0"/>
              <w:rPr>
                <w:sz w:val="21"/>
                <w:szCs w:val="21"/>
              </w:rPr>
            </w:pPr>
            <w:r>
              <w:rPr>
                <w:sz w:val="21"/>
                <w:szCs w:val="21"/>
                <w:highlight w:val="yellow"/>
              </w:rPr>
              <w:t>Proposal 2.2-2A</w:t>
            </w:r>
          </w:p>
          <w:p>
            <w:pPr>
              <w:spacing w:beforeLines="0" w:after="0" w:afterLines="0" w:line="240" w:lineRule="auto"/>
              <w:rPr>
                <w:szCs w:val="21"/>
              </w:rPr>
            </w:pPr>
            <w:r>
              <w:rPr>
                <w:szCs w:val="21"/>
              </w:rPr>
              <w:t>Study and identify the lessons learned from NR MCS table design framework.</w:t>
            </w:r>
          </w:p>
          <w:p>
            <w:pPr>
              <w:spacing w:beforeLines="0" w:after="0" w:afterLines="0" w:line="240" w:lineRule="auto"/>
              <w:rPr>
                <w:szCs w:val="21"/>
              </w:rPr>
            </w:pPr>
            <w:r>
              <w:rPr>
                <w:szCs w:val="21"/>
              </w:rPr>
              <w:t>Some examples of lessons learned include:</w:t>
            </w:r>
          </w:p>
          <w:p>
            <w:pPr>
              <w:pStyle w:val="61"/>
              <w:numPr>
                <w:ilvl w:val="0"/>
                <w:numId w:val="6"/>
              </w:numPr>
              <w:spacing w:before="0" w:beforeAutospacing="0" w:after="0"/>
              <w:rPr>
                <w:sz w:val="21"/>
                <w:szCs w:val="21"/>
              </w:rPr>
            </w:pPr>
            <w:r>
              <w:rPr>
                <w:sz w:val="21"/>
                <w:szCs w:val="21"/>
              </w:rPr>
              <w:t>NR MCS tables are designed for AWGN channel and are not optimized for fading channels</w:t>
            </w:r>
          </w:p>
          <w:p>
            <w:pPr>
              <w:pStyle w:val="61"/>
              <w:numPr>
                <w:ilvl w:val="0"/>
                <w:numId w:val="6"/>
              </w:numPr>
              <w:spacing w:before="0" w:beforeAutospacing="0" w:after="0"/>
              <w:rPr>
                <w:sz w:val="21"/>
                <w:szCs w:val="21"/>
              </w:rPr>
            </w:pPr>
            <w:r>
              <w:rPr>
                <w:sz w:val="21"/>
                <w:szCs w:val="21"/>
              </w:rPr>
              <w:t>NR UL MCS tables are designed without considering MPR for different MCS or modulation orders</w:t>
            </w:r>
          </w:p>
          <w:p>
            <w:pPr>
              <w:pStyle w:val="61"/>
              <w:numPr>
                <w:ilvl w:val="0"/>
                <w:numId w:val="6"/>
              </w:numPr>
              <w:spacing w:before="0" w:beforeAutospacing="0" w:after="0"/>
              <w:rPr>
                <w:sz w:val="21"/>
                <w:szCs w:val="21"/>
              </w:rPr>
            </w:pPr>
            <w:r>
              <w:rPr>
                <w:sz w:val="21"/>
                <w:szCs w:val="21"/>
              </w:rPr>
              <w:t>Multiple MCS tables are available and a simplified mechanism is desired to choose across them</w:t>
            </w:r>
          </w:p>
        </w:tc>
      </w:tr>
    </w:tbl>
    <w:p>
      <w:pPr>
        <w:spacing w:before="120" w:after="120"/>
        <w:rPr>
          <w:u w:val="single"/>
        </w:rPr>
      </w:pPr>
      <w:r>
        <w:rPr>
          <w:rFonts w:hint="eastAsia"/>
          <w:u w:val="single"/>
        </w:rPr>
        <w:t>N</w:t>
      </w:r>
      <w:r>
        <w:rPr>
          <w:u w:val="single"/>
        </w:rPr>
        <w:t>R MCS table are designed for AWGN channel and are not optimized for fading channels.</w:t>
      </w:r>
    </w:p>
    <w:p>
      <w:pPr>
        <w:spacing w:before="120" w:after="120"/>
      </w:pPr>
      <w:r>
        <w:rPr>
          <w:rFonts w:hint="eastAsia"/>
        </w:rPr>
        <w:t>I</w:t>
      </w:r>
      <w:r>
        <w:t xml:space="preserve">n 5G NR design, the original design of MCS table considered both AWGN channel and fading channel. Based on </w:t>
      </w:r>
      <w:r>
        <w:rPr>
          <w:rFonts w:hint="eastAsia"/>
        </w:rPr>
        <w:t>[</w:t>
      </w:r>
      <w:r>
        <w:t>3</w:t>
      </w:r>
      <w:r>
        <w:rPr>
          <w:rFonts w:hint="eastAsia"/>
        </w:rPr>
        <w:t>]</w:t>
      </w:r>
      <w:r>
        <w:t>, EVM performance and comprehensive system-level simulations were evaluated. More specifically, the system simulations considered factors such as spatial multiplexing and rank adaptation. To this end, each MCS table was thoroughly evaluated and carefully designed, including input from both RAN1 and RAN4.</w:t>
      </w:r>
    </w:p>
    <w:p>
      <w:pPr>
        <w:pStyle w:val="52"/>
        <w:spacing w:before="120" w:after="120"/>
        <w:jc w:val="both"/>
      </w:pPr>
      <w:bookmarkStart w:id="8" w:name="_Toc213435863"/>
      <w:r>
        <w:rPr>
          <w:lang w:eastAsia="zh-CN"/>
        </w:rPr>
        <w:t xml:space="preserve">5G NR MCS tables are </w:t>
      </w:r>
      <w:r>
        <w:t>thoroughly evaluated and carefully designed</w:t>
      </w:r>
      <w:r>
        <w:rPr>
          <w:lang w:eastAsia="zh-CN"/>
        </w:rPr>
        <w:t xml:space="preserve"> with considerations of multiple aspects, including e.g., AWGN channel and fading channel, EVM performance, spatial multiplexing and rank adaptation.</w:t>
      </w:r>
      <w:bookmarkEnd w:id="8"/>
    </w:p>
    <w:p>
      <w:pPr>
        <w:spacing w:before="120" w:after="120"/>
        <w:rPr>
          <w:u w:val="single"/>
        </w:rPr>
      </w:pPr>
      <w:r>
        <w:rPr>
          <w:rFonts w:hint="eastAsia"/>
          <w:u w:val="single"/>
        </w:rPr>
        <w:t>N</w:t>
      </w:r>
      <w:r>
        <w:rPr>
          <w:u w:val="single"/>
        </w:rPr>
        <w:t xml:space="preserve">R </w:t>
      </w:r>
      <w:r>
        <w:rPr>
          <w:szCs w:val="21"/>
          <w:u w:val="single"/>
        </w:rPr>
        <w:t>UL MCS tables are designed without considering MPR for different MCS or modulation orders</w:t>
      </w:r>
      <w:r>
        <w:rPr>
          <w:u w:val="single"/>
        </w:rPr>
        <w:t>.</w:t>
      </w:r>
    </w:p>
    <w:p>
      <w:pPr>
        <w:spacing w:before="120" w:after="120"/>
      </w:pPr>
      <w:r>
        <w:t>For OFDM-based waveform, the difference in Maximum Power Reduction (MPR) among different modulation orders is generally negligible. However, for DFT-s-OFDM-based waveform, noticeable variations in MPR can be observed across different modulation orders. It should be noted that MPR is also dependent on factors such as power class, antenna configuration, and the location of the RBs within the system bandwidth. Therefore, considering MPR variations for each modulation scheme or MCS may lead to increased complexity in the MCS table design.</w:t>
      </w:r>
    </w:p>
    <w:p>
      <w:pPr>
        <w:pStyle w:val="52"/>
        <w:spacing w:before="120" w:after="120"/>
        <w:jc w:val="both"/>
      </w:pPr>
      <w:bookmarkStart w:id="9" w:name="_Toc213435864"/>
      <w:r>
        <w:t>MPR differences across modulation orders are observed for DFT-s-OFDM-based waveform in the uplink. In addition, MPR is dependent on factors such as UE power class, antenna configuration, and the location of RBs within the system bandwidth</w:t>
      </w:r>
      <w:r>
        <w:rPr>
          <w:lang w:eastAsia="zh-CN"/>
        </w:rPr>
        <w:t>.</w:t>
      </w:r>
      <w:bookmarkEnd w:id="9"/>
    </w:p>
    <w:p>
      <w:pPr>
        <w:spacing w:before="120" w:after="120"/>
        <w:rPr>
          <w:u w:val="single"/>
        </w:rPr>
      </w:pPr>
      <w:r>
        <w:rPr>
          <w:u w:val="single"/>
        </w:rPr>
        <w:t>Multiple MCS tables are available and a simplified mechanism is desired to choose across them.</w:t>
      </w:r>
    </w:p>
    <w:p>
      <w:pPr>
        <w:spacing w:before="120" w:after="120"/>
      </w:pPr>
      <w:r>
        <w:rPr>
          <w:rFonts w:hint="eastAsia"/>
        </w:rPr>
        <w:t>D</w:t>
      </w:r>
      <w:r>
        <w:t xml:space="preserve">ifferent scenarios adopt different CQI/MCS tables to ensure minimal and efficient signaling overhead for CQI feedback and MCS </w:t>
      </w:r>
      <w:r>
        <w:rPr>
          <w:rFonts w:hint="eastAsia"/>
        </w:rPr>
        <w:t>indica</w:t>
      </w:r>
      <w:r>
        <w:t xml:space="preserve">tion. </w:t>
      </w:r>
      <w:r>
        <w:rPr>
          <w:rFonts w:hint="eastAsia"/>
        </w:rPr>
        <w:t>F</w:t>
      </w:r>
      <w:r>
        <w:t xml:space="preserve">or example, the 1024QAM table is mainly used for FWA, the low SE 64QAM table is </w:t>
      </w:r>
      <w:r>
        <w:rPr>
          <w:rFonts w:hint="eastAsia"/>
        </w:rPr>
        <w:t>des</w:t>
      </w:r>
      <w:r>
        <w:t>igned for URLLC, 256QAM table is primarily used for indoor and UMi scenarios, and 64QAM table is mainly applied in Uma and RMa scenario. For uplink transmission, the MCS table supporting pi/2-BPSK modulation is designed for coverage enhancement scenarios.</w:t>
      </w:r>
      <w:r>
        <w:rPr>
          <w:rFonts w:hint="eastAsia"/>
        </w:rPr>
        <w:t xml:space="preserve"> </w:t>
      </w:r>
      <w:r>
        <w:t xml:space="preserve">The design guarantees consistency between CQI feedback and MCS scheduling, as well as reduces </w:t>
      </w:r>
      <w:r>
        <w:rPr>
          <w:rFonts w:hint="eastAsia"/>
        </w:rPr>
        <w:t>OTA</w:t>
      </w:r>
      <w:r>
        <w:t xml:space="preserve"> test effort. </w:t>
      </w:r>
    </w:p>
    <w:p>
      <w:pPr>
        <w:pStyle w:val="52"/>
        <w:spacing w:before="120" w:after="120"/>
        <w:jc w:val="both"/>
      </w:pPr>
      <w:bookmarkStart w:id="10" w:name="_Toc213435865"/>
      <w:r>
        <w:rPr>
          <w:lang w:eastAsia="zh-CN"/>
        </w:rPr>
        <w:t xml:space="preserve">Different scenarios adopting different CQI/MCS tables is beneficial to CQI feedback, MCS indication and </w:t>
      </w:r>
      <w:r>
        <w:rPr>
          <w:rFonts w:hint="eastAsia"/>
          <w:lang w:eastAsia="zh-CN"/>
        </w:rPr>
        <w:t>OTA</w:t>
      </w:r>
      <w:r>
        <w:t xml:space="preserve"> test</w:t>
      </w:r>
      <w:r>
        <w:rPr>
          <w:lang w:eastAsia="zh-CN"/>
        </w:rPr>
        <w:t xml:space="preserve"> effort reduction.</w:t>
      </w:r>
      <w:bookmarkEnd w:id="10"/>
    </w:p>
    <w:p>
      <w:pPr>
        <w:pStyle w:val="2"/>
        <w:spacing w:before="120" w:after="120"/>
        <w:ind w:left="0"/>
      </w:pPr>
      <w:r>
        <w:rPr>
          <w:rFonts w:hint="eastAsia" w:eastAsia="宋体"/>
        </w:rPr>
        <w:t xml:space="preserve">Discussion on </w:t>
      </w:r>
      <w:r>
        <w:rPr>
          <w:rFonts w:eastAsia="宋体"/>
        </w:rPr>
        <w:t>shaping</w:t>
      </w:r>
      <w:r>
        <w:rPr>
          <w:rFonts w:hint="eastAsia" w:eastAsia="宋体"/>
        </w:rPr>
        <w:t xml:space="preserve"> modulation for 6GR</w:t>
      </w:r>
    </w:p>
    <w:p>
      <w:pPr>
        <w:pStyle w:val="3"/>
        <w:spacing w:before="120" w:after="120"/>
        <w:ind w:left="991" w:right="210" w:hanging="991" w:hangingChars="354"/>
      </w:pPr>
      <w:r>
        <w:rPr>
          <w:rFonts w:hint="eastAsia" w:eastAsia="宋体"/>
        </w:rPr>
        <w:t>M</w:t>
      </w:r>
      <w:r>
        <w:rPr>
          <w:rFonts w:hint="eastAsia"/>
        </w:rPr>
        <w:t>etrics</w:t>
      </w:r>
      <w:r>
        <w:rPr>
          <w:rFonts w:hint="eastAsia" w:eastAsia="宋体"/>
        </w:rPr>
        <w:t xml:space="preserve"> for</w:t>
      </w:r>
      <w:r>
        <w:rPr>
          <w:rFonts w:hint="eastAsia"/>
        </w:rPr>
        <w:t xml:space="preserve"> </w:t>
      </w:r>
      <w:r>
        <w:rPr>
          <w:rFonts w:hint="eastAsia" w:eastAsia="宋体"/>
        </w:rPr>
        <w:t>shaping modulation</w:t>
      </w:r>
    </w:p>
    <w:p>
      <w:pPr>
        <w:spacing w:before="120" w:after="120"/>
        <w:rPr>
          <w:szCs w:val="21"/>
        </w:rPr>
      </w:pPr>
      <w:r>
        <w:rPr>
          <w:szCs w:val="21"/>
        </w:rPr>
        <w:t>According to the agreements for the metrics of shaping modulation for 6GR as below [1], we need to consider BLER performance, throughput performance, complexity and other aspects, including PAPR, MPR, etc.</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5" w:type="dxa"/>
          </w:tcPr>
          <w:p>
            <w:pPr>
              <w:spacing w:beforeLines="0" w:after="0" w:afterLines="0" w:line="240" w:lineRule="auto"/>
              <w:rPr>
                <w:rFonts w:eastAsia="等线"/>
                <w:kern w:val="0"/>
                <w:szCs w:val="21"/>
                <w:highlight w:val="green"/>
              </w:rPr>
            </w:pPr>
            <w:r>
              <w:rPr>
                <w:rFonts w:hint="eastAsia" w:eastAsia="等线" w:cs="Times"/>
                <w:szCs w:val="21"/>
                <w:highlight w:val="green"/>
              </w:rPr>
              <w:t>Agreement</w:t>
            </w:r>
          </w:p>
          <w:p>
            <w:pPr>
              <w:spacing w:beforeLines="0" w:after="0" w:afterLines="0" w:line="240" w:lineRule="auto"/>
              <w:rPr>
                <w:rFonts w:eastAsia="Batang"/>
                <w:szCs w:val="21"/>
              </w:rPr>
            </w:pPr>
            <w:r>
              <w:rPr>
                <w:szCs w:val="21"/>
              </w:rPr>
              <w:t xml:space="preserve">For 6GR constellation shaping evaluation for CP-OFDM, </w:t>
            </w:r>
            <w:r>
              <w:rPr>
                <w:rFonts w:hint="eastAsia" w:eastAsia="等线" w:cs="Times"/>
                <w:szCs w:val="21"/>
              </w:rPr>
              <w:t xml:space="preserve">and improved MCS table, </w:t>
            </w:r>
            <w:r>
              <w:rPr>
                <w:szCs w:val="21"/>
              </w:rPr>
              <w:t>the proposed scheme will be compared with non-shaping with NR MCS table. The evaluation and comparison should consider at least the following:</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sz w:val="21"/>
                <w:szCs w:val="21"/>
              </w:rPr>
              <w:t>BLER performance under AWGN channel (at least for performance calibration)</w:t>
            </w:r>
          </w:p>
          <w:p>
            <w:pPr>
              <w:pStyle w:val="62"/>
              <w:numPr>
                <w:ilvl w:val="1"/>
                <w:numId w:val="7"/>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sz w:val="21"/>
                <w:szCs w:val="21"/>
              </w:rPr>
              <w:t>BLER performance under fading channel</w:t>
            </w:r>
            <w:r>
              <w:rPr>
                <w:rFonts w:hint="eastAsia" w:eastAsia="等线"/>
                <w:sz w:val="21"/>
                <w:szCs w:val="21"/>
              </w:rPr>
              <w:t xml:space="preserve"> </w:t>
            </w:r>
            <w:r>
              <w:rPr>
                <w:sz w:val="21"/>
                <w:szCs w:val="21"/>
              </w:rPr>
              <w:t>with fixed MCS</w:t>
            </w:r>
          </w:p>
          <w:p>
            <w:pPr>
              <w:pStyle w:val="62"/>
              <w:numPr>
                <w:ilvl w:val="1"/>
                <w:numId w:val="7"/>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sz w:val="21"/>
                <w:szCs w:val="21"/>
              </w:rPr>
              <w:t>Throughput performance with link adaptation (adaptive MCS and rank) under fading channel</w:t>
            </w:r>
          </w:p>
          <w:p>
            <w:pPr>
              <w:pStyle w:val="62"/>
              <w:numPr>
                <w:ilvl w:val="1"/>
                <w:numId w:val="7"/>
              </w:numPr>
              <w:tabs>
                <w:tab w:val="left" w:pos="840"/>
              </w:tabs>
              <w:overflowPunct w:val="0"/>
              <w:autoSpaceDE w:val="0"/>
              <w:autoSpaceDN w:val="0"/>
              <w:adjustRightInd w:val="0"/>
              <w:spacing w:before="120" w:beforeAutospacing="0" w:after="120" w:afterAutospacing="0"/>
              <w:ind w:left="1440" w:leftChars="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sz w:val="21"/>
                <w:szCs w:val="21"/>
              </w:rPr>
              <w:t xml:space="preserve">Transmitter and receiver complexity (e.g., shaping/deshaping, demapper), latency, parallelism implementation, and storage requirements, </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sz w:val="21"/>
                <w:szCs w:val="21"/>
              </w:rPr>
              <w:t>Other KPI not excluded, such as PAPR, EVM, MPR/A-MPR</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sz w:val="21"/>
                <w:szCs w:val="21"/>
              </w:rPr>
              <w:t>Expected spec impact</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rFonts w:hint="eastAsia" w:eastAsia="等线" w:cs="Times"/>
                <w:sz w:val="21"/>
                <w:szCs w:val="21"/>
              </w:rPr>
              <w:t xml:space="preserve">FFS detailed assumption of </w:t>
            </w:r>
            <w:r>
              <w:rPr>
                <w:sz w:val="21"/>
                <w:szCs w:val="21"/>
              </w:rPr>
              <w:t>constellation shaping</w:t>
            </w:r>
            <w:r>
              <w:rPr>
                <w:rFonts w:hint="eastAsia" w:eastAsia="等线"/>
                <w:sz w:val="21"/>
                <w:szCs w:val="21"/>
              </w:rPr>
              <w:t xml:space="preserve"> </w:t>
            </w:r>
            <w:r>
              <w:rPr>
                <w:rFonts w:hint="eastAsia" w:eastAsia="等线" w:cs="Times"/>
                <w:sz w:val="21"/>
                <w:szCs w:val="21"/>
              </w:rPr>
              <w:t>and improved MCS table</w:t>
            </w:r>
          </w:p>
          <w:p>
            <w:pPr>
              <w:pStyle w:val="62"/>
              <w:numPr>
                <w:ilvl w:val="0"/>
                <w:numId w:val="7"/>
              </w:numPr>
              <w:overflowPunct w:val="0"/>
              <w:autoSpaceDE w:val="0"/>
              <w:autoSpaceDN w:val="0"/>
              <w:adjustRightInd w:val="0"/>
              <w:spacing w:before="120" w:beforeAutospacing="0" w:after="120" w:afterAutospacing="0"/>
              <w:ind w:left="720" w:leftChars="0"/>
              <w:contextualSpacing/>
              <w:textAlignment w:val="baseline"/>
              <w:rPr>
                <w:sz w:val="21"/>
                <w:szCs w:val="21"/>
              </w:rPr>
            </w:pPr>
            <w:r>
              <w:rPr>
                <w:sz w:val="21"/>
                <w:szCs w:val="21"/>
              </w:rPr>
              <w:t xml:space="preserve">System level evaluation can be done after link level evaluation. </w:t>
            </w:r>
          </w:p>
          <w:p>
            <w:pPr>
              <w:pStyle w:val="62"/>
              <w:overflowPunct w:val="0"/>
              <w:autoSpaceDE w:val="0"/>
              <w:autoSpaceDN w:val="0"/>
              <w:adjustRightInd w:val="0"/>
              <w:spacing w:before="120" w:beforeAutospacing="0" w:after="120" w:afterAutospacing="0"/>
              <w:ind w:left="0" w:leftChars="0"/>
              <w:contextualSpacing/>
              <w:textAlignment w:val="baseline"/>
              <w:rPr>
                <w:rFonts w:eastAsiaTheme="minorEastAsia"/>
                <w:sz w:val="21"/>
                <w:szCs w:val="21"/>
              </w:rPr>
            </w:pPr>
          </w:p>
          <w:p>
            <w:pPr>
              <w:spacing w:beforeLines="0" w:after="0" w:afterLines="0" w:line="240" w:lineRule="auto"/>
              <w:rPr>
                <w:rFonts w:eastAsia="等线"/>
                <w:kern w:val="0"/>
                <w:szCs w:val="21"/>
                <w:highlight w:val="green"/>
              </w:rPr>
            </w:pPr>
            <w:r>
              <w:rPr>
                <w:rFonts w:hint="eastAsia" w:eastAsia="等线" w:cs="Times"/>
                <w:szCs w:val="21"/>
                <w:highlight w:val="green"/>
              </w:rPr>
              <w:t>Agreement</w:t>
            </w:r>
          </w:p>
          <w:p>
            <w:pPr>
              <w:spacing w:beforeLines="0" w:after="0" w:afterLines="0" w:line="240" w:lineRule="auto"/>
              <w:rPr>
                <w:rFonts w:eastAsia="Batang"/>
                <w:color w:val="000000"/>
                <w:szCs w:val="21"/>
              </w:rPr>
            </w:pPr>
            <w:r>
              <w:rPr>
                <w:color w:val="000000"/>
                <w:szCs w:val="21"/>
              </w:rPr>
              <w:t>For 6GR constellation shaping evaluation for DFT-s-OFDM,</w:t>
            </w:r>
            <w:r>
              <w:rPr>
                <w:rFonts w:hint="eastAsia" w:eastAsia="等线"/>
                <w:color w:val="000000"/>
                <w:szCs w:val="21"/>
              </w:rPr>
              <w:t xml:space="preserve"> </w:t>
            </w:r>
            <w:r>
              <w:rPr>
                <w:rFonts w:hint="eastAsia" w:eastAsia="等线" w:cs="Times"/>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 consider at least the following:</w:t>
            </w:r>
          </w:p>
          <w:p>
            <w:pPr>
              <w:pStyle w:val="64"/>
              <w:numPr>
                <w:ilvl w:val="0"/>
                <w:numId w:val="8"/>
              </w:numPr>
              <w:overflowPunct w:val="0"/>
              <w:autoSpaceDE w:val="0"/>
              <w:autoSpaceDN w:val="0"/>
              <w:adjustRightInd w:val="0"/>
              <w:spacing w:before="0" w:beforeAutospacing="0" w:after="0" w:afterAutospacing="0"/>
              <w:ind w:left="720" w:leftChars="0"/>
              <w:contextualSpacing/>
              <w:textAlignment w:val="baseline"/>
              <w:rPr>
                <w:color w:val="000000"/>
                <w:sz w:val="21"/>
                <w:szCs w:val="21"/>
              </w:rPr>
            </w:pPr>
            <w:r>
              <w:rPr>
                <w:rFonts w:hint="eastAsia" w:cs="Times"/>
                <w:iCs/>
                <w:color w:val="000000"/>
                <w:sz w:val="21"/>
                <w:szCs w:val="21"/>
              </w:rPr>
              <w:t>PAPR/CM</w:t>
            </w:r>
            <w:r>
              <w:rPr>
                <w:iCs/>
                <w:color w:val="000000"/>
                <w:sz w:val="21"/>
                <w:szCs w:val="21"/>
              </w:rPr>
              <w:t xml:space="preserve"> of the resulting waveform</w:t>
            </w:r>
          </w:p>
          <w:p>
            <w:pPr>
              <w:pStyle w:val="64"/>
              <w:numPr>
                <w:ilvl w:val="0"/>
                <w:numId w:val="8"/>
              </w:numPr>
              <w:overflowPunct w:val="0"/>
              <w:autoSpaceDE w:val="0"/>
              <w:autoSpaceDN w:val="0"/>
              <w:adjustRightInd w:val="0"/>
              <w:spacing w:before="0" w:beforeAutospacing="0" w:after="0" w:afterAutospacing="0"/>
              <w:ind w:left="720" w:leftChars="0"/>
              <w:contextualSpacing/>
              <w:textAlignment w:val="baseline"/>
              <w:rPr>
                <w:color w:val="000000"/>
                <w:sz w:val="21"/>
                <w:szCs w:val="21"/>
              </w:rPr>
            </w:pPr>
            <w:r>
              <w:rPr>
                <w:sz w:val="21"/>
                <w:szCs w:val="21"/>
              </w:rPr>
              <w:t>EVM, MPR/A-MPR</w:t>
            </w:r>
          </w:p>
        </w:tc>
      </w:tr>
    </w:tbl>
    <w:p>
      <w:pPr>
        <w:spacing w:before="120" w:after="120"/>
        <w:rPr>
          <w:szCs w:val="21"/>
        </w:rPr>
      </w:pPr>
      <w:r>
        <w:rPr>
          <w:rFonts w:hint="eastAsia"/>
          <w:szCs w:val="21"/>
        </w:rPr>
        <w:t>I</w:t>
      </w:r>
      <w:r>
        <w:rPr>
          <w:szCs w:val="21"/>
        </w:rPr>
        <w:t xml:space="preserve">n 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performance gain justifies the additional cost, including computational complexity, hardware complexity, power consumption, etc.</w:t>
      </w:r>
    </w:p>
    <w:p>
      <w:pPr>
        <w:pStyle w:val="55"/>
        <w:spacing w:before="120" w:after="120"/>
        <w:rPr>
          <w:rFonts w:eastAsia="宋体"/>
          <w:lang w:val="en-US" w:eastAsia="zh-CN"/>
        </w:rPr>
      </w:pPr>
      <w:bookmarkStart w:id="11" w:name="_Toc5636"/>
      <w:bookmarkStart w:id="12" w:name="_Toc213435939"/>
      <w:r>
        <w:rPr>
          <w:lang w:val="en-US" w:eastAsia="zh-CN"/>
        </w:rPr>
        <w:t>Consider performance and complexity trade-off in the study of shaping modulation</w:t>
      </w:r>
      <w:bookmarkEnd w:id="11"/>
      <w:r>
        <w:rPr>
          <w:lang w:val="en-US" w:eastAsia="zh-CN"/>
        </w:rPr>
        <w:t xml:space="preserve"> for 6GR.</w:t>
      </w:r>
      <w:bookmarkEnd w:id="12"/>
    </w:p>
    <w:p>
      <w:pPr>
        <w:pStyle w:val="3"/>
        <w:spacing w:before="120" w:after="120"/>
        <w:ind w:left="991" w:right="210" w:hanging="991" w:hangingChars="354"/>
        <w:rPr>
          <w:rFonts w:eastAsia="宋体"/>
        </w:rPr>
      </w:pPr>
      <w:r>
        <w:rPr>
          <w:rFonts w:eastAsia="宋体"/>
        </w:rPr>
        <w:t>Evaluations on shaping modulation</w:t>
      </w:r>
    </w:p>
    <w:p>
      <w:pPr>
        <w:pStyle w:val="4"/>
        <w:spacing w:after="120"/>
        <w:ind w:right="210"/>
      </w:pPr>
      <w:r>
        <w:t>Geometric shaping modulation</w:t>
      </w:r>
    </w:p>
    <w:p>
      <w:pPr>
        <w:pStyle w:val="5"/>
        <w:spacing w:after="24"/>
      </w:pPr>
      <w:r>
        <w:t xml:space="preserve">3.2.1.1 </w:t>
      </w:r>
      <w:r>
        <w:rPr>
          <w:rFonts w:hint="eastAsia"/>
        </w:rPr>
        <w:t>General</w:t>
      </w:r>
    </w:p>
    <w:p>
      <w:pPr>
        <w:spacing w:before="120" w:after="120"/>
      </w:pPr>
      <w:r>
        <w:rPr>
          <w:rFonts w:hint="eastAsia"/>
        </w:rPr>
        <w:t>Geometric shaping employs non-uniform constellations (NUCs) as an alternative to conventional QAM. Unlike uniformly spaced QAM, NUCs approximate a Gaussian distribution in the complex plane, offering potential gains in spectral efficiency and noise resilience.</w:t>
      </w:r>
    </w:p>
    <w:p>
      <w:pPr>
        <w:spacing w:before="120" w:after="120"/>
        <w:rPr>
          <w:highlight w:val="yellow"/>
        </w:rPr>
      </w:pPr>
      <w:r>
        <w:t xml:space="preserve">NUC modulation is a mature technique for performance improvement in coded modulation. NUC modulation has been used in broadcast systems for many years, such as </w:t>
      </w:r>
      <w:r>
        <w:rPr>
          <w:rFonts w:hint="eastAsia"/>
        </w:rPr>
        <w:t>a</w:t>
      </w:r>
      <w:r>
        <w:t xml:space="preserve">dvanced </w:t>
      </w:r>
      <w:r>
        <w:rPr>
          <w:rFonts w:hint="eastAsia"/>
        </w:rPr>
        <w:t>t</w:t>
      </w:r>
      <w:r>
        <w:t xml:space="preserve">elevision </w:t>
      </w:r>
      <w:r>
        <w:rPr>
          <w:rFonts w:hint="eastAsia"/>
        </w:rPr>
        <w:t>s</w:t>
      </w:r>
      <w:r>
        <w:t xml:space="preserve">ystems </w:t>
      </w:r>
      <w:r>
        <w:rPr>
          <w:rFonts w:hint="eastAsia"/>
        </w:rPr>
        <w:t>c</w:t>
      </w:r>
      <w:r>
        <w:t xml:space="preserve">ommittee standard version 3.0 (ATSC 3.0) [4] </w:t>
      </w:r>
      <w:r>
        <w:rPr>
          <w:rFonts w:hint="eastAsia"/>
        </w:rPr>
        <w:t>and digital video broadcasting (DVB) standard</w:t>
      </w:r>
      <w:r>
        <w:t xml:space="preserve"> [5]</w:t>
      </w:r>
      <w:r>
        <w:rPr>
          <w:rFonts w:hint="eastAsia"/>
        </w:rPr>
        <w:t>.</w:t>
      </w:r>
    </w:p>
    <w:p>
      <w:pPr>
        <w:spacing w:before="120" w:after="120"/>
        <w:rPr>
          <w:strike/>
        </w:rPr>
      </w:pPr>
      <w:r>
        <w:rPr>
          <w:rFonts w:hint="eastAsia"/>
        </w:rPr>
        <w:t>NUCs include three types: 1D-NUCs (Figure 1(a))</w:t>
      </w:r>
      <w:r>
        <w:t>,</w:t>
      </w:r>
      <w:r>
        <w:rPr>
          <w:rFonts w:hint="eastAsia"/>
        </w:rPr>
        <w:t xml:space="preserve"> 2D-NUCs (Figure 1(b)) </w:t>
      </w:r>
      <w:r>
        <w:t xml:space="preserve">and </w:t>
      </w:r>
      <w:r>
        <w:rPr>
          <w:rFonts w:hint="eastAsia"/>
        </w:rPr>
        <w:t xml:space="preserve">amplitude-phase </w:t>
      </w:r>
      <w:r>
        <w:t>shift</w:t>
      </w:r>
      <w:r>
        <w:rPr>
          <w:rFonts w:hint="eastAsia"/>
        </w:rPr>
        <w:t xml:space="preserve"> keying (APSK) modulation (Figure 1(c)).</w:t>
      </w:r>
    </w:p>
    <w:p>
      <w:pPr>
        <w:pStyle w:val="52"/>
        <w:spacing w:before="120" w:after="120"/>
        <w:jc w:val="both"/>
      </w:pPr>
      <w:bookmarkStart w:id="13" w:name="_Toc20880"/>
      <w:bookmarkStart w:id="14" w:name="_Toc31002"/>
      <w:bookmarkStart w:id="15" w:name="_Toc210086358"/>
      <w:bookmarkStart w:id="16" w:name="_Toc6307"/>
      <w:bookmarkStart w:id="17" w:name="_Toc157"/>
      <w:bookmarkStart w:id="18" w:name="_Toc29881"/>
      <w:bookmarkStart w:id="19" w:name="_Toc29102"/>
      <w:bookmarkStart w:id="20" w:name="_Toc2614"/>
      <w:bookmarkStart w:id="21" w:name="_Toc26404"/>
      <w:bookmarkStart w:id="22" w:name="_Toc16473"/>
      <w:bookmarkStart w:id="23" w:name="_Toc18073"/>
      <w:bookmarkStart w:id="24" w:name="_Toc29972"/>
      <w:bookmarkStart w:id="25" w:name="_Toc10028"/>
      <w:bookmarkStart w:id="26" w:name="_Toc9883"/>
      <w:bookmarkStart w:id="27" w:name="_Toc17925"/>
      <w:bookmarkStart w:id="28" w:name="_Toc30593"/>
      <w:bookmarkStart w:id="29" w:name="_Toc28761"/>
      <w:bookmarkStart w:id="30" w:name="_Toc25505"/>
      <w:bookmarkStart w:id="31" w:name="_Toc24361"/>
      <w:bookmarkStart w:id="32" w:name="_Toc32433"/>
      <w:bookmarkStart w:id="33" w:name="_Toc26426"/>
      <w:bookmarkStart w:id="34" w:name="_Toc3147"/>
      <w:bookmarkStart w:id="35" w:name="_Toc27030"/>
      <w:bookmarkStart w:id="36" w:name="_Toc21350"/>
      <w:bookmarkStart w:id="37" w:name="_Toc30223"/>
      <w:bookmarkStart w:id="38" w:name="_Toc206178980"/>
      <w:bookmarkStart w:id="39" w:name="_Toc20322"/>
      <w:bookmarkStart w:id="40" w:name="_Toc25449"/>
      <w:bookmarkStart w:id="41" w:name="_Toc18514"/>
      <w:bookmarkStart w:id="42" w:name="_Toc6626"/>
      <w:bookmarkStart w:id="43" w:name="_Toc11446"/>
      <w:bookmarkStart w:id="44" w:name="_Toc18915"/>
      <w:bookmarkStart w:id="45" w:name="_Toc22353"/>
      <w:bookmarkStart w:id="46" w:name="_Toc19717"/>
      <w:bookmarkStart w:id="47" w:name="_Toc7899"/>
      <w:bookmarkStart w:id="48" w:name="_Toc213435866"/>
      <w:bookmarkStart w:id="49" w:name="_Toc27907"/>
      <w:r>
        <w:rPr>
          <w:rFonts w:hint="eastAsia"/>
          <w:lang w:val="en-US" w:eastAsia="zh-CN"/>
        </w:rPr>
        <w:t xml:space="preserve">NUC </w:t>
      </w:r>
      <w:r>
        <w:t>modulation</w:t>
      </w:r>
      <w:r>
        <w:rPr>
          <w:rFonts w:hint="eastAsia"/>
          <w:lang w:val="en-US" w:eastAsia="zh-CN"/>
        </w:rPr>
        <w:t xml:space="preserve"> is a mature technique and has been widely used in broadcast standards.</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pPr>
        <w:spacing w:before="120" w:after="120"/>
      </w:pPr>
      <w:r>
        <w:drawing>
          <wp:inline distT="0" distB="0" distL="114300" distR="114300">
            <wp:extent cx="1818005" cy="1800225"/>
            <wp:effectExtent l="0" t="0" r="1079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12"/>
                    <a:stretch>
                      <a:fillRect/>
                    </a:stretch>
                  </pic:blipFill>
                  <pic:spPr>
                    <a:xfrm>
                      <a:off x="0" y="0"/>
                      <a:ext cx="1818005" cy="1800225"/>
                    </a:xfrm>
                    <a:prstGeom prst="rect">
                      <a:avLst/>
                    </a:prstGeom>
                    <a:noFill/>
                    <a:ln>
                      <a:noFill/>
                    </a:ln>
                  </pic:spPr>
                </pic:pic>
              </a:graphicData>
            </a:graphic>
          </wp:inline>
        </w:drawing>
      </w:r>
      <w:r>
        <w:rPr>
          <w:rFonts w:hint="eastAsia"/>
        </w:rPr>
        <w:t xml:space="preserve">  </w:t>
      </w:r>
      <w:r>
        <w:drawing>
          <wp:inline distT="0" distB="0" distL="114300" distR="114300">
            <wp:extent cx="1827530" cy="1800225"/>
            <wp:effectExtent l="0" t="0" r="1270" b="952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3"/>
                    <a:stretch>
                      <a:fillRect/>
                    </a:stretch>
                  </pic:blipFill>
                  <pic:spPr>
                    <a:xfrm>
                      <a:off x="0" y="0"/>
                      <a:ext cx="1827530" cy="1800225"/>
                    </a:xfrm>
                    <a:prstGeom prst="rect">
                      <a:avLst/>
                    </a:prstGeom>
                    <a:noFill/>
                    <a:ln>
                      <a:noFill/>
                    </a:ln>
                  </pic:spPr>
                </pic:pic>
              </a:graphicData>
            </a:graphic>
          </wp:inline>
        </w:drawing>
      </w:r>
      <w:r>
        <w:rPr>
          <w:rFonts w:hint="eastAsia"/>
        </w:rPr>
        <w:t xml:space="preserve">  </w:t>
      </w:r>
      <w:r>
        <w:drawing>
          <wp:inline distT="0" distB="0" distL="114300" distR="114300">
            <wp:extent cx="1818005" cy="1800225"/>
            <wp:effectExtent l="0" t="0" r="10795" b="952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4"/>
                    <a:stretch>
                      <a:fillRect/>
                    </a:stretch>
                  </pic:blipFill>
                  <pic:spPr>
                    <a:xfrm>
                      <a:off x="0" y="0"/>
                      <a:ext cx="1818005" cy="1800225"/>
                    </a:xfrm>
                    <a:prstGeom prst="rect">
                      <a:avLst/>
                    </a:prstGeom>
                    <a:noFill/>
                    <a:ln>
                      <a:noFill/>
                    </a:ln>
                  </pic:spPr>
                </pic:pic>
              </a:graphicData>
            </a:graphic>
          </wp:inline>
        </w:drawing>
      </w:r>
    </w:p>
    <w:p>
      <w:pPr>
        <w:numPr>
          <w:ilvl w:val="255"/>
          <w:numId w:val="0"/>
        </w:numPr>
        <w:spacing w:before="120" w:after="120"/>
        <w:jc w:val="center"/>
      </w:pPr>
      <w:r>
        <w:rPr>
          <w:rFonts w:hint="eastAsia"/>
        </w:rPr>
        <w:t>(a) 1D 64NUC                  (b) 2D 64NUC                 (c) 64APSK</w:t>
      </w:r>
    </w:p>
    <w:p>
      <w:pPr>
        <w:spacing w:before="120" w:after="120"/>
        <w:jc w:val="center"/>
        <w:rPr>
          <w:u w:val="single"/>
        </w:rPr>
      </w:pPr>
      <w:r>
        <w:rPr>
          <w:rFonts w:hint="eastAsia"/>
        </w:rPr>
        <w:t>Figure 1 Diagrams for three types of NUCs. Dots are constel</w:t>
      </w:r>
      <w:r>
        <w:t>l</w:t>
      </w:r>
      <w:r>
        <w:rPr>
          <w:rFonts w:hint="eastAsia"/>
        </w:rPr>
        <w:t>ation points where digits near the dots are bit labeling correspo</w:t>
      </w:r>
      <w:r>
        <w:t>n</w:t>
      </w:r>
      <w:r>
        <w:rPr>
          <w:rFonts w:hint="eastAsia"/>
        </w:rPr>
        <w:t>ding to the constel</w:t>
      </w:r>
      <w:r>
        <w:t>l</w:t>
      </w:r>
      <w:r>
        <w:rPr>
          <w:rFonts w:hint="eastAsia"/>
        </w:rPr>
        <w:t>ation points.</w:t>
      </w:r>
    </w:p>
    <w:p>
      <w:pPr>
        <w:spacing w:before="120" w:after="120"/>
      </w:pPr>
      <w:r>
        <w:rPr>
          <w:rFonts w:hint="eastAsia"/>
        </w:rPr>
        <w:t xml:space="preserve">Figure 2 shows the coding and modulation chain for NUC modulation. It is shown that the coding and modulation chain is the same as that of 5G NR low density parity check (LDPC) coding and modulation chain </w:t>
      </w:r>
      <w:r>
        <w:t>[6]</w:t>
      </w:r>
      <w:r>
        <w:rPr>
          <w:rFonts w:hint="eastAsia"/>
        </w:rPr>
        <w:t xml:space="preserve"> except that NUC modulation and demodulation replace QAM modulation and demodulation at the transmitter and the receiver, respectively, where details of channel coding, bit selection, and bit interleaving can be referred to </w:t>
      </w:r>
      <w:r>
        <w:t>3GPP TS 38.212 [6].</w:t>
      </w:r>
    </w:p>
    <w:p>
      <w:pPr>
        <w:spacing w:before="120" w:after="120"/>
        <w:jc w:val="center"/>
      </w:pPr>
      <w:r>
        <w:drawing>
          <wp:inline distT="0" distB="0" distL="0" distR="0">
            <wp:extent cx="3651885" cy="1353185"/>
            <wp:effectExtent l="0" t="0" r="571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651885" cy="1353185"/>
                    </a:xfrm>
                    <a:prstGeom prst="rect">
                      <a:avLst/>
                    </a:prstGeom>
                    <a:noFill/>
                  </pic:spPr>
                </pic:pic>
              </a:graphicData>
            </a:graphic>
          </wp:inline>
        </w:drawing>
      </w:r>
    </w:p>
    <w:p>
      <w:pPr>
        <w:spacing w:before="120" w:after="120"/>
        <w:jc w:val="center"/>
      </w:pPr>
      <w:r>
        <w:rPr>
          <w:rFonts w:hint="eastAsia"/>
        </w:rPr>
        <w:t>Figure 2 Coding and modulation chain for NUC modulation.</w:t>
      </w:r>
    </w:p>
    <w:p>
      <w:pPr>
        <w:pStyle w:val="52"/>
        <w:spacing w:before="120" w:after="120"/>
        <w:jc w:val="both"/>
      </w:pPr>
      <w:bookmarkStart w:id="50" w:name="_Toc19101"/>
      <w:bookmarkStart w:id="51" w:name="_Toc10652"/>
      <w:bookmarkStart w:id="52" w:name="_Toc26411"/>
      <w:bookmarkStart w:id="53" w:name="_Toc28269"/>
      <w:bookmarkStart w:id="54" w:name="_Toc19158"/>
      <w:bookmarkStart w:id="55" w:name="_Toc24950"/>
      <w:bookmarkStart w:id="56" w:name="_Toc210086359"/>
      <w:bookmarkStart w:id="57" w:name="_Toc23340"/>
      <w:bookmarkStart w:id="58" w:name="_Toc22665"/>
      <w:bookmarkStart w:id="59" w:name="_Toc27698"/>
      <w:bookmarkStart w:id="60" w:name="_Toc1278"/>
      <w:bookmarkStart w:id="61" w:name="_Toc24531"/>
      <w:bookmarkStart w:id="62" w:name="_Toc31289"/>
      <w:bookmarkStart w:id="63" w:name="_Toc17439"/>
      <w:bookmarkStart w:id="64" w:name="_Toc206178981"/>
      <w:bookmarkStart w:id="65" w:name="_Toc7741"/>
      <w:bookmarkStart w:id="66" w:name="_Toc13523"/>
      <w:bookmarkStart w:id="67" w:name="_Toc31577"/>
      <w:bookmarkStart w:id="68" w:name="_Toc13717"/>
      <w:bookmarkStart w:id="69" w:name="_Toc27144"/>
      <w:bookmarkStart w:id="70" w:name="_Toc5606"/>
      <w:bookmarkStart w:id="71" w:name="_Toc22162"/>
      <w:bookmarkStart w:id="72" w:name="_Toc31402"/>
      <w:bookmarkStart w:id="73" w:name="_Toc11674"/>
      <w:bookmarkStart w:id="74" w:name="_Toc2431"/>
      <w:bookmarkStart w:id="75" w:name="_Toc16973"/>
      <w:bookmarkStart w:id="76" w:name="_Toc31305"/>
      <w:bookmarkStart w:id="77" w:name="_Toc9088"/>
      <w:bookmarkStart w:id="78" w:name="_Toc31139"/>
      <w:bookmarkStart w:id="79" w:name="_Toc21230"/>
      <w:bookmarkStart w:id="80" w:name="_Toc213435867"/>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pPr>
        <w:spacing w:before="120" w:after="120"/>
      </w:pPr>
      <w:r>
        <w:rPr>
          <w:rFonts w:hint="eastAsia"/>
        </w:rPr>
        <w:t>For NUC modulation, it</w:t>
      </w:r>
      <w:r>
        <w:t xml:space="preserve"> may have some modifications </w:t>
      </w:r>
      <w:r>
        <w:rPr>
          <w:rFonts w:hint="eastAsia"/>
        </w:rPr>
        <w:t>to</w:t>
      </w:r>
      <w:r>
        <w:t xml:space="preserve"> legacy QAM modulation module</w:t>
      </w:r>
      <w:r>
        <w:rPr>
          <w:rFonts w:hint="eastAsia"/>
        </w:rPr>
        <w:t>.</w:t>
      </w:r>
      <w:r>
        <w:t xml:space="preserve"> E</w:t>
      </w:r>
      <w:r>
        <w:rPr>
          <w:rFonts w:hint="eastAsia"/>
        </w:rPr>
        <w:t xml:space="preserve">very </w:t>
      </w:r>
      <w:r>
        <w:rPr>
          <w:i/>
          <w:iCs/>
        </w:rPr>
        <w:t>Q</w:t>
      </w:r>
      <w:r>
        <w:rPr>
          <w:vertAlign w:val="subscript"/>
        </w:rPr>
        <w:t>m</w:t>
      </w:r>
      <w:r>
        <w:rPr>
          <w:rFonts w:hint="eastAsia"/>
          <w:i/>
          <w:iCs/>
          <w:vertAlign w:val="subscript"/>
        </w:rPr>
        <w:t xml:space="preserve"> </w:t>
      </w:r>
      <w:r>
        <w:t>bit</w:t>
      </w:r>
      <w:r>
        <w:rPr>
          <w:rFonts w:hint="eastAsia"/>
        </w:rPr>
        <w:t xml:space="preserve">s </w:t>
      </w:r>
      <w:r>
        <w:rPr>
          <w:rFonts w:hint="eastAsia"/>
          <w:i/>
          <w:iCs/>
        </w:rPr>
        <w:t>b</w:t>
      </w:r>
      <w:r>
        <w:rPr>
          <w:rFonts w:hint="eastAsia"/>
          <w:vertAlign w:val="subscript"/>
        </w:rPr>
        <w:t>0</w:t>
      </w:r>
      <w:r>
        <w:rPr>
          <w:rFonts w:hint="eastAsia"/>
        </w:rPr>
        <w:t xml:space="preserve">, ..., </w:t>
      </w:r>
      <w:r>
        <w:rPr>
          <w:rFonts w:hint="eastAsia"/>
          <w:i/>
          <w:iCs/>
        </w:rPr>
        <w:t>b</w:t>
      </w:r>
      <w:r>
        <w:rPr>
          <w:rFonts w:hint="eastAsia"/>
          <w:i/>
          <w:iCs/>
          <w:vertAlign w:val="subscript"/>
        </w:rPr>
        <w:t>Q</w:t>
      </w:r>
      <w:r>
        <w:rPr>
          <w:rFonts w:hint="eastAsia"/>
          <w:vertAlign w:val="subscript"/>
        </w:rPr>
        <w:t xml:space="preserve">m-1 </w:t>
      </w:r>
      <w:r>
        <w:rPr>
          <w:rFonts w:hint="eastAsia"/>
        </w:rPr>
        <w:t xml:space="preserve">from the output sequence of the bit interleaving are independently and separately mapped to a constellation point of a given NUC using a predefined bit-to-symbol mapping, where </w:t>
      </w:r>
      <w:r>
        <w:rPr>
          <w:rFonts w:hint="eastAsia"/>
          <w:i/>
          <w:iCs/>
        </w:rPr>
        <w:t>Q</w:t>
      </w:r>
      <w:r>
        <w:rPr>
          <w:rFonts w:hint="eastAsia"/>
          <w:vertAlign w:val="subscript"/>
        </w:rPr>
        <w:t xml:space="preserve">m </w:t>
      </w:r>
      <w:r>
        <w:rPr>
          <w:rFonts w:hint="eastAsia"/>
        </w:rPr>
        <w:t>is the modulation order of the given NUC.</w:t>
      </w:r>
    </w:p>
    <w:p>
      <w:pPr>
        <w:spacing w:before="120" w:after="120"/>
      </w:pPr>
      <w:r>
        <w:rPr>
          <w:rFonts w:hint="eastAsia"/>
        </w:rPr>
        <w:t>For NUC demodulation, it</w:t>
      </w:r>
      <w:r>
        <w:t xml:space="preserve"> may have some modifications </w:t>
      </w:r>
      <w:r>
        <w:rPr>
          <w:rFonts w:hint="eastAsia"/>
        </w:rPr>
        <w:t>to</w:t>
      </w:r>
      <w:r>
        <w:t xml:space="preserve"> legacy QAM modulation module. E</w:t>
      </w:r>
      <w:r>
        <w:rPr>
          <w:rFonts w:hint="eastAsia"/>
        </w:rPr>
        <w:t xml:space="preserve">very received symbol </w:t>
      </w:r>
      <w:r>
        <w:rPr>
          <w:rFonts w:hint="eastAsia"/>
          <w:i/>
          <w:iCs/>
        </w:rPr>
        <w:t>y</w:t>
      </w:r>
      <w:r>
        <w:rPr>
          <w:rFonts w:hint="eastAsia"/>
          <w:i/>
          <w:iCs/>
          <w:vertAlign w:val="subscript"/>
        </w:rPr>
        <w:t>j</w:t>
      </w:r>
      <w:r>
        <w:rPr>
          <w:rFonts w:hint="eastAsia"/>
          <w:i/>
          <w:iCs/>
        </w:rPr>
        <w:t xml:space="preserve"> </w:t>
      </w:r>
      <w:r>
        <w:t>in</w:t>
      </w:r>
      <w:r>
        <w:rPr>
          <w:rFonts w:hint="eastAsia"/>
        </w:rPr>
        <w:t xml:space="preserve"> a received sequence </w:t>
      </w:r>
      <w:r>
        <w:rPr>
          <w:rFonts w:hint="eastAsia"/>
          <w:i/>
          <w:iCs/>
        </w:rPr>
        <w:t>y</w:t>
      </w:r>
      <w:r>
        <w:rPr>
          <w:rFonts w:hint="eastAsia"/>
          <w:vertAlign w:val="subscript"/>
        </w:rPr>
        <w:t>0</w:t>
      </w:r>
      <w:r>
        <w:rPr>
          <w:rFonts w:hint="eastAsia"/>
        </w:rPr>
        <w:t xml:space="preserve">, ..., </w:t>
      </w:r>
      <w:r>
        <w:rPr>
          <w:rFonts w:hint="eastAsia"/>
          <w:i/>
          <w:iCs/>
        </w:rPr>
        <w:t>y</w:t>
      </w:r>
      <w:r>
        <w:rPr>
          <w:rFonts w:hint="eastAsia"/>
          <w:i/>
          <w:iCs/>
          <w:vertAlign w:val="subscript"/>
        </w:rPr>
        <w:t>N</w:t>
      </w:r>
      <w:r>
        <w:rPr>
          <w:vertAlign w:val="subscript"/>
        </w:rPr>
        <w:t>s</w:t>
      </w:r>
      <w:r>
        <w:rPr>
          <w:rFonts w:hint="eastAsia"/>
          <w:vertAlign w:val="subscript"/>
        </w:rPr>
        <w:t>-1</w:t>
      </w:r>
      <w:r>
        <w:rPr>
          <w:rFonts w:hint="eastAsia"/>
        </w:rPr>
        <w:t xml:space="preserve"> is independently and separately demodulated to </w:t>
      </w:r>
      <w:r>
        <w:rPr>
          <w:rFonts w:hint="eastAsia"/>
          <w:i/>
          <w:iCs/>
        </w:rPr>
        <w:t>Q</w:t>
      </w:r>
      <w:r>
        <w:rPr>
          <w:rFonts w:hint="eastAsia"/>
          <w:vertAlign w:val="subscript"/>
        </w:rPr>
        <w:t>m</w:t>
      </w:r>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pPr>
        <w:pStyle w:val="52"/>
        <w:spacing w:before="120" w:after="120"/>
      </w:pPr>
      <w:bookmarkStart w:id="81" w:name="_Toc20316"/>
      <w:bookmarkStart w:id="82" w:name="_Toc18340"/>
      <w:bookmarkStart w:id="83" w:name="_Toc25722"/>
      <w:bookmarkStart w:id="84" w:name="_Toc210086360"/>
      <w:bookmarkStart w:id="85" w:name="_Toc16206"/>
      <w:bookmarkStart w:id="86" w:name="_Toc213435868"/>
      <w:bookmarkStart w:id="87" w:name="_Toc29438"/>
      <w:bookmarkStart w:id="88" w:name="_Toc27947"/>
      <w:bookmarkStart w:id="89" w:name="_Toc206178982"/>
      <w:bookmarkStart w:id="90" w:name="_Toc9972"/>
      <w:bookmarkStart w:id="91" w:name="_Toc28133"/>
      <w:bookmarkStart w:id="92" w:name="_Toc21799"/>
      <w:bookmarkStart w:id="93" w:name="_Toc18587"/>
      <w:bookmarkStart w:id="94" w:name="_Toc12647"/>
      <w:bookmarkStart w:id="95" w:name="_Toc12552"/>
      <w:bookmarkStart w:id="96" w:name="_Toc5391"/>
      <w:bookmarkStart w:id="97" w:name="_Toc1665"/>
      <w:bookmarkStart w:id="98" w:name="_Toc3266"/>
      <w:bookmarkStart w:id="99" w:name="_Toc2971"/>
      <w:bookmarkStart w:id="100" w:name="_Toc29165"/>
      <w:bookmarkStart w:id="101" w:name="_Toc15298"/>
      <w:bookmarkStart w:id="102" w:name="_Toc24321"/>
      <w:bookmarkStart w:id="103" w:name="_Toc27050"/>
      <w:bookmarkStart w:id="104" w:name="_Toc3509"/>
      <w:bookmarkStart w:id="105" w:name="_Toc1602"/>
      <w:bookmarkStart w:id="106" w:name="_Toc31119"/>
      <w:bookmarkStart w:id="107" w:name="_Toc22601"/>
      <w:bookmarkStart w:id="108" w:name="_Toc24394"/>
      <w:bookmarkStart w:id="109" w:name="_Toc2898"/>
      <w:bookmarkStart w:id="110" w:name="_Toc25383"/>
      <w:bookmarkStart w:id="111" w:name="_Toc12604"/>
      <w:r>
        <w:t>NUC modulation/demodulation is a full parallel process</w:t>
      </w:r>
      <w:r>
        <w:rPr>
          <w:rFonts w:hint="eastAsia"/>
          <w:lang w:eastAsia="zh-CN"/>
        </w:rPr>
        <w:t>,</w:t>
      </w:r>
      <w:r>
        <w:t xml:space="preserve"> and it is easier to achieve ultra-high throughput for 6GR.</w:t>
      </w:r>
      <w:bookmarkEnd w:id="81"/>
      <w:bookmarkEnd w:id="82"/>
      <w:bookmarkEnd w:id="83"/>
      <w:bookmarkEnd w:id="84"/>
      <w:bookmarkEnd w:id="85"/>
      <w:bookmarkEnd w:id="86"/>
      <w:bookmarkEnd w:id="87"/>
      <w:bookmarkEnd w:id="88"/>
      <w:bookmarkEnd w:id="89"/>
    </w:p>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Pr>
        <w:pStyle w:val="5"/>
        <w:spacing w:before="120" w:after="24"/>
      </w:pPr>
      <w:r>
        <w:t xml:space="preserve">3.2.1.2 Simulation results </w:t>
      </w:r>
    </w:p>
    <w:p>
      <w:pPr>
        <w:spacing w:before="120" w:after="120"/>
      </w:pPr>
      <w:r>
        <w:t xml:space="preserve">In our simulation, we firstly provide results for 2D-NUC, where details of 2D-NUC are provided in attached Excel. </w:t>
      </w:r>
      <w:r>
        <w:rPr>
          <w:rFonts w:hint="eastAsia"/>
        </w:rPr>
        <w:t xml:space="preserve">Figure 3 gives shaping gain of NUC schemes over legacy QAM schemes at a target BLER of 0.1 under AWGN channels, where a TBS of 8424 is used for all simulated MCSs in 256QAM MCS index table </w:t>
      </w:r>
      <w:r>
        <w:t>[7]</w:t>
      </w:r>
      <w:r>
        <w:rPr>
          <w:rFonts w:hint="eastAsia"/>
        </w:rPr>
        <w:t xml:space="preserve"> while other simulation settings are presented in Table A-1 in the Appendix. In Figure 3, shaping gain </w:t>
      </w:r>
      <m:oMath>
        <m:r>
          <m:rPr/>
          <w:rPr>
            <w:rFonts w:ascii="Cambria Math" w:hAnsi="Cambria Math"/>
          </w:rPr>
          <m:t>G</m:t>
        </m:r>
      </m:oMath>
      <w:r>
        <w:rPr>
          <w:rFonts w:hint="eastAsia"/>
        </w:rPr>
        <w:t xml:space="preserve"> is defined as</w:t>
      </w:r>
    </w:p>
    <w:p>
      <w:pPr>
        <w:spacing w:before="120" w:after="120"/>
        <w:jc w:val="center"/>
      </w:pPr>
      <m:oMath>
        <m:r>
          <m:rPr/>
          <w:rPr>
            <w:rFonts w:ascii="Cambria Math" w:hAnsi="Cambria Math"/>
          </w:rPr>
          <m:t>G</m:t>
        </m:r>
        <m:r>
          <m:rPr>
            <m:sty m:val="p"/>
          </m:rPr>
          <w:rPr>
            <w:rFonts w:ascii="Cambria Math" w:hAnsi="Cambria Math"/>
          </w:rPr>
          <m:t>=</m:t>
        </m:r>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min,QAM</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min,NUC</m:t>
            </m:r>
            <m:ctrlPr>
              <w:rPr>
                <w:rFonts w:ascii="Cambria Math" w:hAnsi="Cambria Math"/>
              </w:rPr>
            </m:ctrlPr>
          </m:sub>
        </m:sSub>
      </m:oMath>
      <w:r>
        <w:rPr>
          <w:rFonts w:hint="eastAsia" w:hAnsi="Cambria Math"/>
        </w:rPr>
        <w:t>,</w:t>
      </w:r>
    </w:p>
    <w:p>
      <w:pPr>
        <w:spacing w:before="120" w:after="120"/>
      </w:pPr>
      <w:r>
        <w:rPr>
          <w:rFonts w:hint="eastAsia"/>
        </w:rPr>
        <w:t xml:space="preserve">where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min,QAM</m:t>
            </m:r>
            <m:ctrlPr>
              <w:rPr>
                <w:rFonts w:ascii="Cambria Math" w:hAnsi="Cambria Math"/>
              </w:rPr>
            </m:ctrlPr>
          </m:sub>
        </m:sSub>
      </m:oMath>
      <w:r>
        <w:rPr>
          <w:rFonts w:hint="eastAsia" w:hAnsi="Cambria Math"/>
        </w:rPr>
        <w:t xml:space="preserve"> is </w:t>
      </w:r>
      <w:r>
        <w:rPr>
          <w:rFonts w:hint="eastAsia"/>
        </w:rPr>
        <w:t xml:space="preserve">the minimum SNR in dB for a legacy QAM scheme to achieve a target BLER of 0.1,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min,NUC</m:t>
            </m:r>
            <m:ctrlPr>
              <w:rPr>
                <w:rFonts w:ascii="Cambria Math" w:hAnsi="Cambria Math"/>
              </w:rPr>
            </m:ctrlPr>
          </m:sub>
        </m:sSub>
      </m:oMath>
      <w:r>
        <w:rPr>
          <w:rFonts w:hint="eastAsia" w:hAnsi="Cambria Math"/>
        </w:rPr>
        <w:t xml:space="preserve"> is </w:t>
      </w:r>
      <w:r>
        <w:rPr>
          <w:rFonts w:hint="eastAsia"/>
        </w:rPr>
        <w:t>the minimum SNR in dB for an NUC scheme to achieve a target BLER of 0.1, both the legacy QAM scheme and NUC scheme are of the same SE.</w:t>
      </w:r>
    </w:p>
    <w:p>
      <w:pPr>
        <w:spacing w:before="120" w:after="120"/>
      </w:pPr>
      <w:r>
        <w:rPr>
          <w:rFonts w:hint="eastAsia"/>
        </w:rPr>
        <w:t>From Figure 3, it can be observed that</w:t>
      </w:r>
    </w:p>
    <w:p>
      <w:pPr>
        <w:numPr>
          <w:ilvl w:val="0"/>
          <w:numId w:val="9"/>
        </w:numPr>
        <w:spacing w:before="120" w:after="120"/>
      </w:pPr>
      <w:r>
        <w:rPr>
          <w:rFonts w:hint="eastAsia"/>
        </w:rPr>
        <w:t xml:space="preserve">Shaping gain is about 0.17 to 0.25 dB for MCS 5 to 10 (corresponding to </w:t>
      </w:r>
      <w:r>
        <w:rPr>
          <w:rFonts w:hint="eastAsia"/>
          <w:i/>
          <w:iCs/>
        </w:rPr>
        <w:t>Q</w:t>
      </w:r>
      <w:r>
        <w:rPr>
          <w:rFonts w:hint="eastAsia"/>
          <w:vertAlign w:val="subscript"/>
        </w:rPr>
        <w:t>m</w:t>
      </w:r>
      <w:r>
        <w:rPr>
          <w:rFonts w:hint="eastAsia"/>
        </w:rPr>
        <w:t xml:space="preserve"> = 4).</w:t>
      </w:r>
    </w:p>
    <w:p>
      <w:pPr>
        <w:numPr>
          <w:ilvl w:val="0"/>
          <w:numId w:val="9"/>
        </w:numPr>
        <w:spacing w:before="120" w:after="120"/>
      </w:pPr>
      <w:r>
        <w:rPr>
          <w:rFonts w:hint="eastAsia"/>
        </w:rPr>
        <w:t xml:space="preserve">Shaping gain is about 0.31 to 0.67 dB for MCS 11 to 19 (corresponding to </w:t>
      </w:r>
      <w:r>
        <w:rPr>
          <w:rFonts w:hint="eastAsia"/>
          <w:i/>
          <w:iCs/>
        </w:rPr>
        <w:t>Q</w:t>
      </w:r>
      <w:r>
        <w:rPr>
          <w:rFonts w:hint="eastAsia"/>
          <w:vertAlign w:val="subscript"/>
        </w:rPr>
        <w:t>m</w:t>
      </w:r>
      <w:r>
        <w:rPr>
          <w:rFonts w:hint="eastAsia"/>
        </w:rPr>
        <w:t xml:space="preserve"> = 6).</w:t>
      </w:r>
    </w:p>
    <w:p>
      <w:pPr>
        <w:numPr>
          <w:ilvl w:val="0"/>
          <w:numId w:val="9"/>
        </w:numPr>
        <w:spacing w:before="120" w:after="120"/>
      </w:pPr>
      <w:r>
        <w:rPr>
          <w:rFonts w:hint="eastAsia"/>
        </w:rPr>
        <w:t xml:space="preserve">Shaping gain is about 0.41 to 0.85 dB for MCS 20 to 27 (corresponding to </w:t>
      </w:r>
      <w:r>
        <w:rPr>
          <w:rFonts w:hint="eastAsia"/>
          <w:i/>
          <w:iCs/>
        </w:rPr>
        <w:t>Q</w:t>
      </w:r>
      <w:r>
        <w:rPr>
          <w:rFonts w:hint="eastAsia"/>
          <w:vertAlign w:val="subscript"/>
        </w:rPr>
        <w:t>m</w:t>
      </w:r>
      <w:r>
        <w:rPr>
          <w:rFonts w:hint="eastAsia"/>
        </w:rPr>
        <w:t xml:space="preserve"> = 8).</w:t>
      </w:r>
    </w:p>
    <w:p>
      <w:pPr>
        <w:spacing w:before="120" w:after="120"/>
        <w:jc w:val="center"/>
      </w:pPr>
      <w:r>
        <w:drawing>
          <wp:inline distT="0" distB="0" distL="114300" distR="114300">
            <wp:extent cx="4429125" cy="2699385"/>
            <wp:effectExtent l="0" t="0" r="0" b="571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16"/>
                    <a:stretch>
                      <a:fillRect/>
                    </a:stretch>
                  </pic:blipFill>
                  <pic:spPr>
                    <a:xfrm>
                      <a:off x="0" y="0"/>
                      <a:ext cx="4429706" cy="2700000"/>
                    </a:xfrm>
                    <a:prstGeom prst="rect">
                      <a:avLst/>
                    </a:prstGeom>
                    <a:noFill/>
                    <a:ln>
                      <a:noFill/>
                    </a:ln>
                  </pic:spPr>
                </pic:pic>
              </a:graphicData>
            </a:graphic>
          </wp:inline>
        </w:drawing>
      </w:r>
    </w:p>
    <w:p>
      <w:pPr>
        <w:tabs>
          <w:tab w:val="left" w:pos="0"/>
          <w:tab w:val="left" w:pos="420"/>
        </w:tabs>
        <w:spacing w:before="120" w:after="120"/>
        <w:jc w:val="center"/>
      </w:pPr>
      <w:r>
        <w:rPr>
          <w:rFonts w:hint="eastAsia"/>
        </w:rPr>
        <w:t>Figure 3 Shaping gain for NUC schemes over legacy QAM schemes over AWGN channels at TBS = 8424 for different MCS entries in 256QAM MCS index table</w:t>
      </w:r>
      <w:r>
        <w:t xml:space="preserve"> [7]</w:t>
      </w:r>
      <w:r>
        <w:rPr>
          <w:rFonts w:hint="eastAsia"/>
        </w:rPr>
        <w:t>.</w:t>
      </w:r>
    </w:p>
    <w:p>
      <w:pPr>
        <w:tabs>
          <w:tab w:val="left" w:pos="0"/>
          <w:tab w:val="left" w:pos="420"/>
        </w:tabs>
        <w:spacing w:before="120" w:after="120"/>
      </w:pPr>
      <w:r>
        <w:rPr>
          <w:rFonts w:hint="eastAsia"/>
        </w:rPr>
        <w:t xml:space="preserve">Figure 4 </w:t>
      </w:r>
      <w:r>
        <w:t>and Figure 5</w:t>
      </w:r>
      <w:r>
        <w:rPr>
          <w:rFonts w:hint="eastAsia"/>
        </w:rPr>
        <w:t xml:space="preserve"> gives BLER curves of legacy QAM schemes and NUC schemes for selected MCS indices in Table A-2 in the Appendix over fading channels, where 6 resource blocks are allocated for data transmission while other simulation settings are presented in Table A-3 in the Appendix.</w:t>
      </w:r>
    </w:p>
    <w:p>
      <w:pPr>
        <w:tabs>
          <w:tab w:val="left" w:pos="0"/>
          <w:tab w:val="left" w:pos="420"/>
        </w:tabs>
        <w:spacing w:before="120" w:after="120"/>
      </w:pPr>
      <w:r>
        <w:rPr>
          <w:rFonts w:hint="eastAsia"/>
        </w:rPr>
        <w:t>From Figure 4</w:t>
      </w:r>
      <w:r>
        <w:t xml:space="preserve"> and Figure 5</w:t>
      </w:r>
      <w:r>
        <w:rPr>
          <w:rFonts w:hint="eastAsia"/>
        </w:rPr>
        <w:t>, it can be observed that</w:t>
      </w:r>
    </w:p>
    <w:p>
      <w:pPr>
        <w:numPr>
          <w:ilvl w:val="0"/>
          <w:numId w:val="10"/>
        </w:numPr>
        <w:tabs>
          <w:tab w:val="left" w:pos="0"/>
          <w:tab w:val="left" w:pos="420"/>
        </w:tabs>
        <w:spacing w:before="120" w:after="120"/>
      </w:pPr>
      <w:r>
        <w:rPr>
          <w:rFonts w:hint="eastAsia"/>
        </w:rPr>
        <w:t xml:space="preserve">For MCS 18, about 0.27 dB shaping gain is obtained at BLER = 0.1 in </w:t>
      </w:r>
      <w:r>
        <w:t>the</w:t>
      </w:r>
      <w:r>
        <w:rPr>
          <w:rFonts w:hint="eastAsia"/>
        </w:rPr>
        <w:t xml:space="preserve"> setting with 1</w:t>
      </w:r>
      <w:r>
        <w:t>T1</w:t>
      </w:r>
      <w:r>
        <w:rPr>
          <w:rFonts w:hint="eastAsia"/>
        </w:rPr>
        <w:t>R</w:t>
      </w:r>
      <w:r>
        <w:t>,</w:t>
      </w:r>
      <w:r>
        <w:rPr>
          <w:rFonts w:hint="eastAsia"/>
        </w:rPr>
        <w:t xml:space="preserve"> 1 MIMO layer.</w:t>
      </w:r>
    </w:p>
    <w:p>
      <w:pPr>
        <w:numPr>
          <w:ilvl w:val="0"/>
          <w:numId w:val="10"/>
        </w:numPr>
        <w:tabs>
          <w:tab w:val="left" w:pos="0"/>
          <w:tab w:val="left" w:pos="420"/>
        </w:tabs>
        <w:spacing w:before="120" w:after="120"/>
      </w:pPr>
      <w:r>
        <w:rPr>
          <w:rFonts w:hint="eastAsia"/>
        </w:rPr>
        <w:t xml:space="preserve">For MCS 18, about 0.5 dB shaping gain is obtained at BLER = 0.1 in </w:t>
      </w:r>
      <w:r>
        <w:t>the</w:t>
      </w:r>
      <w:r>
        <w:rPr>
          <w:rFonts w:hint="eastAsia"/>
        </w:rPr>
        <w:t xml:space="preserve"> setting with </w:t>
      </w:r>
      <w:r>
        <w:t>4T4</w:t>
      </w:r>
      <w:r>
        <w:rPr>
          <w:rFonts w:hint="eastAsia"/>
        </w:rPr>
        <w:t>R</w:t>
      </w:r>
      <w:r>
        <w:t>,</w:t>
      </w:r>
      <w:r>
        <w:rPr>
          <w:rFonts w:hint="eastAsia"/>
        </w:rPr>
        <w:t xml:space="preserve"> 4 MIMO layers.</w:t>
      </w:r>
    </w:p>
    <w:p>
      <w:pPr>
        <w:numPr>
          <w:ilvl w:val="0"/>
          <w:numId w:val="10"/>
        </w:numPr>
        <w:tabs>
          <w:tab w:val="left" w:pos="0"/>
          <w:tab w:val="left" w:pos="420"/>
        </w:tabs>
        <w:spacing w:before="120" w:after="120"/>
      </w:pPr>
      <w:r>
        <w:rPr>
          <w:rFonts w:hint="eastAsia"/>
        </w:rPr>
        <w:t>F</w:t>
      </w:r>
      <w:r>
        <w:t xml:space="preserve">or MCS 23, about </w:t>
      </w:r>
      <w:r>
        <w:rPr>
          <w:rFonts w:hint="eastAsia"/>
        </w:rPr>
        <w:t>0.6</w:t>
      </w:r>
      <w:r>
        <w:t xml:space="preserve"> dB shaping gain is obtained at BLER = 0.1 in the</w:t>
      </w:r>
      <w:r>
        <w:rPr>
          <w:rFonts w:hint="eastAsia"/>
        </w:rPr>
        <w:t xml:space="preserve"> </w:t>
      </w:r>
      <w:r>
        <w:t xml:space="preserve">setting with </w:t>
      </w:r>
      <w:r>
        <w:rPr>
          <w:rFonts w:hint="eastAsia"/>
        </w:rPr>
        <w:t>1</w:t>
      </w:r>
      <w:r>
        <w:t>T1</w:t>
      </w:r>
      <w:r>
        <w:rPr>
          <w:rFonts w:hint="eastAsia"/>
        </w:rPr>
        <w:t>R</w:t>
      </w:r>
      <w:r>
        <w:t>,</w:t>
      </w:r>
      <w:r>
        <w:rPr>
          <w:rFonts w:hint="eastAsia"/>
        </w:rPr>
        <w:t xml:space="preserve"> 1 MIMO layer</w:t>
      </w:r>
      <w:r>
        <w:t>.</w:t>
      </w:r>
    </w:p>
    <w:p>
      <w:pPr>
        <w:numPr>
          <w:ilvl w:val="0"/>
          <w:numId w:val="10"/>
        </w:numPr>
        <w:tabs>
          <w:tab w:val="left" w:pos="0"/>
          <w:tab w:val="left" w:pos="420"/>
        </w:tabs>
        <w:spacing w:before="120" w:after="120"/>
      </w:pPr>
      <w:r>
        <w:t xml:space="preserve">For MCS 23, about </w:t>
      </w:r>
      <w:r>
        <w:rPr>
          <w:rFonts w:hint="eastAsia"/>
        </w:rPr>
        <w:t>0.4</w:t>
      </w:r>
      <w:r>
        <w:t xml:space="preserve"> dB shaping gain is obtained at BLER = 0.1 in the setting with 4T4</w:t>
      </w:r>
      <w:r>
        <w:rPr>
          <w:rFonts w:hint="eastAsia"/>
        </w:rPr>
        <w:t>R</w:t>
      </w:r>
      <w:r>
        <w:t>,</w:t>
      </w:r>
      <w:r>
        <w:rPr>
          <w:rFonts w:hint="eastAsia"/>
        </w:rPr>
        <w:t xml:space="preserve"> 4 MIMO layers.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7"/>
        <w:gridCol w:w="4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657" w:type="dxa"/>
          </w:tcPr>
          <w:p>
            <w:pPr>
              <w:tabs>
                <w:tab w:val="left" w:pos="0"/>
                <w:tab w:val="left" w:pos="420"/>
              </w:tabs>
              <w:spacing w:beforeLines="0" w:after="0" w:afterLines="0" w:line="240" w:lineRule="auto"/>
            </w:pPr>
            <w:r>
              <w:drawing>
                <wp:inline distT="0" distB="0" distL="114300" distR="114300">
                  <wp:extent cx="2700020" cy="2049145"/>
                  <wp:effectExtent l="0" t="0" r="5080" b="825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7"/>
                          <a:stretch>
                            <a:fillRect/>
                          </a:stretch>
                        </pic:blipFill>
                        <pic:spPr>
                          <a:xfrm>
                            <a:off x="0" y="0"/>
                            <a:ext cx="2700020" cy="2049145"/>
                          </a:xfrm>
                          <a:prstGeom prst="rect">
                            <a:avLst/>
                          </a:prstGeom>
                          <a:noFill/>
                          <a:ln>
                            <a:noFill/>
                          </a:ln>
                        </pic:spPr>
                      </pic:pic>
                    </a:graphicData>
                  </a:graphic>
                </wp:inline>
              </w:drawing>
            </w:r>
          </w:p>
        </w:tc>
        <w:tc>
          <w:tcPr>
            <w:tcW w:w="4658" w:type="dxa"/>
          </w:tcPr>
          <w:p>
            <w:pPr>
              <w:tabs>
                <w:tab w:val="left" w:pos="0"/>
                <w:tab w:val="left" w:pos="420"/>
              </w:tabs>
              <w:spacing w:beforeLines="0" w:after="0" w:afterLines="0" w:line="240" w:lineRule="auto"/>
            </w:pPr>
            <w:r>
              <w:drawing>
                <wp:inline distT="0" distB="0" distL="114300" distR="114300">
                  <wp:extent cx="2700020" cy="2045335"/>
                  <wp:effectExtent l="0" t="0" r="5080" b="1206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8"/>
                          <a:stretch>
                            <a:fillRect/>
                          </a:stretch>
                        </pic:blipFill>
                        <pic:spPr>
                          <a:xfrm>
                            <a:off x="0" y="0"/>
                            <a:ext cx="2700020" cy="20453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7" w:type="dxa"/>
          </w:tcPr>
          <w:p>
            <w:pPr>
              <w:tabs>
                <w:tab w:val="left" w:pos="0"/>
                <w:tab w:val="left" w:pos="420"/>
              </w:tabs>
              <w:spacing w:beforeLines="0" w:after="0" w:afterLines="0" w:line="240" w:lineRule="auto"/>
              <w:jc w:val="center"/>
              <w:rPr>
                <w:sz w:val="18"/>
                <w:szCs w:val="18"/>
              </w:rPr>
            </w:pPr>
            <w:r>
              <w:rPr>
                <w:sz w:val="18"/>
                <w:szCs w:val="18"/>
              </w:rPr>
              <w:t>(a)</w:t>
            </w:r>
            <w:r>
              <w:rPr>
                <w:rFonts w:hint="eastAsia"/>
                <w:sz w:val="18"/>
                <w:szCs w:val="18"/>
              </w:rPr>
              <w:t>MCS 18, 1T1R, 1 layer</w:t>
            </w:r>
          </w:p>
        </w:tc>
        <w:tc>
          <w:tcPr>
            <w:tcW w:w="4658" w:type="dxa"/>
          </w:tcPr>
          <w:p>
            <w:pPr>
              <w:tabs>
                <w:tab w:val="left" w:pos="0"/>
                <w:tab w:val="left" w:pos="420"/>
              </w:tabs>
              <w:spacing w:beforeLines="0" w:after="0" w:afterLines="0" w:line="240" w:lineRule="auto"/>
              <w:jc w:val="center"/>
              <w:rPr>
                <w:sz w:val="18"/>
                <w:szCs w:val="18"/>
              </w:rPr>
            </w:pPr>
            <w:r>
              <w:rPr>
                <w:sz w:val="18"/>
                <w:szCs w:val="18"/>
              </w:rPr>
              <w:t>(b)</w:t>
            </w:r>
            <w:r>
              <w:rPr>
                <w:rFonts w:hint="eastAsia"/>
                <w:sz w:val="18"/>
                <w:szCs w:val="18"/>
              </w:rPr>
              <w:t>MCS 18, 4T4R, 4 layers</w:t>
            </w:r>
          </w:p>
        </w:tc>
      </w:tr>
    </w:tbl>
    <w:p>
      <w:pPr>
        <w:tabs>
          <w:tab w:val="left" w:pos="0"/>
          <w:tab w:val="left" w:pos="420"/>
        </w:tabs>
        <w:spacing w:before="120" w:after="120"/>
        <w:jc w:val="center"/>
      </w:pPr>
      <w:bookmarkStart w:id="112" w:name="_Toc18033"/>
      <w:bookmarkStart w:id="113" w:name="_Toc16905"/>
      <w:bookmarkStart w:id="114" w:name="_Toc21157"/>
      <w:bookmarkStart w:id="115" w:name="_Toc3451"/>
      <w:bookmarkStart w:id="116" w:name="_Toc6762"/>
      <w:bookmarkStart w:id="117" w:name="_Toc20371"/>
      <w:bookmarkStart w:id="118" w:name="_Toc14743"/>
      <w:bookmarkStart w:id="119" w:name="_Toc27943"/>
      <w:bookmarkStart w:id="120" w:name="_Toc14957"/>
      <w:bookmarkStart w:id="121" w:name="_Toc18062"/>
      <w:bookmarkStart w:id="122" w:name="_Toc379"/>
      <w:bookmarkStart w:id="123" w:name="_Toc14000"/>
      <w:r>
        <w:rPr>
          <w:rFonts w:hint="eastAsia"/>
        </w:rPr>
        <w:t xml:space="preserve">Figure 4 BLER curves of legacy QAM schemes and </w:t>
      </w:r>
      <w:r>
        <w:t>2D-</w:t>
      </w:r>
      <w:r>
        <w:rPr>
          <w:rFonts w:hint="eastAsia"/>
        </w:rPr>
        <w:t>NUC schemes under MCS 18 over CDL-A channels.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7"/>
        <w:gridCol w:w="4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7" w:type="dxa"/>
          </w:tcPr>
          <w:p>
            <w:pPr>
              <w:tabs>
                <w:tab w:val="left" w:pos="0"/>
                <w:tab w:val="left" w:pos="420"/>
              </w:tabs>
              <w:spacing w:beforeLines="0" w:after="0" w:afterLines="0" w:line="240" w:lineRule="auto"/>
              <w:rPr>
                <w:highlight w:val="yellow"/>
              </w:rPr>
            </w:pPr>
            <w:r>
              <w:drawing>
                <wp:inline distT="0" distB="0" distL="114300" distR="114300">
                  <wp:extent cx="2700020" cy="2045335"/>
                  <wp:effectExtent l="0" t="0" r="5080" b="1206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9"/>
                          <a:stretch>
                            <a:fillRect/>
                          </a:stretch>
                        </pic:blipFill>
                        <pic:spPr>
                          <a:xfrm>
                            <a:off x="0" y="0"/>
                            <a:ext cx="2700020" cy="2045335"/>
                          </a:xfrm>
                          <a:prstGeom prst="rect">
                            <a:avLst/>
                          </a:prstGeom>
                          <a:noFill/>
                          <a:ln>
                            <a:noFill/>
                          </a:ln>
                        </pic:spPr>
                      </pic:pic>
                    </a:graphicData>
                  </a:graphic>
                </wp:inline>
              </w:drawing>
            </w:r>
          </w:p>
        </w:tc>
        <w:tc>
          <w:tcPr>
            <w:tcW w:w="4658" w:type="dxa"/>
          </w:tcPr>
          <w:p>
            <w:pPr>
              <w:tabs>
                <w:tab w:val="left" w:pos="0"/>
                <w:tab w:val="left" w:pos="420"/>
              </w:tabs>
              <w:spacing w:beforeLines="0" w:after="0" w:afterLines="0" w:line="240" w:lineRule="auto"/>
            </w:pPr>
            <w:r>
              <w:drawing>
                <wp:inline distT="0" distB="0" distL="114300" distR="114300">
                  <wp:extent cx="2700020" cy="2045335"/>
                  <wp:effectExtent l="0" t="0" r="5080" b="1206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20"/>
                          <a:stretch>
                            <a:fillRect/>
                          </a:stretch>
                        </pic:blipFill>
                        <pic:spPr>
                          <a:xfrm>
                            <a:off x="0" y="0"/>
                            <a:ext cx="2700020" cy="20453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57" w:type="dxa"/>
          </w:tcPr>
          <w:p>
            <w:pPr>
              <w:tabs>
                <w:tab w:val="left" w:pos="0"/>
                <w:tab w:val="left" w:pos="420"/>
              </w:tabs>
              <w:spacing w:beforeLines="0" w:after="0" w:afterLines="0" w:line="240" w:lineRule="auto"/>
              <w:jc w:val="center"/>
              <w:rPr>
                <w:sz w:val="18"/>
                <w:szCs w:val="18"/>
              </w:rPr>
            </w:pPr>
            <w:r>
              <w:rPr>
                <w:sz w:val="18"/>
                <w:szCs w:val="18"/>
              </w:rPr>
              <w:t>(a)</w:t>
            </w:r>
            <w:r>
              <w:rPr>
                <w:rFonts w:hint="eastAsia"/>
                <w:sz w:val="18"/>
                <w:szCs w:val="18"/>
              </w:rPr>
              <w:t xml:space="preserve">MCS </w:t>
            </w:r>
            <w:r>
              <w:rPr>
                <w:sz w:val="18"/>
                <w:szCs w:val="18"/>
              </w:rPr>
              <w:t>23</w:t>
            </w:r>
            <w:r>
              <w:rPr>
                <w:rFonts w:hint="eastAsia"/>
                <w:sz w:val="18"/>
                <w:szCs w:val="18"/>
              </w:rPr>
              <w:t>, 1T1R, 1 layer</w:t>
            </w:r>
          </w:p>
        </w:tc>
        <w:tc>
          <w:tcPr>
            <w:tcW w:w="4658" w:type="dxa"/>
          </w:tcPr>
          <w:p>
            <w:pPr>
              <w:tabs>
                <w:tab w:val="left" w:pos="0"/>
                <w:tab w:val="left" w:pos="420"/>
              </w:tabs>
              <w:spacing w:beforeLines="0" w:after="0" w:afterLines="0" w:line="240" w:lineRule="auto"/>
              <w:jc w:val="center"/>
              <w:rPr>
                <w:sz w:val="18"/>
                <w:szCs w:val="18"/>
              </w:rPr>
            </w:pPr>
            <w:r>
              <w:rPr>
                <w:sz w:val="18"/>
                <w:szCs w:val="18"/>
              </w:rPr>
              <w:t>(b)</w:t>
            </w:r>
            <w:r>
              <w:rPr>
                <w:rFonts w:hint="eastAsia"/>
                <w:sz w:val="18"/>
                <w:szCs w:val="18"/>
              </w:rPr>
              <w:t xml:space="preserve">MCS </w:t>
            </w:r>
            <w:r>
              <w:rPr>
                <w:sz w:val="18"/>
                <w:szCs w:val="18"/>
              </w:rPr>
              <w:t>23</w:t>
            </w:r>
            <w:r>
              <w:rPr>
                <w:rFonts w:hint="eastAsia"/>
                <w:sz w:val="18"/>
                <w:szCs w:val="18"/>
              </w:rPr>
              <w:t>, 4T4R, 4 layers</w:t>
            </w:r>
          </w:p>
        </w:tc>
      </w:tr>
    </w:tbl>
    <w:p>
      <w:pPr>
        <w:tabs>
          <w:tab w:val="left" w:pos="0"/>
          <w:tab w:val="left" w:pos="420"/>
        </w:tabs>
        <w:spacing w:before="120" w:after="120"/>
        <w:jc w:val="center"/>
      </w:pPr>
      <w:r>
        <w:rPr>
          <w:rFonts w:hint="eastAsia"/>
        </w:rPr>
        <w:t xml:space="preserve">Figure </w:t>
      </w:r>
      <w:r>
        <w:t>5</w:t>
      </w:r>
      <w:r>
        <w:rPr>
          <w:rFonts w:hint="eastAsia"/>
        </w:rPr>
        <w:t xml:space="preserve"> BLER curves of legacy QAM schemes and </w:t>
      </w:r>
      <w:r>
        <w:t>2D-</w:t>
      </w:r>
      <w:r>
        <w:rPr>
          <w:rFonts w:hint="eastAsia"/>
        </w:rPr>
        <w:t xml:space="preserve">NUC schemes under MCS </w:t>
      </w:r>
      <w:r>
        <w:t>23</w:t>
      </w:r>
      <w:r>
        <w:rPr>
          <w:rFonts w:hint="eastAsia"/>
        </w:rPr>
        <w:t xml:space="preserve"> over CDL-A channels.</w:t>
      </w:r>
    </w:p>
    <w:p>
      <w:pPr>
        <w:pStyle w:val="52"/>
        <w:spacing w:before="120" w:after="120"/>
        <w:jc w:val="both"/>
        <w:rPr>
          <w:lang w:val="en-US" w:eastAsia="zh-CN"/>
        </w:rPr>
      </w:pPr>
      <w:bookmarkStart w:id="124" w:name="_Toc213435869"/>
      <w:bookmarkStart w:id="125" w:name="_Toc210086361"/>
      <w:r>
        <w:t>According to our simulation results, 2D-</w:t>
      </w:r>
      <w:r>
        <w:rPr>
          <w:rFonts w:hint="eastAsia"/>
        </w:rPr>
        <w:t xml:space="preserve">NUC </w:t>
      </w:r>
      <w:r>
        <w:rPr>
          <w:rFonts w:hint="eastAsia"/>
          <w:lang w:val="en-US" w:eastAsia="zh-CN"/>
        </w:rPr>
        <w:t>can</w:t>
      </w:r>
      <w:r>
        <w:rPr>
          <w:lang w:val="en-US" w:eastAsia="zh-CN"/>
        </w:rPr>
        <w:t xml:space="preserve"> have following performance</w:t>
      </w:r>
      <w:r>
        <w:rPr>
          <w:rFonts w:hint="eastAsia"/>
        </w:rPr>
        <w:t>.</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pPr>
        <w:pStyle w:val="52"/>
        <w:numPr>
          <w:ilvl w:val="0"/>
          <w:numId w:val="11"/>
        </w:numPr>
        <w:spacing w:before="120" w:after="120"/>
        <w:jc w:val="both"/>
        <w:rPr>
          <w:lang w:val="en-US" w:eastAsia="zh-CN"/>
        </w:rPr>
      </w:pPr>
      <w:bookmarkStart w:id="126" w:name="_Toc213435870"/>
      <w:bookmarkStart w:id="127" w:name="_Toc210086362"/>
      <w:r>
        <w:rPr>
          <w:lang w:val="en-US" w:eastAsia="zh-CN"/>
        </w:rPr>
        <w:t>Shaping gain from 0.1</w:t>
      </w:r>
      <w:r>
        <w:rPr>
          <w:rFonts w:hint="eastAsia"/>
          <w:lang w:val="en-US" w:eastAsia="zh-CN"/>
        </w:rPr>
        <w:t>7</w:t>
      </w:r>
      <w:r>
        <w:rPr>
          <w:lang w:val="en-US" w:eastAsia="zh-CN"/>
        </w:rPr>
        <w:t>dB to 0.8</w:t>
      </w:r>
      <w:r>
        <w:rPr>
          <w:rFonts w:hint="eastAsia"/>
          <w:lang w:val="en-US" w:eastAsia="zh-CN"/>
        </w:rPr>
        <w:t>5</w:t>
      </w:r>
      <w:r>
        <w:rPr>
          <w:lang w:val="en-US" w:eastAsia="zh-CN"/>
        </w:rPr>
        <w:t xml:space="preserve"> dB where shaping gain of NUC increases as the modulation order increases</w:t>
      </w:r>
      <w:bookmarkEnd w:id="126"/>
      <w:bookmarkEnd w:id="127"/>
    </w:p>
    <w:p>
      <w:pPr>
        <w:pStyle w:val="52"/>
        <w:numPr>
          <w:ilvl w:val="0"/>
          <w:numId w:val="11"/>
        </w:numPr>
        <w:spacing w:before="120" w:after="120"/>
        <w:jc w:val="both"/>
        <w:rPr>
          <w:lang w:val="en-US" w:eastAsia="zh-CN"/>
        </w:rPr>
      </w:pPr>
      <w:bookmarkStart w:id="128" w:name="_Toc213435871"/>
      <w:bookmarkStart w:id="129" w:name="_Toc210086363"/>
      <w:r>
        <w:rPr>
          <w:lang w:val="en-US" w:eastAsia="zh-CN"/>
        </w:rPr>
        <w:t>~0.</w:t>
      </w:r>
      <w:r>
        <w:rPr>
          <w:rFonts w:hint="eastAsia"/>
          <w:lang w:val="en-US" w:eastAsia="zh-CN"/>
        </w:rPr>
        <w:t>2</w:t>
      </w:r>
      <w:r>
        <w:rPr>
          <w:lang w:val="en-US" w:eastAsia="zh-CN"/>
        </w:rPr>
        <w:t xml:space="preserve">7dB shaping gain for MCS level </w:t>
      </w:r>
      <w:r>
        <w:rPr>
          <w:rFonts w:hint="eastAsia"/>
          <w:lang w:val="en-US" w:eastAsia="zh-CN"/>
        </w:rPr>
        <w:t>18</w:t>
      </w:r>
      <w:r>
        <w:rPr>
          <w:lang w:val="en-US" w:eastAsia="zh-CN"/>
        </w:rPr>
        <w:t xml:space="preserve"> in NR 256QAM table at BLER = 0.1 in the CDL-A 1</w:t>
      </w:r>
      <w:r>
        <w:rPr>
          <w:rFonts w:hint="eastAsia"/>
          <w:lang w:val="en-US" w:eastAsia="zh-CN"/>
        </w:rPr>
        <w:t>T</w:t>
      </w:r>
      <w:r>
        <w:rPr>
          <w:lang w:val="en-US" w:eastAsia="zh-CN"/>
        </w:rPr>
        <w:t>1R channel.</w:t>
      </w:r>
      <w:bookmarkEnd w:id="128"/>
      <w:bookmarkEnd w:id="129"/>
    </w:p>
    <w:p>
      <w:pPr>
        <w:pStyle w:val="52"/>
        <w:numPr>
          <w:ilvl w:val="0"/>
          <w:numId w:val="11"/>
        </w:numPr>
        <w:spacing w:before="120" w:after="120"/>
        <w:jc w:val="both"/>
        <w:rPr>
          <w:lang w:val="en-US" w:eastAsia="zh-CN"/>
        </w:rPr>
      </w:pPr>
      <w:bookmarkStart w:id="130" w:name="_Toc210086364"/>
      <w:bookmarkStart w:id="131" w:name="_Toc213435872"/>
      <w:r>
        <w:rPr>
          <w:rFonts w:hint="eastAsia"/>
          <w:lang w:val="en-US" w:eastAsia="zh-CN"/>
        </w:rPr>
        <w:t>~</w:t>
      </w:r>
      <w:r>
        <w:rPr>
          <w:lang w:val="en-US" w:eastAsia="zh-CN"/>
        </w:rPr>
        <w:t>0.5 dB shaping gain for MCS level 18 in NR 256QAM table at BLER = 0.1 in the CDL-A 4T4R channel.</w:t>
      </w:r>
      <w:bookmarkEnd w:id="130"/>
      <w:bookmarkEnd w:id="131"/>
    </w:p>
    <w:p>
      <w:pPr>
        <w:pStyle w:val="52"/>
        <w:numPr>
          <w:ilvl w:val="0"/>
          <w:numId w:val="11"/>
        </w:numPr>
        <w:spacing w:before="120" w:after="120"/>
        <w:jc w:val="both"/>
        <w:rPr>
          <w:lang w:val="en-US" w:eastAsia="zh-CN"/>
        </w:rPr>
      </w:pPr>
      <w:bookmarkStart w:id="132" w:name="_Toc213435873"/>
      <w:r>
        <w:rPr>
          <w:lang w:val="en-US" w:eastAsia="zh-CN"/>
        </w:rPr>
        <w:t>~</w:t>
      </w:r>
      <w:r>
        <w:rPr>
          <w:rFonts w:hint="eastAsia"/>
          <w:lang w:val="en-US" w:eastAsia="zh-CN"/>
        </w:rPr>
        <w:t>0.6</w:t>
      </w:r>
      <w:r>
        <w:rPr>
          <w:lang w:val="en-US" w:eastAsia="zh-CN"/>
        </w:rPr>
        <w:t xml:space="preserve"> dB shaping gain for MCS level 23 in NR 256QAM table at BLER = 0.1 in the CDL-A 1</w:t>
      </w:r>
      <w:r>
        <w:rPr>
          <w:rFonts w:hint="eastAsia"/>
          <w:lang w:val="en-US" w:eastAsia="zh-CN"/>
        </w:rPr>
        <w:t>T</w:t>
      </w:r>
      <w:r>
        <w:rPr>
          <w:lang w:val="en-US" w:eastAsia="zh-CN"/>
        </w:rPr>
        <w:t>1R channel.</w:t>
      </w:r>
      <w:bookmarkEnd w:id="132"/>
    </w:p>
    <w:p>
      <w:pPr>
        <w:pStyle w:val="52"/>
        <w:numPr>
          <w:ilvl w:val="0"/>
          <w:numId w:val="11"/>
        </w:numPr>
        <w:spacing w:before="120" w:after="120"/>
        <w:jc w:val="both"/>
        <w:rPr>
          <w:lang w:val="en-US" w:eastAsia="zh-CN"/>
        </w:rPr>
      </w:pPr>
      <w:bookmarkStart w:id="133" w:name="_Toc213435874"/>
      <w:r>
        <w:rPr>
          <w:lang w:val="en-US" w:eastAsia="zh-CN"/>
        </w:rPr>
        <w:t>~</w:t>
      </w:r>
      <w:r>
        <w:rPr>
          <w:rFonts w:hint="eastAsia"/>
          <w:lang w:val="en-US" w:eastAsia="zh-CN"/>
        </w:rPr>
        <w:t>0.4</w:t>
      </w:r>
      <w:r>
        <w:rPr>
          <w:lang w:val="en-US" w:eastAsia="zh-CN"/>
        </w:rPr>
        <w:t xml:space="preserve"> dB shaping gain for MCS level 23 in NR 256QAM table at BLER = 0.1 in the CDL-A 4T4R channel.</w:t>
      </w:r>
      <w:bookmarkEnd w:id="133"/>
    </w:p>
    <w:p>
      <w:pPr>
        <w:spacing w:before="120" w:after="120"/>
      </w:pPr>
      <w:r>
        <w:t>Besides, we provide some evaluation results for 1D-NUC, where the details of 1D-NUC provided in attached Excel.</w:t>
      </w:r>
    </w:p>
    <w:p>
      <w:pPr>
        <w:spacing w:before="120" w:after="120"/>
      </w:pPr>
      <w:r>
        <w:rPr>
          <w:rFonts w:hint="eastAsia"/>
        </w:rPr>
        <w:t xml:space="preserve">Figure </w:t>
      </w:r>
      <w:r>
        <w:t>6</w:t>
      </w:r>
      <w:r>
        <w:rPr>
          <w:rFonts w:hint="eastAsia"/>
        </w:rPr>
        <w:t xml:space="preserve"> gives BLER curves of legacy QAM schemes and </w:t>
      </w:r>
      <w:r>
        <w:t>1D-</w:t>
      </w:r>
      <w:r>
        <w:rPr>
          <w:rFonts w:hint="eastAsia"/>
        </w:rPr>
        <w:t>NUC schemes for selected MCS indices in Table A-2 in the Appendix over fading channels, where 6 resource blocks are allocated for data transmission while other simulation settings are presented in Table A-3 in the Appendix</w:t>
      </w:r>
      <w:r>
        <w:t>.</w:t>
      </w:r>
    </w:p>
    <w:p>
      <w:pPr>
        <w:tabs>
          <w:tab w:val="left" w:pos="0"/>
          <w:tab w:val="left" w:pos="420"/>
        </w:tabs>
        <w:spacing w:before="120" w:after="120"/>
      </w:pPr>
      <w:r>
        <w:rPr>
          <w:rFonts w:hint="eastAsia"/>
        </w:rPr>
        <w:t xml:space="preserve">From Figure </w:t>
      </w:r>
      <w:r>
        <w:t>6 and Figure 7</w:t>
      </w:r>
      <w:r>
        <w:rPr>
          <w:rFonts w:hint="eastAsia"/>
        </w:rPr>
        <w:t>, it can be observed that</w:t>
      </w:r>
    </w:p>
    <w:p>
      <w:pPr>
        <w:numPr>
          <w:ilvl w:val="0"/>
          <w:numId w:val="12"/>
        </w:numPr>
        <w:tabs>
          <w:tab w:val="left" w:pos="0"/>
          <w:tab w:val="left" w:pos="420"/>
        </w:tabs>
        <w:spacing w:before="120" w:after="120"/>
      </w:pPr>
      <w:r>
        <w:rPr>
          <w:rFonts w:hint="eastAsia"/>
        </w:rPr>
        <w:t>For MCS 18, about 0.18 dB shaping gain is obtained at BLER = 0.1 over AWGN channels.</w:t>
      </w:r>
    </w:p>
    <w:p>
      <w:pPr>
        <w:numPr>
          <w:ilvl w:val="0"/>
          <w:numId w:val="12"/>
        </w:numPr>
        <w:tabs>
          <w:tab w:val="left" w:pos="0"/>
          <w:tab w:val="left" w:pos="420"/>
        </w:tabs>
        <w:spacing w:before="120" w:after="120"/>
      </w:pPr>
      <w:r>
        <w:rPr>
          <w:rFonts w:hint="eastAsia"/>
        </w:rPr>
        <w:t>For MCS 18, about</w:t>
      </w:r>
      <w:r>
        <w:t xml:space="preserve"> </w:t>
      </w:r>
      <w:r>
        <w:rPr>
          <w:rFonts w:hint="eastAsia"/>
        </w:rPr>
        <w:t xml:space="preserve">0.35 dB shaping gain is obtained at BLER = 0.1 in a setting </w:t>
      </w:r>
      <w:r>
        <w:t xml:space="preserve">with </w:t>
      </w:r>
      <w:r>
        <w:rPr>
          <w:rFonts w:hint="eastAsia"/>
        </w:rPr>
        <w:t>1</w:t>
      </w:r>
      <w:r>
        <w:t>T1</w:t>
      </w:r>
      <w:r>
        <w:rPr>
          <w:rFonts w:hint="eastAsia"/>
        </w:rPr>
        <w:t>R</w:t>
      </w:r>
      <w:r>
        <w:t>,</w:t>
      </w:r>
      <w:r>
        <w:rPr>
          <w:rFonts w:hint="eastAsia"/>
        </w:rPr>
        <w:t xml:space="preserve"> 1MIMO layer.</w:t>
      </w:r>
    </w:p>
    <w:p>
      <w:pPr>
        <w:numPr>
          <w:ilvl w:val="0"/>
          <w:numId w:val="12"/>
        </w:numPr>
        <w:tabs>
          <w:tab w:val="left" w:pos="0"/>
          <w:tab w:val="left" w:pos="420"/>
        </w:tabs>
        <w:spacing w:before="120" w:after="120"/>
      </w:pPr>
      <w:r>
        <w:rPr>
          <w:rFonts w:hint="eastAsia"/>
        </w:rPr>
        <w:t>F</w:t>
      </w:r>
      <w:r>
        <w:t xml:space="preserve">or MCS 23, about </w:t>
      </w:r>
      <w:r>
        <w:rPr>
          <w:rFonts w:hint="eastAsia"/>
        </w:rPr>
        <w:t>0.42</w:t>
      </w:r>
      <w:r>
        <w:t xml:space="preserve"> dB shaping gain of is obtained at BLER = 0.1 </w:t>
      </w:r>
      <w:r>
        <w:rPr>
          <w:rFonts w:hint="eastAsia"/>
        </w:rPr>
        <w:t>over AWGN channels</w:t>
      </w:r>
      <w:r>
        <w:t>.</w:t>
      </w:r>
    </w:p>
    <w:p>
      <w:pPr>
        <w:numPr>
          <w:ilvl w:val="0"/>
          <w:numId w:val="12"/>
        </w:numPr>
        <w:tabs>
          <w:tab w:val="left" w:pos="0"/>
          <w:tab w:val="left" w:pos="420"/>
        </w:tabs>
        <w:spacing w:before="120" w:after="120"/>
      </w:pPr>
      <w:r>
        <w:rPr>
          <w:rFonts w:hint="eastAsia"/>
        </w:rPr>
        <w:t>F</w:t>
      </w:r>
      <w:r>
        <w:t xml:space="preserve">or MCS 23, about </w:t>
      </w:r>
      <w:r>
        <w:rPr>
          <w:rFonts w:hint="eastAsia"/>
        </w:rPr>
        <w:t>0.42</w:t>
      </w:r>
      <w:r>
        <w:t xml:space="preserve"> dB shaping gain is obtained at BLER = 0.1 in a setting with 4T4</w:t>
      </w:r>
      <w:r>
        <w:rPr>
          <w:rFonts w:hint="eastAsia"/>
        </w:rPr>
        <w:t>R</w:t>
      </w:r>
      <w:r>
        <w:t>,</w:t>
      </w:r>
      <w:r>
        <w:rPr>
          <w:rFonts w:hint="eastAsia"/>
        </w:rPr>
        <w:t xml:space="preserve"> </w:t>
      </w:r>
      <w:r>
        <w:t>4</w:t>
      </w:r>
      <w:r>
        <w:rPr>
          <w:rFonts w:hint="eastAsia"/>
        </w:rPr>
        <w:t>MIMO layer</w:t>
      </w:r>
      <w:r>
        <w:t xml:space="preserve">. </w:t>
      </w:r>
    </w:p>
    <w:tbl>
      <w:tblPr>
        <w:tblStyle w:val="17"/>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49"/>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9" w:type="dxa"/>
            <w:vAlign w:val="center"/>
          </w:tcPr>
          <w:p>
            <w:pPr>
              <w:spacing w:beforeLines="0" w:after="0" w:afterLines="0" w:line="240" w:lineRule="auto"/>
              <w:jc w:val="center"/>
            </w:pPr>
            <w:r>
              <w:drawing>
                <wp:inline distT="0" distB="0" distL="114300" distR="114300">
                  <wp:extent cx="2700020" cy="2011045"/>
                  <wp:effectExtent l="0" t="0" r="5080" b="8255"/>
                  <wp:docPr id="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pic:cNvPicPr>
                            <a:picLocks noChangeAspect="1"/>
                          </pic:cNvPicPr>
                        </pic:nvPicPr>
                        <pic:blipFill>
                          <a:blip r:embed="rId21"/>
                          <a:stretch>
                            <a:fillRect/>
                          </a:stretch>
                        </pic:blipFill>
                        <pic:spPr>
                          <a:xfrm>
                            <a:off x="0" y="0"/>
                            <a:ext cx="2700020" cy="2011045"/>
                          </a:xfrm>
                          <a:prstGeom prst="rect">
                            <a:avLst/>
                          </a:prstGeom>
                          <a:noFill/>
                          <a:ln>
                            <a:noFill/>
                          </a:ln>
                        </pic:spPr>
                      </pic:pic>
                    </a:graphicData>
                  </a:graphic>
                </wp:inline>
              </w:drawing>
            </w:r>
          </w:p>
        </w:tc>
        <w:tc>
          <w:tcPr>
            <w:tcW w:w="4678" w:type="dxa"/>
            <w:vAlign w:val="center"/>
          </w:tcPr>
          <w:p>
            <w:pPr>
              <w:spacing w:beforeLines="0" w:after="0" w:afterLines="0" w:line="240" w:lineRule="auto"/>
              <w:jc w:val="center"/>
            </w:pPr>
            <w:r>
              <w:drawing>
                <wp:inline distT="0" distB="0" distL="114300" distR="114300">
                  <wp:extent cx="2700020" cy="2026285"/>
                  <wp:effectExtent l="0" t="0" r="5080" b="12065"/>
                  <wp:docPr id="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4"/>
                          <pic:cNvPicPr>
                            <a:picLocks noChangeAspect="1"/>
                          </pic:cNvPicPr>
                        </pic:nvPicPr>
                        <pic:blipFill>
                          <a:blip r:embed="rId22"/>
                          <a:stretch>
                            <a:fillRect/>
                          </a:stretch>
                        </pic:blipFill>
                        <pic:spPr>
                          <a:xfrm>
                            <a:off x="0" y="0"/>
                            <a:ext cx="2700020" cy="20262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49" w:type="dxa"/>
            <w:vAlign w:val="center"/>
          </w:tcPr>
          <w:p>
            <w:pPr>
              <w:spacing w:beforeLines="0" w:after="0" w:afterLines="0" w:line="240" w:lineRule="auto"/>
              <w:jc w:val="center"/>
            </w:pPr>
            <w:r>
              <w:rPr>
                <w:sz w:val="18"/>
                <w:szCs w:val="18"/>
              </w:rPr>
              <w:t>(a)</w:t>
            </w:r>
            <w:r>
              <w:rPr>
                <w:rFonts w:hint="eastAsia"/>
                <w:sz w:val="18"/>
                <w:szCs w:val="18"/>
              </w:rPr>
              <w:t xml:space="preserve">MCS </w:t>
            </w:r>
            <w:r>
              <w:rPr>
                <w:sz w:val="18"/>
                <w:szCs w:val="18"/>
              </w:rPr>
              <w:t>18</w:t>
            </w:r>
            <w:r>
              <w:rPr>
                <w:rFonts w:hint="eastAsia"/>
                <w:sz w:val="18"/>
                <w:szCs w:val="18"/>
              </w:rPr>
              <w:t>, 1T1R, 1 layer</w:t>
            </w:r>
            <w:r>
              <w:rPr>
                <w:sz w:val="18"/>
                <w:szCs w:val="18"/>
              </w:rPr>
              <w:t>, AWGN</w:t>
            </w:r>
          </w:p>
        </w:tc>
        <w:tc>
          <w:tcPr>
            <w:tcW w:w="4678" w:type="dxa"/>
            <w:vAlign w:val="center"/>
          </w:tcPr>
          <w:p>
            <w:pPr>
              <w:spacing w:beforeLines="0" w:after="0" w:afterLines="0" w:line="240" w:lineRule="auto"/>
              <w:jc w:val="center"/>
            </w:pPr>
            <w:r>
              <w:rPr>
                <w:sz w:val="18"/>
                <w:szCs w:val="18"/>
              </w:rPr>
              <w:t>(b)</w:t>
            </w:r>
            <w:r>
              <w:rPr>
                <w:rFonts w:hint="eastAsia"/>
                <w:sz w:val="18"/>
                <w:szCs w:val="18"/>
              </w:rPr>
              <w:t xml:space="preserve">MCS </w:t>
            </w:r>
            <w:r>
              <w:rPr>
                <w:sz w:val="18"/>
                <w:szCs w:val="18"/>
              </w:rPr>
              <w:t>18</w:t>
            </w:r>
            <w:r>
              <w:rPr>
                <w:rFonts w:hint="eastAsia"/>
                <w:sz w:val="18"/>
                <w:szCs w:val="18"/>
              </w:rPr>
              <w:t xml:space="preserve">, </w:t>
            </w:r>
            <w:r>
              <w:rPr>
                <w:sz w:val="18"/>
                <w:szCs w:val="18"/>
              </w:rPr>
              <w:t>4</w:t>
            </w:r>
            <w:r>
              <w:rPr>
                <w:rFonts w:hint="eastAsia"/>
                <w:sz w:val="18"/>
                <w:szCs w:val="18"/>
              </w:rPr>
              <w:t>T4R, 4 layers</w:t>
            </w:r>
            <w:r>
              <w:rPr>
                <w:sz w:val="18"/>
                <w:szCs w:val="18"/>
              </w:rPr>
              <w:t>, CDL-A</w:t>
            </w:r>
          </w:p>
        </w:tc>
      </w:tr>
    </w:tbl>
    <w:p>
      <w:pPr>
        <w:tabs>
          <w:tab w:val="left" w:pos="0"/>
          <w:tab w:val="left" w:pos="420"/>
        </w:tabs>
        <w:spacing w:before="120" w:after="120"/>
        <w:jc w:val="center"/>
      </w:pPr>
      <w:r>
        <w:rPr>
          <w:rFonts w:hint="eastAsia"/>
        </w:rPr>
        <w:t xml:space="preserve">Figure </w:t>
      </w:r>
      <w:r>
        <w:t>6</w:t>
      </w:r>
      <w:r>
        <w:rPr>
          <w:rFonts w:hint="eastAsia"/>
        </w:rPr>
        <w:t xml:space="preserve"> BLER curves of legacy QAM schemes and </w:t>
      </w:r>
      <w:r>
        <w:t>1D-</w:t>
      </w:r>
      <w:r>
        <w:rPr>
          <w:rFonts w:hint="eastAsia"/>
        </w:rPr>
        <w:t xml:space="preserve">NUC schemes under MCS </w:t>
      </w:r>
      <w:r>
        <w:t>18</w:t>
      </w:r>
      <w:r>
        <w:rPr>
          <w:rFonts w:hint="eastAsia"/>
        </w:rPr>
        <w:t xml:space="preserve"> over CDL-A channels.</w:t>
      </w:r>
    </w:p>
    <w:tbl>
      <w:tblPr>
        <w:tblStyle w:val="17"/>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72"/>
        <w:gridCol w:w="46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2" w:type="dxa"/>
            <w:vAlign w:val="center"/>
          </w:tcPr>
          <w:p>
            <w:pPr>
              <w:spacing w:beforeLines="0" w:after="0" w:afterLines="0" w:line="240" w:lineRule="auto"/>
              <w:jc w:val="center"/>
            </w:pPr>
            <w:r>
              <w:drawing>
                <wp:inline distT="0" distB="0" distL="114300" distR="114300">
                  <wp:extent cx="2700020" cy="2045335"/>
                  <wp:effectExtent l="0" t="0" r="5080" b="12065"/>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pic:cNvPicPr>
                        </pic:nvPicPr>
                        <pic:blipFill>
                          <a:blip r:embed="rId23"/>
                          <a:stretch>
                            <a:fillRect/>
                          </a:stretch>
                        </pic:blipFill>
                        <pic:spPr>
                          <a:xfrm>
                            <a:off x="0" y="0"/>
                            <a:ext cx="2700020" cy="2045335"/>
                          </a:xfrm>
                          <a:prstGeom prst="rect">
                            <a:avLst/>
                          </a:prstGeom>
                          <a:noFill/>
                          <a:ln>
                            <a:noFill/>
                          </a:ln>
                        </pic:spPr>
                      </pic:pic>
                    </a:graphicData>
                  </a:graphic>
                </wp:inline>
              </w:drawing>
            </w:r>
          </w:p>
        </w:tc>
        <w:tc>
          <w:tcPr>
            <w:tcW w:w="4679" w:type="dxa"/>
            <w:vAlign w:val="center"/>
          </w:tcPr>
          <w:p>
            <w:pPr>
              <w:spacing w:beforeLines="0" w:after="0" w:afterLines="0" w:line="240" w:lineRule="auto"/>
              <w:jc w:val="center"/>
            </w:pPr>
            <w:r>
              <w:drawing>
                <wp:inline distT="0" distB="0" distL="114300" distR="114300">
                  <wp:extent cx="2700020" cy="2054225"/>
                  <wp:effectExtent l="0" t="0" r="5080" b="3175"/>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pic:cNvPicPr>
                        </pic:nvPicPr>
                        <pic:blipFill>
                          <a:blip r:embed="rId24"/>
                          <a:stretch>
                            <a:fillRect/>
                          </a:stretch>
                        </pic:blipFill>
                        <pic:spPr>
                          <a:xfrm>
                            <a:off x="0" y="0"/>
                            <a:ext cx="2700020" cy="20542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2" w:type="dxa"/>
            <w:vAlign w:val="center"/>
          </w:tcPr>
          <w:p>
            <w:pPr>
              <w:spacing w:beforeLines="0" w:after="0" w:afterLines="0" w:line="240" w:lineRule="auto"/>
              <w:jc w:val="center"/>
            </w:pPr>
            <w:r>
              <w:rPr>
                <w:sz w:val="18"/>
                <w:szCs w:val="18"/>
              </w:rPr>
              <w:t>(a)</w:t>
            </w:r>
            <w:r>
              <w:rPr>
                <w:rFonts w:hint="eastAsia"/>
                <w:sz w:val="18"/>
                <w:szCs w:val="18"/>
              </w:rPr>
              <w:t>MCS 23, 1T1R, 1 layer</w:t>
            </w:r>
            <w:r>
              <w:rPr>
                <w:sz w:val="18"/>
                <w:szCs w:val="18"/>
              </w:rPr>
              <w:t>, AWGN</w:t>
            </w:r>
          </w:p>
        </w:tc>
        <w:tc>
          <w:tcPr>
            <w:tcW w:w="4679" w:type="dxa"/>
            <w:vAlign w:val="center"/>
          </w:tcPr>
          <w:p>
            <w:pPr>
              <w:spacing w:beforeLines="0" w:after="0" w:afterLines="0" w:line="240" w:lineRule="auto"/>
              <w:jc w:val="center"/>
            </w:pPr>
            <w:r>
              <w:rPr>
                <w:sz w:val="18"/>
                <w:szCs w:val="18"/>
              </w:rPr>
              <w:t>(b)</w:t>
            </w:r>
            <w:r>
              <w:rPr>
                <w:rFonts w:hint="eastAsia"/>
                <w:sz w:val="18"/>
                <w:szCs w:val="18"/>
              </w:rPr>
              <w:t xml:space="preserve">MCS 23, </w:t>
            </w:r>
            <w:r>
              <w:rPr>
                <w:sz w:val="18"/>
                <w:szCs w:val="18"/>
              </w:rPr>
              <w:t>4</w:t>
            </w:r>
            <w:r>
              <w:rPr>
                <w:rFonts w:hint="eastAsia"/>
                <w:sz w:val="18"/>
                <w:szCs w:val="18"/>
              </w:rPr>
              <w:t>T4R, 4 layers</w:t>
            </w:r>
            <w:r>
              <w:rPr>
                <w:sz w:val="18"/>
                <w:szCs w:val="18"/>
              </w:rPr>
              <w:t>, CDL-A</w:t>
            </w:r>
          </w:p>
        </w:tc>
      </w:tr>
    </w:tbl>
    <w:p>
      <w:pPr>
        <w:spacing w:before="120" w:after="120"/>
      </w:pPr>
      <w:r>
        <w:rPr>
          <w:rFonts w:hint="eastAsia"/>
        </w:rPr>
        <w:t>F</w:t>
      </w:r>
      <w:r>
        <w:t xml:space="preserve">igure 7 </w:t>
      </w:r>
      <w:r>
        <w:rPr>
          <w:rFonts w:hint="eastAsia"/>
        </w:rPr>
        <w:t xml:space="preserve">BLER curves of legacy QAM schemes and </w:t>
      </w:r>
      <w:r>
        <w:t>1D-</w:t>
      </w:r>
      <w:r>
        <w:rPr>
          <w:rFonts w:hint="eastAsia"/>
        </w:rPr>
        <w:t xml:space="preserve">NUC schemes under MCS </w:t>
      </w:r>
      <w:r>
        <w:t>23</w:t>
      </w:r>
      <w:r>
        <w:rPr>
          <w:rFonts w:hint="eastAsia"/>
        </w:rPr>
        <w:t xml:space="preserve"> over CDL-A channels.</w:t>
      </w:r>
    </w:p>
    <w:p>
      <w:pPr>
        <w:pStyle w:val="52"/>
        <w:spacing w:before="120" w:after="120"/>
        <w:jc w:val="both"/>
        <w:rPr>
          <w:lang w:val="en-US" w:eastAsia="zh-CN"/>
        </w:rPr>
      </w:pPr>
      <w:bookmarkStart w:id="134" w:name="_Toc213435875"/>
      <w:r>
        <w:t>According to our simulation results, 1D-</w:t>
      </w:r>
      <w:r>
        <w:rPr>
          <w:rFonts w:hint="eastAsia"/>
        </w:rPr>
        <w:t xml:space="preserve">NUC </w:t>
      </w:r>
      <w:r>
        <w:rPr>
          <w:rFonts w:hint="eastAsia"/>
          <w:lang w:val="en-US" w:eastAsia="zh-CN"/>
        </w:rPr>
        <w:t>can have</w:t>
      </w:r>
      <w:r>
        <w:rPr>
          <w:lang w:val="en-US" w:eastAsia="zh-CN"/>
        </w:rPr>
        <w:t xml:space="preserve"> the following performance</w:t>
      </w:r>
      <w:r>
        <w:rPr>
          <w:rFonts w:hint="eastAsia"/>
        </w:rPr>
        <w:t>.</w:t>
      </w:r>
      <w:bookmarkEnd w:id="134"/>
    </w:p>
    <w:p>
      <w:pPr>
        <w:pStyle w:val="52"/>
        <w:numPr>
          <w:ilvl w:val="0"/>
          <w:numId w:val="11"/>
        </w:numPr>
        <w:spacing w:before="120" w:after="120"/>
        <w:jc w:val="both"/>
        <w:rPr>
          <w:lang w:val="en-US" w:eastAsia="zh-CN"/>
        </w:rPr>
      </w:pPr>
      <w:bookmarkStart w:id="135" w:name="_Toc213435876"/>
      <w:r>
        <w:rPr>
          <w:lang w:val="en-US" w:eastAsia="zh-CN"/>
        </w:rPr>
        <w:t>~0.</w:t>
      </w:r>
      <w:r>
        <w:rPr>
          <w:rFonts w:hint="eastAsia"/>
          <w:lang w:val="en-US" w:eastAsia="zh-CN"/>
        </w:rPr>
        <w:t>18</w:t>
      </w:r>
      <w:r>
        <w:rPr>
          <w:lang w:val="en-US" w:eastAsia="zh-CN"/>
        </w:rPr>
        <w:t xml:space="preserve">dB shaping gain for MCS level </w:t>
      </w:r>
      <w:r>
        <w:rPr>
          <w:rFonts w:hint="eastAsia"/>
          <w:lang w:val="en-US" w:eastAsia="zh-CN"/>
        </w:rPr>
        <w:t>18</w:t>
      </w:r>
      <w:r>
        <w:rPr>
          <w:lang w:val="en-US" w:eastAsia="zh-CN"/>
        </w:rPr>
        <w:t xml:space="preserve"> in NR 256QAM table at BLER = 0.1 in the </w:t>
      </w:r>
      <w:r>
        <w:rPr>
          <w:rFonts w:hint="eastAsia"/>
          <w:lang w:val="en-US" w:eastAsia="zh-CN"/>
        </w:rPr>
        <w:t>AWGN</w:t>
      </w:r>
      <w:r>
        <w:rPr>
          <w:lang w:val="en-US" w:eastAsia="zh-CN"/>
        </w:rPr>
        <w:t xml:space="preserve"> channel.</w:t>
      </w:r>
      <w:bookmarkEnd w:id="135"/>
    </w:p>
    <w:p>
      <w:pPr>
        <w:pStyle w:val="52"/>
        <w:numPr>
          <w:ilvl w:val="0"/>
          <w:numId w:val="11"/>
        </w:numPr>
        <w:spacing w:before="120" w:after="120"/>
        <w:jc w:val="both"/>
        <w:rPr>
          <w:lang w:val="en-US" w:eastAsia="zh-CN"/>
        </w:rPr>
      </w:pPr>
      <w:bookmarkStart w:id="136" w:name="_Toc213435877"/>
      <w:r>
        <w:rPr>
          <w:lang w:val="en-US" w:eastAsia="zh-CN"/>
        </w:rPr>
        <w:t>~0.</w:t>
      </w:r>
      <w:r>
        <w:rPr>
          <w:rFonts w:hint="eastAsia"/>
          <w:lang w:val="en-US" w:eastAsia="zh-CN"/>
        </w:rPr>
        <w:t>3</w:t>
      </w:r>
      <w:r>
        <w:rPr>
          <w:lang w:val="en-US" w:eastAsia="zh-CN"/>
        </w:rPr>
        <w:t>5 dB shaping gain for MCS level 18 in NR 256QAM table at BLER = 0.1 in the CDL-A 4T4R channel.</w:t>
      </w:r>
      <w:bookmarkEnd w:id="136"/>
    </w:p>
    <w:p>
      <w:pPr>
        <w:pStyle w:val="52"/>
        <w:numPr>
          <w:ilvl w:val="0"/>
          <w:numId w:val="11"/>
        </w:numPr>
        <w:spacing w:before="120" w:after="120"/>
        <w:jc w:val="both"/>
        <w:rPr>
          <w:lang w:val="en-US" w:eastAsia="zh-CN"/>
        </w:rPr>
      </w:pPr>
      <w:bookmarkStart w:id="137" w:name="_Toc213435878"/>
      <w:r>
        <w:rPr>
          <w:lang w:val="en-US" w:eastAsia="zh-CN"/>
        </w:rPr>
        <w:t>~</w:t>
      </w:r>
      <w:r>
        <w:rPr>
          <w:rFonts w:hint="eastAsia"/>
          <w:lang w:val="en-US" w:eastAsia="zh-CN"/>
        </w:rPr>
        <w:t>0.42</w:t>
      </w:r>
      <w:r>
        <w:rPr>
          <w:lang w:val="en-US" w:eastAsia="zh-CN"/>
        </w:rPr>
        <w:t xml:space="preserve">dB shaping gain for MCS level 23 in NR 256QAM table at BLER = 0.1 in the </w:t>
      </w:r>
      <w:r>
        <w:rPr>
          <w:rFonts w:hint="eastAsia"/>
          <w:lang w:val="en-US" w:eastAsia="zh-CN"/>
        </w:rPr>
        <w:t>AWGN</w:t>
      </w:r>
      <w:r>
        <w:rPr>
          <w:lang w:val="en-US" w:eastAsia="zh-CN"/>
        </w:rPr>
        <w:t xml:space="preserve"> channel.</w:t>
      </w:r>
      <w:bookmarkEnd w:id="137"/>
    </w:p>
    <w:p>
      <w:pPr>
        <w:pStyle w:val="52"/>
        <w:numPr>
          <w:ilvl w:val="0"/>
          <w:numId w:val="11"/>
        </w:numPr>
        <w:spacing w:before="120" w:after="120"/>
        <w:jc w:val="both"/>
        <w:rPr>
          <w:lang w:val="en-US" w:eastAsia="zh-CN"/>
        </w:rPr>
      </w:pPr>
      <w:bookmarkStart w:id="138" w:name="_Toc213435879"/>
      <w:r>
        <w:rPr>
          <w:lang w:val="en-US" w:eastAsia="zh-CN"/>
        </w:rPr>
        <w:t>~</w:t>
      </w:r>
      <w:r>
        <w:rPr>
          <w:rFonts w:hint="eastAsia"/>
          <w:lang w:val="en-US" w:eastAsia="zh-CN"/>
        </w:rPr>
        <w:t>0.42</w:t>
      </w:r>
      <w:r>
        <w:rPr>
          <w:lang w:val="en-US" w:eastAsia="zh-CN"/>
        </w:rPr>
        <w:t>dB shaping gain for MCS level 23 in NR 256QAM table at BLER = 0.1 in the CDL-A 4T4R channel.</w:t>
      </w:r>
      <w:bookmarkEnd w:id="138"/>
    </w:p>
    <w:p>
      <w:pPr>
        <w:pStyle w:val="5"/>
        <w:spacing w:before="120" w:after="24"/>
      </w:pPr>
      <w:r>
        <w:t xml:space="preserve">3.2.1.3 Complexity analysis </w:t>
      </w:r>
    </w:p>
    <w:p>
      <w:pPr>
        <w:spacing w:before="120" w:after="120"/>
        <w:rPr>
          <w:b/>
          <w:u w:val="single"/>
        </w:rPr>
      </w:pPr>
      <w:r>
        <w:rPr>
          <w:rFonts w:hint="eastAsia"/>
          <w:b/>
          <w:u w:val="single"/>
        </w:rPr>
        <w:t>T</w:t>
      </w:r>
      <w:r>
        <w:rPr>
          <w:b/>
          <w:u w:val="single"/>
        </w:rPr>
        <w:t>ransmitter complexity</w:t>
      </w:r>
    </w:p>
    <w:p>
      <w:pPr>
        <w:spacing w:before="120" w:after="120"/>
      </w:pPr>
      <w:r>
        <w:t xml:space="preserve">In our opinion, the transmitter complexity for NUC modulation is storage of constellation points. Different with uniform QAM constellation which can be derived by formula, irregular constellation points require transmitter to </w:t>
      </w:r>
      <w:r>
        <w:rPr>
          <w:rFonts w:hint="eastAsia"/>
        </w:rPr>
        <w:t>store</w:t>
      </w:r>
      <w:r>
        <w:t xml:space="preserve"> the value of non-uniform constellation points. </w:t>
      </w:r>
    </w:p>
    <w:p>
      <w:pPr>
        <w:spacing w:before="120" w:after="120"/>
      </w:pPr>
      <w:r>
        <w:t xml:space="preserve">We consider the non-uniform constellation points are symmetric about both x-axis and y-axis and storing the real or imaginary part of the constellation point typically requires 15 bits </w:t>
      </w:r>
      <w:r>
        <w:rPr>
          <w:rFonts w:hint="eastAsia"/>
        </w:rPr>
        <w:t xml:space="preserve">if with 4 decimal digits precision as in </w:t>
      </w:r>
      <w:r>
        <w:t xml:space="preserve">[4]. For 2D-NUC, we need to </w:t>
      </w:r>
      <w:r>
        <w:rPr>
          <w:rFonts w:hint="eastAsia"/>
        </w:rPr>
        <w:t>store</w:t>
      </w:r>
      <w:r>
        <w:t xml:space="preserve"> M/4 real values and imaginary values, where M is the number of constellation points. While for 1D-NUC, </w:t>
      </w:r>
      <w:r>
        <w:rPr>
          <w:rFonts w:hint="eastAsia"/>
        </w:rPr>
        <w:t xml:space="preserve">only </w:t>
      </w:r>
      <m:oMath>
        <m:f>
          <m:fPr>
            <m:ctrlPr>
              <w:rPr>
                <w:rFonts w:ascii="Cambria Math" w:hAnsi="Cambria Math"/>
                <w:i/>
              </w:rPr>
            </m:ctrlPr>
          </m:fPr>
          <m:num>
            <m:rad>
              <m:radPr>
                <m:degHide m:val="1"/>
                <m:ctrlPr>
                  <w:rPr>
                    <w:rFonts w:ascii="Cambria Math" w:hAnsi="Cambria Math"/>
                    <w:i/>
                  </w:rPr>
                </m:ctrlPr>
              </m:radPr>
              <m:deg>
                <m:ctrlPr>
                  <w:rPr>
                    <w:rFonts w:ascii="Cambria Math" w:hAnsi="Cambria Math"/>
                    <w:i/>
                  </w:rPr>
                </m:ctrlPr>
              </m:deg>
              <m:e>
                <m:r>
                  <m:rPr/>
                  <w:rPr>
                    <w:rFonts w:ascii="Cambria Math" w:hAnsi="Cambria Math"/>
                  </w:rPr>
                  <m:t>M</m:t>
                </m:r>
                <m:ctrlPr>
                  <w:rPr>
                    <w:rFonts w:ascii="Cambria Math" w:hAnsi="Cambria Math"/>
                    <w:i/>
                  </w:rPr>
                </m:ctrlPr>
              </m:e>
            </m:rad>
            <m:ctrlPr>
              <w:rPr>
                <w:rFonts w:ascii="Cambria Math" w:hAnsi="Cambria Math"/>
                <w:i/>
              </w:rPr>
            </m:ctrlPr>
          </m:num>
          <m:den>
            <m:r>
              <m:rPr/>
              <w:rPr>
                <w:rFonts w:ascii="Cambria Math" w:hAnsi="Cambria Math"/>
              </w:rPr>
              <m:t>2</m:t>
            </m:r>
            <m:ctrlPr>
              <w:rPr>
                <w:rFonts w:ascii="Cambria Math" w:hAnsi="Cambria Math"/>
                <w:i/>
              </w:rPr>
            </m:ctrlPr>
          </m:den>
        </m:f>
      </m:oMath>
      <w:r>
        <w:t xml:space="preserve"> real values are needed. </w:t>
      </w:r>
      <w:r>
        <w:rPr>
          <w:rFonts w:hint="eastAsia"/>
        </w:rPr>
        <w:t>A</w:t>
      </w:r>
      <w:r>
        <w:t>ssuming th</w:t>
      </w:r>
      <w:r>
        <w:rPr>
          <w:rFonts w:hint="eastAsia"/>
        </w:rPr>
        <w:t>at</w:t>
      </w:r>
      <w:r>
        <w:t xml:space="preserve"> each MCS level corresponds to one non-uniform constellation in </w:t>
      </w:r>
      <w:r>
        <w:rPr>
          <w:rFonts w:hint="eastAsia"/>
        </w:rPr>
        <w:t xml:space="preserve">the </w:t>
      </w:r>
      <w:r>
        <w:t xml:space="preserve">256QAM table (including 6 MCS levels for 16QAM, 9 MCS levels for 64QAM and 8 MCS level for 256QAM), the total numbers of bits for </w:t>
      </w:r>
      <w:r>
        <w:rPr>
          <w:rFonts w:hint="eastAsia"/>
        </w:rPr>
        <w:t>storing</w:t>
      </w:r>
      <w:r>
        <w:t xml:space="preserve"> 2D-NUC points and 1D-NUC points are 20400 bits and 1680 bits, respectively.</w:t>
      </w:r>
    </w:p>
    <w:p>
      <w:pPr>
        <w:spacing w:before="120" w:after="120"/>
      </w:pPr>
      <w:r>
        <w:rPr>
          <w:rFonts w:hint="eastAsia"/>
        </w:rPr>
        <w:t>T</w:t>
      </w:r>
      <w:r>
        <w:t>o this end, even for 2D-NUC, the requirement for storage of constellation points is relatively small. And it has minimal impact on achieving high throughput at transmitter.</w:t>
      </w:r>
    </w:p>
    <w:p>
      <w:pPr>
        <w:pStyle w:val="52"/>
        <w:spacing w:before="120" w:after="120"/>
        <w:jc w:val="both"/>
      </w:pPr>
      <w:bookmarkStart w:id="139" w:name="_Toc213435880"/>
      <w:r>
        <w:t>Transmitter complexity for NUC modulation is mainly arises from storage of constellation points and the impact of transmitter complexity for NUC is negligible.</w:t>
      </w:r>
      <w:bookmarkEnd w:id="139"/>
    </w:p>
    <w:p>
      <w:pPr>
        <w:spacing w:before="120" w:after="120"/>
        <w:rPr>
          <w:b/>
          <w:u w:val="single"/>
          <w:lang w:val="en-GB"/>
        </w:rPr>
      </w:pPr>
      <w:r>
        <w:rPr>
          <w:rFonts w:hint="eastAsia"/>
          <w:b/>
          <w:u w:val="single"/>
          <w:lang w:val="en-GB"/>
        </w:rPr>
        <w:t>R</w:t>
      </w:r>
      <w:r>
        <w:rPr>
          <w:b/>
          <w:u w:val="single"/>
          <w:lang w:val="en-GB"/>
        </w:rPr>
        <w:t>eceiver complexity</w:t>
      </w:r>
    </w:p>
    <w:p>
      <w:pPr>
        <w:spacing w:before="120" w:after="120"/>
      </w:pPr>
      <w:r>
        <w:t xml:space="preserve">For NUC modulation, we think the receiver complexity mainly includes complexity of demodulation and </w:t>
      </w:r>
      <w:r>
        <w:rPr>
          <w:rFonts w:hint="eastAsia"/>
        </w:rPr>
        <w:t>de</w:t>
      </w:r>
      <w:r>
        <w:t>coding in SISO scenarios, and it includes MIMO detector complexity, demodulation complexity and decoding complexity in MIMO scenarios.</w:t>
      </w:r>
    </w:p>
    <w:p>
      <w:pPr>
        <w:spacing w:before="120" w:after="120"/>
      </w:pPr>
      <w:r>
        <w:t>Towards demodulation module, we think maximum logarithm maximum a posteriori</w:t>
      </w:r>
      <w:r>
        <w:rPr>
          <w:rFonts w:hint="eastAsia"/>
        </w:rPr>
        <w:t xml:space="preserve"> (Max-Log MAP)</w:t>
      </w:r>
      <w:r>
        <w:t xml:space="preserve"> is </w:t>
      </w:r>
      <w:r>
        <w:rPr>
          <w:rFonts w:hint="eastAsia"/>
        </w:rPr>
        <w:t xml:space="preserve">a </w:t>
      </w:r>
      <w:r>
        <w:t>common algorithm, where the LLR for the</w:t>
      </w:r>
      <w:r>
        <w:rPr>
          <w:rFonts w:hint="eastAsia"/>
        </w:rPr>
        <w:t xml:space="preserve"> </w:t>
      </w:r>
      <w:r>
        <w:rPr>
          <w:rFonts w:hint="eastAsia"/>
          <w:i/>
          <w:iCs/>
        </w:rPr>
        <w:t>i</w:t>
      </w:r>
      <w:r>
        <w:rPr>
          <w:rFonts w:hint="eastAsia"/>
        </w:rPr>
        <w:t>-th</w:t>
      </w:r>
      <w:r>
        <w:t xml:space="preserve"> bit in one symbol can be expressed by</w:t>
      </w:r>
    </w:p>
    <w:p>
      <w:pPr>
        <w:spacing w:before="120" w:after="120"/>
        <w:rPr>
          <w:iCs/>
        </w:rPr>
      </w:pPr>
      <m:oMathPara>
        <m:oMath>
          <m:sSub>
            <m:sSubPr>
              <m:ctrlPr>
                <w:rPr>
                  <w:rFonts w:ascii="Cambria Math" w:hAnsi="Cambria Math"/>
                  <w:i/>
                  <w:iCs/>
                </w:rPr>
              </m:ctrlPr>
            </m:sSubPr>
            <m:e>
              <m:r>
                <m:rPr/>
                <w:rPr>
                  <w:rFonts w:ascii="Cambria Math" w:hAnsi="Cambria Math"/>
                </w:rPr>
                <m:t>l</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r>
                        <m:rPr/>
                        <w:rPr>
                          <w:rFonts w:ascii="Cambria Math" w:hAnsi="Cambria Math"/>
                        </w:rPr>
                        <m:t>p</m:t>
                      </m:r>
                      <m:d>
                        <m:dPr>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ctrlPr>
                    <w:rPr>
                      <w:rFonts w:ascii="Cambria Math" w:hAnsi="Cambria Math"/>
                      <w:i/>
                      <w:iCs/>
                    </w:rPr>
                  </m:ctrlPr>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r>
                        <m:rPr/>
                        <w:rPr>
                          <w:rFonts w:ascii="Cambria Math" w:hAnsi="Cambria Math"/>
                        </w:rPr>
                        <m:t>p</m:t>
                      </m:r>
                      <m:d>
                        <m:dPr>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ctrlPr>
                    <w:rPr>
                      <w:rFonts w:ascii="Cambria Math" w:hAnsi="Cambria Math"/>
                      <w:i/>
                      <w:iCs/>
                    </w:rPr>
                  </m:ctrlPr>
                </m:den>
              </m:f>
              <m:ctrlPr>
                <w:rPr>
                  <w:rFonts w:ascii="Cambria Math" w:hAnsi="Cambria Math"/>
                  <w:i/>
                  <w:iCs/>
                </w:rPr>
              </m:ctrlPr>
            </m:e>
          </m:func>
          <m:r>
            <m:rPr/>
            <w:rPr>
              <w:rFonts w:ascii="Cambria Math" w:hAnsi="Cambria Math"/>
            </w:rPr>
            <m:t>=</m:t>
          </m:r>
          <m:f>
            <m:fPr>
              <m:ctrlPr>
                <w:rPr>
                  <w:rFonts w:ascii="Cambria Math" w:hAnsi="Cambria Math"/>
                  <w:i/>
                  <w:iCs/>
                </w:rPr>
              </m:ctrlPr>
            </m:fPr>
            <m:num>
              <m:r>
                <m:rPr/>
                <w:rPr>
                  <w:rFonts w:ascii="Cambria Math" w:hAnsi="Cambria Math"/>
                </w:rPr>
                <m:t>1</m:t>
              </m:r>
              <m:ctrlPr>
                <w:rPr>
                  <w:rFonts w:ascii="Cambria Math" w:hAnsi="Cambria Math"/>
                  <w:i/>
                  <w:iCs/>
                </w:rPr>
              </m:ctrlPr>
            </m:num>
            <m:den>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sSup>
                    <m:sSupPr>
                      <m:ctrlPr>
                        <w:rPr>
                          <w:rFonts w:ascii="Cambria Math" w:hAnsi="Cambria Math"/>
                          <w:i/>
                          <w:iCs/>
                        </w:rPr>
                      </m:ctrlPr>
                    </m:sSupPr>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e>
              </m:func>
              <m:r>
                <m:rP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sSup>
                    <m:sSupPr>
                      <m:ctrlPr>
                        <w:rPr>
                          <w:rFonts w:ascii="Cambria Math" w:hAnsi="Cambria Math"/>
                          <w:i/>
                          <w:iCs/>
                        </w:rPr>
                      </m:ctrlPr>
                    </m:sSupPr>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e>
              </m:func>
              <m:ctrlPr>
                <w:rPr>
                  <w:rFonts w:ascii="Cambria Math" w:hAnsi="Cambria Math"/>
                  <w:i/>
                  <w:iCs/>
                </w:rPr>
              </m:ctrlPr>
            </m:e>
          </m:d>
        </m:oMath>
      </m:oMathPara>
    </w:p>
    <w:p>
      <w:pPr>
        <w:spacing w:before="120" w:after="120"/>
        <w:rPr>
          <w:iCs/>
        </w:rPr>
      </w:pPr>
      <w:r>
        <w:t xml:space="preserve">where </w:t>
      </w:r>
      <m:oMath>
        <m:r>
          <m:rP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0</m:t>
            </m:r>
            <m:ctrlPr>
              <w:rPr>
                <w:rFonts w:ascii="Cambria Math" w:hAnsi="Cambria Math"/>
                <w:i/>
                <w:iCs/>
              </w:rPr>
            </m:ctrlP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b</m:t>
            </m:r>
            <m:ctrlPr>
              <w:rPr>
                <w:rFonts w:ascii="Cambria Math" w:hAnsi="Cambria Math"/>
                <w:i/>
                <w:iCs/>
              </w:rPr>
            </m:ctrlPr>
          </m:sub>
          <m:sup>
            <m:r>
              <m:rPr/>
              <w:rPr>
                <w:rFonts w:ascii="Cambria Math" w:hAnsi="Cambria Math"/>
              </w:rPr>
              <m:t>i</m:t>
            </m:r>
            <m:ctrlPr>
              <w:rPr>
                <w:rFonts w:ascii="Cambria Math" w:hAnsi="Cambria Math"/>
                <w:i/>
                <w:iCs/>
              </w:rPr>
            </m:ctrlPr>
          </m:sup>
        </m:sSubSup>
        <m:d>
          <m:dPr>
            <m:ctrlPr>
              <w:rPr>
                <w:rFonts w:ascii="Cambria Math" w:hAnsi="Cambria Math"/>
                <w:i/>
                <w:iCs/>
              </w:rPr>
            </m:ctrlPr>
          </m:dPr>
          <m:e>
            <m:r>
              <m:rPr/>
              <w:rPr>
                <w:rFonts w:ascii="Cambria Math" w:hAnsi="Cambria Math"/>
              </w:rPr>
              <m:t>b∈</m:t>
            </m:r>
            <m:d>
              <m:dPr>
                <m:begChr m:val="{"/>
                <m:endChr m:val="}"/>
                <m:ctrlPr>
                  <w:rPr>
                    <w:rFonts w:ascii="Cambria Math" w:hAnsi="Cambria Math"/>
                    <w:i/>
                  </w:rPr>
                </m:ctrlPr>
              </m:dPr>
              <m:e>
                <m:r>
                  <m:rPr/>
                  <w:rPr>
                    <w:rFonts w:ascii="Cambria Math" w:hAnsi="Cambria Math"/>
                  </w:rPr>
                  <m:t>0,1</m:t>
                </m:r>
                <m:ctrlPr>
                  <w:rPr>
                    <w:rFonts w:ascii="Cambria Math" w:hAnsi="Cambria Math"/>
                    <w:i/>
                  </w:rPr>
                </m:ctrlPr>
              </m:e>
            </m:d>
            <m:ctrlPr>
              <w:rPr>
                <w:rFonts w:ascii="Cambria Math" w:hAnsi="Cambria Math"/>
                <w:i/>
                <w:iCs/>
              </w:rPr>
            </m:ctrlPr>
          </m:e>
        </m:d>
      </m:oMath>
      <w:r>
        <w:rPr>
          <w:rFonts w:hint="eastAsia"/>
          <w:iCs/>
        </w:rPr>
        <w:t xml:space="preserve"> </w:t>
      </w:r>
      <w:r>
        <w:rPr>
          <w:iCs/>
        </w:rPr>
        <w:t xml:space="preserve">denotes the subset of constellation points </w:t>
      </w:r>
      <w:r>
        <w:rPr>
          <w:rFonts w:hint="eastAsia"/>
          <w:iCs/>
        </w:rPr>
        <w:t>with the</w:t>
      </w:r>
      <w:r>
        <w:rPr>
          <w:iCs/>
        </w:rPr>
        <w:t xml:space="preserve"> </w:t>
      </w:r>
      <w:r>
        <w:rPr>
          <w:i/>
        </w:rPr>
        <w:t>i</w:t>
      </w:r>
      <w:r>
        <w:rPr>
          <w:iCs/>
        </w:rPr>
        <w:t xml:space="preserve">-th </w:t>
      </w:r>
      <w:r>
        <w:rPr>
          <w:rFonts w:hint="eastAsia"/>
          <w:iCs/>
        </w:rPr>
        <w:t xml:space="preserve">label </w:t>
      </w:r>
      <w:r>
        <w:rPr>
          <w:iCs/>
        </w:rPr>
        <w:t xml:space="preserve">bit equals to </w:t>
      </w:r>
      <w:r>
        <w:rPr>
          <w:i/>
        </w:rPr>
        <w:t>b</w:t>
      </w:r>
      <w:r>
        <w:rPr>
          <w:iCs/>
        </w:rPr>
        <w:t>.</w:t>
      </w:r>
    </w:p>
    <w:p>
      <w:pPr>
        <w:spacing w:before="120" w:after="120"/>
        <w:rPr>
          <w:iCs/>
        </w:rPr>
      </w:pPr>
      <w:r>
        <w:rPr>
          <w:rFonts w:hint="eastAsia"/>
          <w:iCs/>
        </w:rPr>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 xml:space="preserve">, resulting in the square operation can be performed after the min operation in the </w:t>
      </w:r>
      <w:r>
        <w:t>LLR</w:t>
      </w:r>
      <w:r>
        <w:rPr>
          <w:rFonts w:hint="eastAsia"/>
        </w:rPr>
        <w:t xml:space="preserve"> computation equation and the LLR formula can be simpl</w:t>
      </w:r>
      <w:r>
        <w:rPr>
          <w:rFonts w:hint="eastAsia"/>
          <w:iCs/>
        </w:rPr>
        <w:t xml:space="preserve">ified without </w:t>
      </w:r>
      <w:r>
        <w:rPr>
          <w:iCs/>
        </w:rPr>
        <w:t>squared Euclidean distance</w:t>
      </w:r>
      <w:r>
        <w:rPr>
          <w:rFonts w:hint="eastAsia"/>
          <w:iCs/>
        </w:rPr>
        <w:t xml:space="preserve"> computation as</w:t>
      </w:r>
    </w:p>
    <w:p>
      <w:pPr>
        <w:spacing w:before="120" w:after="120"/>
        <w:rPr>
          <w:iCs/>
        </w:rPr>
      </w:pPr>
      <m:oMathPara>
        <m:oMath>
          <m:sSub>
            <m:sSubPr>
              <m:ctrlPr>
                <w:rPr>
                  <w:rFonts w:ascii="Cambria Math" w:hAnsi="Cambria Math"/>
                  <w:i/>
                  <w:iCs/>
                </w:rPr>
              </m:ctrlPr>
            </m:sSubPr>
            <m:e>
              <m:r>
                <m:rPr/>
                <w:rPr>
                  <w:rFonts w:ascii="Cambria Math" w:hAnsi="Cambria Math"/>
                </w:rPr>
                <m:t>l</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m:t>
          </m:r>
          <m:f>
            <m:fPr>
              <m:ctrlPr>
                <w:rPr>
                  <w:rFonts w:ascii="Cambria Math" w:hAnsi="Cambria Math"/>
                  <w:i/>
                  <w:iCs/>
                </w:rPr>
              </m:ctrlPr>
            </m:fPr>
            <m:num>
              <m:r>
                <m:rPr/>
                <w:rPr>
                  <w:rFonts w:ascii="Cambria Math" w:hAnsi="Cambria Math"/>
                </w:rPr>
                <m:t>1</m:t>
              </m:r>
              <m:ctrlPr>
                <w:rPr>
                  <w:rFonts w:ascii="Cambria Math" w:hAnsi="Cambria Math"/>
                  <w:i/>
                  <w:iCs/>
                </w:rPr>
              </m:ctrlPr>
            </m:num>
            <m:den>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r>
                <m:rP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ctrlPr>
                        <w:rPr>
                          <w:rFonts w:ascii="Cambria Math" w:hAnsi="Cambria Math"/>
                          <w:i/>
                        </w:rPr>
                      </m:ctrlPr>
                    </m:e>
                  </m:d>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iCs/>
                </w:rPr>
              </m:ctrlPr>
            </m:e>
          </m:d>
          <m:r>
            <m:rPr/>
            <w:rPr>
              <w:rFonts w:ascii="Cambria Math" w:hAnsi="Cambria Math"/>
            </w:rPr>
            <m:t>=</m:t>
          </m:r>
          <m:f>
            <m:fPr>
              <m:ctrlPr>
                <w:rPr>
                  <w:rFonts w:ascii="Cambria Math" w:hAnsi="Cambria Math"/>
                  <w:i/>
                  <w:iCs/>
                </w:rPr>
              </m:ctrlPr>
            </m:fPr>
            <m:num>
              <m:r>
                <m:rPr/>
                <w:rPr>
                  <w:rFonts w:ascii="Cambria Math" w:hAnsi="Cambria Math"/>
                </w:rPr>
                <m:t>1</m:t>
              </m:r>
              <m:ctrlPr>
                <w:rPr>
                  <w:rFonts w:ascii="Cambria Math" w:hAnsi="Cambria Math"/>
                  <w:i/>
                  <w:iCs/>
                </w:rPr>
              </m:ctrlPr>
            </m:num>
            <m:den>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r>
                <m:rP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ctrlPr>
                <w:rPr>
                  <w:rFonts w:ascii="Cambria Math" w:hAnsi="Cambria Math"/>
                  <w:i/>
                  <w:iCs/>
                </w:rPr>
              </m:ctrlPr>
            </m:e>
          </m:d>
          <m:r>
            <m:rP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r>
                <m:rP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i</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y−x</m:t>
                      </m:r>
                      <m:ctrlPr>
                        <w:rPr>
                          <w:rFonts w:ascii="Cambria Math" w:hAnsi="Cambria Math"/>
                          <w:i/>
                          <w:iCs/>
                        </w:rPr>
                      </m:ctrlPr>
                    </m:e>
                  </m:d>
                  <m:ctrlPr>
                    <w:rPr>
                      <w:rFonts w:ascii="Cambria Math" w:hAnsi="Cambria Math"/>
                      <w:i/>
                      <w:iCs/>
                    </w:rPr>
                  </m:ctrlPr>
                </m:e>
              </m:func>
              <m:ctrlPr>
                <w:rPr>
                  <w:rFonts w:ascii="Cambria Math" w:hAnsi="Cambria Math"/>
                  <w:i/>
                  <w:iCs/>
                </w:rPr>
              </m:ctrlPr>
            </m:e>
          </m:d>
        </m:oMath>
      </m:oMathPara>
    </w:p>
    <w:p>
      <w:pPr>
        <w:spacing w:before="120" w:after="120"/>
        <w:rPr>
          <w:iCs/>
        </w:rPr>
      </w:pPr>
      <w:r>
        <w:rPr>
          <w:iCs/>
        </w:rPr>
        <w:t xml:space="preserve">Let </w:t>
      </w:r>
      <w:r>
        <w:rPr>
          <w:i/>
        </w:rPr>
        <w:t>M</w:t>
      </w:r>
      <w:r>
        <w:rPr>
          <w:iCs/>
        </w:rPr>
        <w:t xml:space="preserve"> denotes the number of constellation points, and </w:t>
      </w:r>
      <w:r>
        <w:rPr>
          <w:i/>
        </w:rPr>
        <w:t>Q</w:t>
      </w:r>
      <w:r>
        <w:rPr>
          <w:iCs/>
          <w:vertAlign w:val="subscript"/>
        </w:rPr>
        <w:t>m</w:t>
      </w:r>
      <w:r>
        <w:rPr>
          <w:iCs/>
        </w:rPr>
        <w:t xml:space="preserve"> denotes the modulation order. The numbers of Euclidean distance computations and minimum operations required in one symbol are shown in the following table.</w:t>
      </w:r>
    </w:p>
    <w:p>
      <w:pPr>
        <w:spacing w:before="120" w:after="120"/>
        <w:jc w:val="center"/>
        <w:rPr>
          <w:iCs/>
        </w:rPr>
      </w:pPr>
      <w:r>
        <w:rPr>
          <w:rFonts w:hint="eastAsia"/>
          <w:iCs/>
        </w:rPr>
        <w:t>T</w:t>
      </w:r>
      <w:r>
        <w:rPr>
          <w:iCs/>
        </w:rPr>
        <w:t>able 1: Number of Euclidean distance computations and minimum operations in one symbol for demodulation of 1D-NUC</w:t>
      </w:r>
    </w:p>
    <w:tbl>
      <w:tblPr>
        <w:tblStyle w:val="17"/>
        <w:tblW w:w="0" w:type="auto"/>
        <w:tblInd w:w="8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2"/>
        <w:gridCol w:w="3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52" w:type="dxa"/>
            <w:shd w:val="clear" w:color="auto" w:fill="BEBEBE" w:themeFill="background1" w:themeFillShade="BF"/>
          </w:tcPr>
          <w:p>
            <w:pPr>
              <w:spacing w:beforeLines="0" w:after="0" w:afterLines="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EBEBE" w:themeFill="background1" w:themeFillShade="BF"/>
          </w:tcPr>
          <w:p>
            <w:pPr>
              <w:spacing w:beforeLines="0" w:after="0" w:afterLines="0" w:line="240" w:lineRule="auto"/>
              <w:jc w:val="center"/>
              <w:rPr>
                <w:rFonts w:hAnsi="Cambria Math"/>
                <w:b/>
                <w:iCs/>
              </w:rPr>
            </w:pPr>
            <w:r>
              <w:rPr>
                <w:rFonts w:hAnsi="Cambria Math"/>
                <w:b/>
                <w:iCs/>
              </w:rPr>
              <w:t>Number of minimum operations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52" w:type="dxa"/>
          </w:tcPr>
          <w:p>
            <w:pPr>
              <w:spacing w:beforeLines="0" w:after="0" w:afterLines="0" w:line="240" w:lineRule="auto"/>
              <w:jc w:val="center"/>
              <w:rPr>
                <w:rFonts w:hAnsi="Cambria Math"/>
                <w:iCs/>
              </w:rPr>
            </w:pPr>
            <m:oMathPara>
              <m:oMath>
                <m:rad>
                  <m:radPr>
                    <m:degHide m:val="1"/>
                    <m:ctrlPr>
                      <w:rPr>
                        <w:rFonts w:ascii="Cambria Math" w:hAnsi="Cambria Math"/>
                        <w:iCs/>
                      </w:rPr>
                    </m:ctrlPr>
                  </m:radPr>
                  <m:deg>
                    <m:ctrlPr>
                      <w:rPr>
                        <w:rFonts w:ascii="Cambria Math" w:hAnsi="Cambria Math"/>
                        <w:iCs/>
                      </w:rPr>
                    </m:ctrlPr>
                  </m:deg>
                  <m:e>
                    <m:r>
                      <m:rPr/>
                      <w:rPr>
                        <w:rFonts w:ascii="Cambria Math" w:hAnsi="Cambria Math"/>
                      </w:rPr>
                      <m:t>M</m:t>
                    </m:r>
                    <m:ctrlPr>
                      <w:rPr>
                        <w:rFonts w:ascii="Cambria Math" w:hAnsi="Cambria Math"/>
                        <w:iCs/>
                      </w:rPr>
                    </m:ctrlPr>
                  </m:e>
                </m:rad>
                <m:r>
                  <m:rPr/>
                  <w:rPr>
                    <w:rFonts w:ascii="Cambria Math" w:hAnsi="Cambria Math"/>
                  </w:rPr>
                  <m:t>+</m:t>
                </m:r>
                <m:d>
                  <m:dPr>
                    <m:ctrlPr>
                      <w:rPr>
                        <w:rFonts w:ascii="Cambria Math" w:hAnsi="Cambria Math"/>
                        <w:i/>
                        <w:iCs/>
                      </w:rPr>
                    </m:ctrlPr>
                  </m:dPr>
                  <m:e>
                    <m:sSub>
                      <m:sSubPr>
                        <m:ctrlPr>
                          <w:rPr>
                            <w:rFonts w:ascii="Cambria Math" w:hAnsi="Cambria Math"/>
                            <w:i/>
                            <w:iCs/>
                          </w:rPr>
                        </m:ctrlPr>
                      </m:sSubPr>
                      <m:e>
                        <m:r>
                          <m:rPr/>
                          <w:rPr>
                            <w:rFonts w:ascii="Cambria Math" w:hAnsi="Cambria Math"/>
                          </w:rPr>
                          <m:t>Q</m:t>
                        </m:r>
                        <m:ctrlPr>
                          <w:rPr>
                            <w:rFonts w:ascii="Cambria Math" w:hAnsi="Cambria Math"/>
                            <w:i/>
                            <w:iCs/>
                          </w:rPr>
                        </m:ctrlPr>
                      </m:e>
                      <m:sub>
                        <m:r>
                          <m:rPr/>
                          <w:rPr>
                            <w:rFonts w:ascii="Cambria Math" w:hAnsi="Cambria Math"/>
                          </w:rPr>
                          <m:t>m</m:t>
                        </m:r>
                        <m:ctrlPr>
                          <w:rPr>
                            <w:rFonts w:ascii="Cambria Math" w:hAnsi="Cambria Math"/>
                            <w:i/>
                            <w:iCs/>
                          </w:rPr>
                        </m:ctrlPr>
                      </m:sub>
                    </m:sSub>
                    <m:r>
                      <m:rPr/>
                      <w:rPr>
                        <w:rFonts w:ascii="Cambria Math" w:hAnsi="Cambria Math"/>
                      </w:rPr>
                      <m:t>−2</m:t>
                    </m:r>
                    <m:ctrlPr>
                      <w:rPr>
                        <w:rFonts w:ascii="Cambria Math" w:hAnsi="Cambria Math"/>
                        <w:i/>
                        <w:iCs/>
                      </w:rPr>
                    </m:ctrlPr>
                  </m:e>
                </m:d>
                <m:r>
                  <m:rPr/>
                  <w:rPr>
                    <w:rFonts w:ascii="Cambria Math" w:hAnsi="Cambria Math"/>
                  </w:rPr>
                  <m:t>×</m:t>
                </m:r>
                <m:rad>
                  <m:radPr>
                    <m:degHide m:val="1"/>
                    <m:ctrlPr>
                      <w:rPr>
                        <w:rFonts w:ascii="Cambria Math" w:hAnsi="Cambria Math"/>
                        <w:iCs/>
                      </w:rPr>
                    </m:ctrlPr>
                  </m:radPr>
                  <m:deg>
                    <m:ctrlPr>
                      <w:rPr>
                        <w:rFonts w:ascii="Cambria Math" w:hAnsi="Cambria Math"/>
                        <w:iCs/>
                      </w:rPr>
                    </m:ctrlPr>
                  </m:deg>
                  <m:e>
                    <m:r>
                      <m:rPr/>
                      <w:rPr>
                        <w:rFonts w:ascii="Cambria Math" w:hAnsi="Cambria Math"/>
                      </w:rPr>
                      <m:t>M</m:t>
                    </m:r>
                    <m:ctrlPr>
                      <w:rPr>
                        <w:rFonts w:ascii="Cambria Math" w:hAnsi="Cambria Math"/>
                        <w:iCs/>
                      </w:rPr>
                    </m:ctrlPr>
                  </m:e>
                </m:rad>
                <m:r>
                  <m:rPr>
                    <m:sty m:val="p"/>
                  </m:rPr>
                  <w:rPr>
                    <w:rFonts w:ascii="Cambria Math" w:hAnsi="Cambria Math"/>
                  </w:rPr>
                  <m:t>/4+2</m:t>
                </m:r>
              </m:oMath>
            </m:oMathPara>
          </w:p>
        </w:tc>
        <w:tc>
          <w:tcPr>
            <w:tcW w:w="3544" w:type="dxa"/>
          </w:tcPr>
          <w:p>
            <w:pPr>
              <w:spacing w:beforeLines="0" w:after="0" w:afterLines="0" w:line="240" w:lineRule="auto"/>
              <w:jc w:val="center"/>
              <w:rPr>
                <w:rFonts w:hAnsi="Cambria Math"/>
                <w:iCs/>
              </w:rPr>
            </w:pPr>
            <m:oMathPara>
              <m:oMath>
                <m:rad>
                  <m:radPr>
                    <m:degHide m:val="1"/>
                    <m:ctrlPr>
                      <w:rPr>
                        <w:rFonts w:ascii="Cambria Math" w:hAnsi="Cambria Math"/>
                        <w:iCs/>
                      </w:rPr>
                    </m:ctrlPr>
                  </m:radPr>
                  <m:deg>
                    <m:ctrlPr>
                      <w:rPr>
                        <w:rFonts w:ascii="Cambria Math" w:hAnsi="Cambria Math"/>
                        <w:iCs/>
                      </w:rPr>
                    </m:ctrlPr>
                  </m:deg>
                  <m:e>
                    <m:r>
                      <m:rPr/>
                      <w:rPr>
                        <w:rFonts w:ascii="Cambria Math" w:hAnsi="Cambria Math"/>
                      </w:rPr>
                      <m:t>M</m:t>
                    </m:r>
                    <m:ctrlPr>
                      <w:rPr>
                        <w:rFonts w:ascii="Cambria Math" w:hAnsi="Cambria Math"/>
                        <w:iCs/>
                      </w:rPr>
                    </m:ctrlP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m:rPr/>
                          <w:rPr>
                            <w:rFonts w:ascii="Cambria Math" w:hAnsi="Cambria Math"/>
                          </w:rPr>
                          <m:t>Q</m:t>
                        </m:r>
                        <m:ctrlPr>
                          <w:rPr>
                            <w:rFonts w:ascii="Cambria Math" w:hAnsi="Cambria Math"/>
                            <w:i/>
                            <w:iCs/>
                          </w:rPr>
                        </m:ctrlPr>
                      </m:e>
                      <m:sub>
                        <m:r>
                          <m:rPr/>
                          <w:rPr>
                            <w:rFonts w:ascii="Cambria Math" w:hAnsi="Cambria Math"/>
                          </w:rPr>
                          <m:t>m</m:t>
                        </m:r>
                        <m:ctrlPr>
                          <w:rPr>
                            <w:rFonts w:ascii="Cambria Math" w:hAnsi="Cambria Math"/>
                            <w:i/>
                            <w:iCs/>
                          </w:rPr>
                        </m:ctrlPr>
                      </m:sub>
                    </m:sSub>
                    <m:r>
                      <m:rPr/>
                      <w:rPr>
                        <w:rFonts w:ascii="Cambria Math" w:hAnsi="Cambria Math"/>
                      </w:rPr>
                      <m:t>−2</m:t>
                    </m:r>
                    <m:ctrlPr>
                      <w:rPr>
                        <w:rFonts w:ascii="Cambria Math" w:hAnsi="Cambria Math"/>
                        <w:i/>
                        <w:iCs/>
                      </w:rPr>
                    </m:ctrlPr>
                  </m:e>
                </m:d>
                <m:r>
                  <m:rPr/>
                  <w:rPr>
                    <w:rFonts w:ascii="Cambria Math" w:hAnsi="Cambria Math"/>
                  </w:rPr>
                  <m:t>×</m:t>
                </m:r>
                <m:d>
                  <m:dPr>
                    <m:ctrlPr>
                      <w:rPr>
                        <w:rFonts w:ascii="Cambria Math" w:hAnsi="Cambria Math"/>
                        <w:i/>
                        <w:iCs/>
                      </w:rPr>
                    </m:ctrlPr>
                  </m:dPr>
                  <m:e>
                    <m:rad>
                      <m:radPr>
                        <m:degHide m:val="1"/>
                        <m:ctrlPr>
                          <w:rPr>
                            <w:rFonts w:ascii="Cambria Math" w:hAnsi="Cambria Math"/>
                            <w:iCs/>
                          </w:rPr>
                        </m:ctrlPr>
                      </m:radPr>
                      <m:deg>
                        <m:ctrlPr>
                          <w:rPr>
                            <w:rFonts w:ascii="Cambria Math" w:hAnsi="Cambria Math"/>
                            <w:iCs/>
                          </w:rPr>
                        </m:ctrlPr>
                      </m:deg>
                      <m:e>
                        <m:r>
                          <m:rPr/>
                          <w:rPr>
                            <w:rFonts w:ascii="Cambria Math" w:hAnsi="Cambria Math"/>
                          </w:rPr>
                          <m:t>M</m:t>
                        </m:r>
                        <m:ctrlPr>
                          <w:rPr>
                            <w:rFonts w:ascii="Cambria Math" w:hAnsi="Cambria Math"/>
                            <w:iCs/>
                          </w:rPr>
                        </m:ctrlPr>
                      </m:e>
                    </m:rad>
                    <m:r>
                      <m:rPr>
                        <m:sty m:val="p"/>
                      </m:rPr>
                      <w:rPr>
                        <w:rFonts w:ascii="Cambria Math" w:hAnsi="Cambria Math"/>
                      </w:rPr>
                      <m:t>/4−1</m:t>
                    </m:r>
                    <m:ctrlPr>
                      <w:rPr>
                        <w:rFonts w:ascii="Cambria Math" w:hAnsi="Cambria Math"/>
                        <w:i/>
                        <w:iCs/>
                      </w:rPr>
                    </m:ctrlPr>
                  </m:e>
                </m:d>
                <m:r>
                  <m:rPr>
                    <m:sty m:val="p"/>
                  </m:rPr>
                  <w:rPr>
                    <w:rFonts w:ascii="Cambria Math" w:hAnsi="Cambria Math"/>
                  </w:rPr>
                  <m:t xml:space="preserve">−2 </m:t>
                </m:r>
              </m:oMath>
            </m:oMathPara>
          </w:p>
        </w:tc>
      </w:tr>
    </w:tbl>
    <w:p>
      <w:pPr>
        <w:spacing w:before="120" w:after="120"/>
        <w:rPr>
          <w:rFonts w:hAnsi="Cambria Math"/>
          <w:iCs/>
        </w:rPr>
      </w:pPr>
      <w:r>
        <w:rPr>
          <w:rFonts w:hAnsi="Cambria Math"/>
          <w:iCs/>
        </w:rPr>
        <w:t xml:space="preserve">Based on Table 1, one addition operation is needed for one Euclidean distance computation, and one minimum operation origins from several comparison operations, where one comparison operation can be regarded as one addition operation. </w:t>
      </w:r>
      <w:r>
        <w:rPr>
          <w:rFonts w:hint="eastAsia" w:hAnsi="Cambria Math"/>
          <w:iCs/>
        </w:rPr>
        <w:t>To</w:t>
      </w:r>
      <w:r>
        <w:rPr>
          <w:rFonts w:hAnsi="Cambria Math"/>
          <w:iCs/>
        </w:rPr>
        <w:t xml:space="preserve"> this end, the total operations for 1D-NUC demodulation in one symbol is summarized as follows:</w:t>
      </w:r>
    </w:p>
    <w:p>
      <w:pPr>
        <w:pStyle w:val="32"/>
        <w:numPr>
          <w:ilvl w:val="0"/>
          <w:numId w:val="13"/>
        </w:numPr>
        <w:spacing w:before="120" w:after="120"/>
        <w:rPr>
          <w:rFonts w:hAnsi="Cambria Math"/>
          <w:iCs/>
          <w:sz w:val="21"/>
          <w:szCs w:val="21"/>
        </w:rPr>
      </w:pPr>
      <w:r>
        <w:rPr>
          <w:rFonts w:hAnsi="Cambria Math" w:eastAsiaTheme="minorEastAsia"/>
          <w:iCs/>
          <w:sz w:val="21"/>
          <w:szCs w:val="21"/>
        </w:rPr>
        <w:t>Divisions: 1</w:t>
      </w:r>
    </w:p>
    <w:p>
      <w:pPr>
        <w:pStyle w:val="32"/>
        <w:numPr>
          <w:ilvl w:val="0"/>
          <w:numId w:val="13"/>
        </w:numPr>
        <w:spacing w:before="120" w:after="120"/>
        <w:rPr>
          <w:rFonts w:hAnsi="Cambria Math"/>
          <w:iCs/>
          <w:sz w:val="21"/>
          <w:szCs w:val="21"/>
        </w:rPr>
      </w:pPr>
      <w:r>
        <w:rPr>
          <w:rFonts w:hint="eastAsia" w:hAnsi="Cambria Math" w:eastAsiaTheme="minorEastAsia"/>
          <w:iCs/>
          <w:sz w:val="21"/>
          <w:szCs w:val="21"/>
        </w:rPr>
        <w:t>M</w:t>
      </w:r>
      <w:r>
        <w:rPr>
          <w:rFonts w:hAnsi="Cambria Math" w:eastAsiaTheme="minorEastAsia"/>
          <w:iCs/>
          <w:sz w:val="21"/>
          <w:szCs w:val="21"/>
        </w:rPr>
        <w:t xml:space="preserve">ultiplications: </w:t>
      </w:r>
      <m:oMath>
        <m:r>
          <m:rPr>
            <m:sty m:val="p"/>
          </m:rPr>
          <w:rPr>
            <w:rFonts w:ascii="Cambria Math" w:hAnsi="Cambria Math" w:eastAsiaTheme="minorEastAsia"/>
            <w:sz w:val="21"/>
            <w:szCs w:val="21"/>
          </w:rPr>
          <m:t>2</m:t>
        </m:r>
        <m:r>
          <m:rPr/>
          <w:rPr>
            <w:rFonts w:ascii="Cambria Math" w:hAnsi="Cambria Math" w:eastAsiaTheme="minorEastAsia"/>
            <w:sz w:val="21"/>
            <w:szCs w:val="21"/>
          </w:rPr>
          <m:t>×</m:t>
        </m:r>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oMath>
    </w:p>
    <w:p>
      <w:pPr>
        <w:pStyle w:val="32"/>
        <w:numPr>
          <w:ilvl w:val="0"/>
          <w:numId w:val="13"/>
        </w:numPr>
        <w:spacing w:before="120" w:after="120"/>
        <w:rPr>
          <w:rFonts w:hAnsi="Cambria Math"/>
          <w:iCs/>
          <w:sz w:val="21"/>
          <w:szCs w:val="21"/>
        </w:rPr>
      </w:pPr>
      <w:r>
        <w:rPr>
          <w:rFonts w:hint="eastAsia" w:hAnsi="Cambria Math" w:eastAsiaTheme="minorEastAsia"/>
          <w:iCs/>
          <w:sz w:val="21"/>
          <w:szCs w:val="21"/>
        </w:rPr>
        <w:t>A</w:t>
      </w:r>
      <w:r>
        <w:rPr>
          <w:rFonts w:hAnsi="Cambria Math" w:eastAsiaTheme="minorEastAsia"/>
          <w:iCs/>
          <w:sz w:val="21"/>
          <w:szCs w:val="21"/>
        </w:rPr>
        <w:t xml:space="preserve">dditions: </w:t>
      </w:r>
      <m:oMath>
        <m:r>
          <m:rPr>
            <m:sty m:val="p"/>
          </m:rPr>
          <w:rPr>
            <w:rFonts w:ascii="Cambria Math" w:hAnsi="Cambria Math" w:eastAsiaTheme="minorEastAsia"/>
            <w:sz w:val="21"/>
            <w:szCs w:val="21"/>
          </w:rPr>
          <m:t>2</m:t>
        </m:r>
        <m:rad>
          <m:radPr>
            <m:degHide m:val="1"/>
            <m:ctrlPr>
              <w:rPr>
                <w:rFonts w:ascii="Cambria Math" w:hAnsi="Cambria Math" w:eastAsiaTheme="minorEastAsia"/>
                <w:iCs/>
                <w:sz w:val="21"/>
                <w:szCs w:val="21"/>
              </w:rPr>
            </m:ctrlPr>
          </m:radPr>
          <m:deg>
            <m:ctrlPr>
              <w:rPr>
                <w:rFonts w:ascii="Cambria Math" w:hAnsi="Cambria Math" w:eastAsiaTheme="minorEastAsia"/>
                <w:iCs/>
                <w:sz w:val="21"/>
                <w:szCs w:val="21"/>
              </w:rPr>
            </m:ctrlPr>
          </m:deg>
          <m:e>
            <m:r>
              <m:rPr/>
              <w:rPr>
                <w:rFonts w:ascii="Cambria Math" w:hAnsi="Cambria Math" w:eastAsiaTheme="minorEastAsia"/>
                <w:sz w:val="21"/>
                <w:szCs w:val="21"/>
              </w:rPr>
              <m:t>M</m:t>
            </m:r>
            <m:ctrlPr>
              <w:rPr>
                <w:rFonts w:ascii="Cambria Math" w:hAnsi="Cambria Math" w:eastAsiaTheme="minorEastAsia"/>
                <w:iCs/>
                <w:sz w:val="21"/>
                <w:szCs w:val="21"/>
              </w:rPr>
            </m:ctrlPr>
          </m:e>
        </m:rad>
        <m:r>
          <m:rPr/>
          <w:rPr>
            <w:rFonts w:ascii="Cambria Math" w:hAnsi="Cambria Math" w:eastAsiaTheme="minorEastAsia"/>
            <w:sz w:val="21"/>
            <w:szCs w:val="21"/>
          </w:rPr>
          <m:t>+</m:t>
        </m:r>
        <m:d>
          <m:dPr>
            <m:ctrlPr>
              <w:rPr>
                <w:rFonts w:ascii="Cambria Math" w:hAnsi="Cambria Math" w:eastAsiaTheme="minorEastAsia"/>
                <w:i/>
                <w:iCs/>
                <w:sz w:val="21"/>
                <w:szCs w:val="21"/>
              </w:rPr>
            </m:ctrlPr>
          </m:dPr>
          <m:e>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−2</m:t>
            </m:r>
            <m:ctrlPr>
              <w:rPr>
                <w:rFonts w:ascii="Cambria Math" w:hAnsi="Cambria Math" w:eastAsiaTheme="minorEastAsia"/>
                <w:i/>
                <w:iCs/>
                <w:sz w:val="21"/>
                <w:szCs w:val="21"/>
              </w:rPr>
            </m:ctrlPr>
          </m:e>
        </m:d>
        <m:r>
          <m:rPr/>
          <w:rPr>
            <w:rFonts w:ascii="Cambria Math" w:hAnsi="Cambria Math" w:eastAsiaTheme="minorEastAsia"/>
            <w:sz w:val="21"/>
            <w:szCs w:val="21"/>
          </w:rPr>
          <m:t>×</m:t>
        </m:r>
        <m:d>
          <m:dPr>
            <m:ctrlPr>
              <w:rPr>
                <w:rFonts w:ascii="Cambria Math" w:hAnsi="Cambria Math" w:eastAsiaTheme="minorEastAsia"/>
                <w:i/>
                <w:iCs/>
                <w:sz w:val="21"/>
                <w:szCs w:val="21"/>
              </w:rPr>
            </m:ctrlPr>
          </m:dPr>
          <m:e>
            <m:rad>
              <m:radPr>
                <m:degHide m:val="1"/>
                <m:ctrlPr>
                  <w:rPr>
                    <w:rFonts w:ascii="Cambria Math" w:hAnsi="Cambria Math" w:eastAsiaTheme="minorEastAsia"/>
                    <w:i/>
                    <w:iCs/>
                    <w:sz w:val="21"/>
                    <w:szCs w:val="21"/>
                  </w:rPr>
                </m:ctrlPr>
              </m:radPr>
              <m:deg>
                <m:ctrlPr>
                  <w:rPr>
                    <w:rFonts w:ascii="Cambria Math" w:hAnsi="Cambria Math" w:eastAsiaTheme="minorEastAsia"/>
                    <w:i/>
                    <w:iCs/>
                    <w:sz w:val="21"/>
                    <w:szCs w:val="21"/>
                  </w:rPr>
                </m:ctrlPr>
              </m:deg>
              <m:e>
                <m:r>
                  <m:rPr/>
                  <w:rPr>
                    <w:rFonts w:ascii="Cambria Math" w:hAnsi="Cambria Math" w:eastAsiaTheme="minorEastAsia"/>
                    <w:sz w:val="21"/>
                    <w:szCs w:val="21"/>
                  </w:rPr>
                  <m:t>M</m:t>
                </m:r>
                <m:ctrlPr>
                  <w:rPr>
                    <w:rFonts w:ascii="Cambria Math" w:hAnsi="Cambria Math" w:eastAsiaTheme="minorEastAsia"/>
                    <w:i/>
                    <w:iCs/>
                    <w:sz w:val="21"/>
                    <w:szCs w:val="21"/>
                  </w:rPr>
                </m:ctrlPr>
              </m:e>
            </m:rad>
            <m:r>
              <m:rPr/>
              <w:rPr>
                <w:rFonts w:ascii="Cambria Math" w:hAnsi="Cambria Math" w:eastAsiaTheme="minorEastAsia"/>
                <w:sz w:val="21"/>
                <w:szCs w:val="21"/>
              </w:rPr>
              <m:t>/2−1</m:t>
            </m:r>
            <m:ctrlPr>
              <w:rPr>
                <w:rFonts w:ascii="Cambria Math" w:hAnsi="Cambria Math" w:eastAsiaTheme="minorEastAsia"/>
                <w:i/>
                <w:iCs/>
                <w:sz w:val="21"/>
                <w:szCs w:val="21"/>
              </w:rPr>
            </m:ctrlPr>
          </m:e>
        </m:d>
        <m:r>
          <m:rPr/>
          <w:rPr>
            <w:rFonts w:ascii="Cambria Math" w:hAnsi="Cambria Math" w:eastAsiaTheme="minorEastAsia"/>
            <w:sz w:val="21"/>
            <w:szCs w:val="21"/>
          </w:rPr>
          <m:t>+2×</m:t>
        </m:r>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m:t>
        </m:r>
        <m:d>
          <m:dPr>
            <m:ctrlPr>
              <w:rPr>
                <w:rFonts w:ascii="Cambria Math" w:hAnsi="Cambria Math" w:eastAsiaTheme="minorEastAsia"/>
                <w:i/>
                <w:iCs/>
                <w:sz w:val="21"/>
                <w:szCs w:val="21"/>
              </w:rPr>
            </m:ctrlPr>
          </m:dPr>
          <m:e>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+2</m:t>
            </m:r>
            <m:ctrlPr>
              <w:rPr>
                <w:rFonts w:ascii="Cambria Math" w:hAnsi="Cambria Math" w:eastAsiaTheme="minorEastAsia"/>
                <w:i/>
                <w:iCs/>
                <w:sz w:val="21"/>
                <w:szCs w:val="21"/>
              </w:rPr>
            </m:ctrlPr>
          </m:e>
        </m:d>
        <m:r>
          <m:rPr/>
          <w:rPr>
            <w:rFonts w:ascii="Cambria Math" w:hAnsi="Cambria Math" w:eastAsiaTheme="minorEastAsia"/>
            <w:sz w:val="21"/>
            <w:szCs w:val="21"/>
          </w:rPr>
          <m:t>×</m:t>
        </m:r>
        <m:d>
          <m:dPr>
            <m:ctrlPr>
              <w:rPr>
                <w:rFonts w:ascii="Cambria Math" w:hAnsi="Cambria Math" w:eastAsiaTheme="minorEastAsia"/>
                <w:i/>
                <w:iCs/>
                <w:sz w:val="21"/>
                <w:szCs w:val="21"/>
              </w:rPr>
            </m:ctrlPr>
          </m:dPr>
          <m:e>
            <m:rad>
              <m:radPr>
                <m:degHide m:val="1"/>
                <m:ctrlPr>
                  <w:rPr>
                    <w:rFonts w:ascii="Cambria Math" w:hAnsi="Cambria Math" w:eastAsiaTheme="minorEastAsia"/>
                    <w:i/>
                    <w:iCs/>
                    <w:sz w:val="21"/>
                    <w:szCs w:val="21"/>
                  </w:rPr>
                </m:ctrlPr>
              </m:radPr>
              <m:deg>
                <m:ctrlPr>
                  <w:rPr>
                    <w:rFonts w:ascii="Cambria Math" w:hAnsi="Cambria Math" w:eastAsiaTheme="minorEastAsia"/>
                    <w:i/>
                    <w:iCs/>
                    <w:sz w:val="21"/>
                    <w:szCs w:val="21"/>
                  </w:rPr>
                </m:ctrlPr>
              </m:deg>
              <m:e>
                <m:r>
                  <m:rPr/>
                  <w:rPr>
                    <w:rFonts w:ascii="Cambria Math" w:hAnsi="Cambria Math" w:eastAsiaTheme="minorEastAsia"/>
                    <w:sz w:val="21"/>
                    <w:szCs w:val="21"/>
                  </w:rPr>
                  <m:t>M</m:t>
                </m:r>
                <m:ctrlPr>
                  <w:rPr>
                    <w:rFonts w:ascii="Cambria Math" w:hAnsi="Cambria Math" w:eastAsiaTheme="minorEastAsia"/>
                    <w:i/>
                    <w:iCs/>
                    <w:sz w:val="21"/>
                    <w:szCs w:val="21"/>
                  </w:rPr>
                </m:ctrlPr>
              </m:e>
            </m:rad>
            <m:r>
              <m:rPr/>
              <w:rPr>
                <w:rFonts w:ascii="Cambria Math" w:hAnsi="Cambria Math" w:eastAsiaTheme="minorEastAsia"/>
                <w:sz w:val="21"/>
                <w:szCs w:val="21"/>
              </w:rPr>
              <m:t>/2+1</m:t>
            </m:r>
            <m:ctrlPr>
              <w:rPr>
                <w:rFonts w:ascii="Cambria Math" w:hAnsi="Cambria Math" w:eastAsiaTheme="minorEastAsia"/>
                <w:i/>
                <w:iCs/>
                <w:sz w:val="21"/>
                <w:szCs w:val="21"/>
              </w:rPr>
            </m:ctrlPr>
          </m:e>
        </m:d>
      </m:oMath>
    </w:p>
    <w:p>
      <w:pPr>
        <w:spacing w:before="120" w:after="120"/>
        <w:rPr>
          <w:iCs/>
        </w:rPr>
      </w:pPr>
      <w:r>
        <w:rPr>
          <w:rFonts w:hint="eastAsia"/>
          <w:iCs/>
        </w:rPr>
        <w:t>F</w:t>
      </w:r>
      <w:r>
        <w:rPr>
          <w:iCs/>
        </w:rPr>
        <w:t xml:space="preserve">or 2D-NUC, the squared Euclidean distance for real part and imaginary part </w:t>
      </w:r>
      <w:r>
        <w:rPr>
          <w:rFonts w:hint="eastAsia"/>
          <w:iCs/>
        </w:rPr>
        <w:t>should</w:t>
      </w:r>
      <w:r>
        <w:rPr>
          <w:iCs/>
        </w:rPr>
        <w:t xml:space="preserve"> be calculated simultaneously. Besides, the demodulation of 2D-NUC can be further simplified based on following two features:</w:t>
      </w:r>
    </w:p>
    <w:p>
      <w:pPr>
        <w:pStyle w:val="32"/>
        <w:numPr>
          <w:ilvl w:val="0"/>
          <w:numId w:val="14"/>
        </w:numPr>
        <w:spacing w:before="120" w:after="120"/>
        <w:rPr>
          <w:sz w:val="21"/>
          <w:szCs w:val="21"/>
        </w:rPr>
      </w:pPr>
      <w:r>
        <w:rPr>
          <w:sz w:val="21"/>
          <w:szCs w:val="21"/>
        </w:rPr>
        <w:t>Symmetric about both x-axis and y-axis: it means calculation of squared Euclidean distance can focus in the first quadrant, which leads to four times reduction on the calculation of squared Euclidean distance.</w:t>
      </w:r>
    </w:p>
    <w:p>
      <w:pPr>
        <w:pStyle w:val="32"/>
        <w:numPr>
          <w:ilvl w:val="0"/>
          <w:numId w:val="14"/>
        </w:numPr>
        <w:spacing w:before="120" w:after="120"/>
        <w:rPr>
          <w:iCs/>
          <w:sz w:val="21"/>
          <w:szCs w:val="21"/>
        </w:rPr>
      </w:pPr>
      <w:r>
        <w:rPr>
          <w:rFonts w:hint="eastAsia" w:eastAsia="宋体"/>
          <w:iCs/>
          <w:sz w:val="21"/>
          <w:szCs w:val="21"/>
        </w:rPr>
        <w:t>Bit-wise</w:t>
      </w:r>
      <w:r>
        <w:rPr>
          <w:iCs/>
          <w:sz w:val="21"/>
          <w:szCs w:val="21"/>
        </w:rPr>
        <w:t xml:space="preserve"> </w:t>
      </w:r>
      <w:r>
        <w:rPr>
          <w:rFonts w:hint="eastAsia" w:eastAsia="宋体"/>
          <w:iCs/>
          <w:sz w:val="21"/>
          <w:szCs w:val="21"/>
        </w:rPr>
        <w:t xml:space="preserve">subset optimization </w:t>
      </w:r>
      <w:r>
        <w:rPr>
          <w:iCs/>
          <w:sz w:val="21"/>
          <w:szCs w:val="21"/>
        </w:rPr>
        <w:t xml:space="preserve">for </w:t>
      </w:r>
      <w:r>
        <w:rPr>
          <w:i/>
          <w:sz w:val="21"/>
          <w:szCs w:val="21"/>
        </w:rPr>
        <w:t>i</w:t>
      </w:r>
      <w:r>
        <w:rPr>
          <w:iCs/>
          <w:sz w:val="21"/>
          <w:szCs w:val="21"/>
        </w:rPr>
        <w:t xml:space="preserve">-th bit </w:t>
      </w:r>
      <w:r>
        <w:rPr>
          <w:rFonts w:hint="eastAsia" w:eastAsia="宋体"/>
          <w:iCs/>
          <w:sz w:val="21"/>
          <w:szCs w:val="21"/>
        </w:rPr>
        <w:t>(</w:t>
      </w:r>
      <w:r>
        <w:rPr>
          <w:iCs/>
          <w:sz w:val="21"/>
          <w:szCs w:val="21"/>
        </w:rPr>
        <w:t xml:space="preserve">considering the union of </w:t>
      </w:r>
      <m:oMath>
        <m:sSubSup>
          <m:sSubSupPr>
            <m:ctrlPr>
              <w:rPr>
                <w:rFonts w:ascii="Cambria Math" w:hAnsi="Cambria Math"/>
                <w:i/>
                <w:iCs/>
                <w:sz w:val="21"/>
                <w:szCs w:val="21"/>
              </w:rPr>
            </m:ctrlPr>
          </m:sSubSupPr>
          <m:e>
            <m:r>
              <m:rPr/>
              <w:rPr>
                <w:rFonts w:ascii="Cambria Math" w:hAnsi="Cambria Math"/>
                <w:sz w:val="21"/>
                <w:szCs w:val="21"/>
              </w:rPr>
              <m:t>χ</m:t>
            </m:r>
            <m:ctrlPr>
              <w:rPr>
                <w:rFonts w:ascii="Cambria Math" w:hAnsi="Cambria Math"/>
                <w:i/>
                <w:iCs/>
                <w:sz w:val="21"/>
                <w:szCs w:val="21"/>
              </w:rPr>
            </m:ctrlPr>
          </m:e>
          <m:sub>
            <m:r>
              <m:rPr/>
              <w:rPr>
                <w:rFonts w:ascii="Cambria Math" w:hAnsi="Cambria Math" w:eastAsia="宋体"/>
                <w:sz w:val="21"/>
                <w:szCs w:val="21"/>
              </w:rPr>
              <m:t>0</m:t>
            </m:r>
            <m:ctrlPr>
              <w:rPr>
                <w:rFonts w:ascii="Cambria Math" w:hAnsi="Cambria Math"/>
                <w:i/>
                <w:iCs/>
                <w:sz w:val="21"/>
                <w:szCs w:val="21"/>
              </w:rPr>
            </m:ctrlPr>
          </m:sub>
          <m:sup>
            <m:r>
              <m:rPr/>
              <w:rPr>
                <w:rFonts w:ascii="Cambria Math" w:hAnsi="Cambria Math" w:eastAsia="宋体"/>
                <w:sz w:val="21"/>
                <w:szCs w:val="21"/>
              </w:rPr>
              <m:t>i</m:t>
            </m:r>
            <m:ctrlPr>
              <w:rPr>
                <w:rFonts w:ascii="Cambria Math" w:hAnsi="Cambria Math"/>
                <w:i/>
                <w:iCs/>
                <w:sz w:val="21"/>
                <w:szCs w:val="21"/>
              </w:rPr>
            </m:ctrlPr>
          </m:sup>
        </m:sSubSup>
      </m:oMath>
      <w:r>
        <w:rPr>
          <w:rFonts w:hint="eastAsia" w:hAnsi="Cambria Math"/>
          <w:iCs/>
          <w:sz w:val="21"/>
          <w:szCs w:val="21"/>
        </w:rPr>
        <w:t xml:space="preserve"> </w:t>
      </w:r>
      <w:r>
        <w:rPr>
          <w:rFonts w:hAnsi="Cambria Math"/>
          <w:iCs/>
          <w:sz w:val="21"/>
          <w:szCs w:val="21"/>
        </w:rPr>
        <w:t xml:space="preserve">and </w:t>
      </w:r>
      <m:oMath>
        <m:sSubSup>
          <m:sSubSupPr>
            <m:ctrlPr>
              <w:rPr>
                <w:rFonts w:ascii="Cambria Math" w:hAnsi="Cambria Math"/>
                <w:i/>
                <w:iCs/>
                <w:sz w:val="21"/>
                <w:szCs w:val="21"/>
              </w:rPr>
            </m:ctrlPr>
          </m:sSubSupPr>
          <m:e>
            <m:r>
              <m:rPr/>
              <w:rPr>
                <w:rFonts w:ascii="Cambria Math" w:hAnsi="Cambria Math"/>
                <w:sz w:val="21"/>
                <w:szCs w:val="21"/>
              </w:rPr>
              <m:t>χ</m:t>
            </m:r>
            <m:ctrlPr>
              <w:rPr>
                <w:rFonts w:ascii="Cambria Math" w:hAnsi="Cambria Math"/>
                <w:i/>
                <w:iCs/>
                <w:sz w:val="21"/>
                <w:szCs w:val="21"/>
              </w:rPr>
            </m:ctrlPr>
          </m:e>
          <m:sub>
            <m:r>
              <m:rPr/>
              <w:rPr>
                <w:rFonts w:ascii="Cambria Math" w:hAnsi="Cambria Math" w:eastAsia="宋体"/>
                <w:sz w:val="21"/>
                <w:szCs w:val="21"/>
              </w:rPr>
              <m:t>1</m:t>
            </m:r>
            <m:ctrlPr>
              <w:rPr>
                <w:rFonts w:ascii="Cambria Math" w:hAnsi="Cambria Math"/>
                <w:i/>
                <w:iCs/>
                <w:sz w:val="21"/>
                <w:szCs w:val="21"/>
              </w:rPr>
            </m:ctrlPr>
          </m:sub>
          <m:sup>
            <m:r>
              <m:rPr/>
              <w:rPr>
                <w:rFonts w:ascii="Cambria Math" w:hAnsi="Cambria Math" w:eastAsia="宋体"/>
                <w:sz w:val="21"/>
                <w:szCs w:val="21"/>
              </w:rPr>
              <m:t>i</m:t>
            </m:r>
            <m:ctrlPr>
              <w:rPr>
                <w:rFonts w:ascii="Cambria Math" w:hAnsi="Cambria Math"/>
                <w:i/>
                <w:iCs/>
                <w:sz w:val="21"/>
                <w:szCs w:val="21"/>
              </w:rPr>
            </m:ctrlPr>
          </m:sup>
        </m:sSubSup>
      </m:oMath>
      <w:r>
        <w:rPr>
          <w:rFonts w:hint="eastAsia" w:hAnsi="Cambria Math" w:eastAsia="宋体"/>
          <w:iCs/>
          <w:sz w:val="21"/>
          <w:szCs w:val="21"/>
        </w:rPr>
        <w:t>)</w:t>
      </w:r>
      <w:r>
        <w:rPr>
          <w:rFonts w:hint="eastAsia" w:hAnsi="Cambria Math"/>
          <w:iCs/>
          <w:sz w:val="21"/>
          <w:szCs w:val="21"/>
        </w:rPr>
        <w:t>:</w:t>
      </w:r>
      <w:r>
        <w:rPr>
          <w:rFonts w:hAnsi="Cambria Math"/>
          <w:iCs/>
          <w:sz w:val="21"/>
          <w:szCs w:val="21"/>
        </w:rPr>
        <w:t xml:space="preserve"> </w:t>
      </w:r>
      <w:r>
        <w:rPr>
          <w:rFonts w:hint="eastAsia" w:hAnsi="Cambria Math" w:eastAsia="宋体"/>
          <w:iCs/>
          <w:sz w:val="21"/>
          <w:szCs w:val="21"/>
        </w:rPr>
        <w:t>The closest point to a received symbol only needs to be calculated once</w:t>
      </w:r>
      <w:r>
        <w:rPr>
          <w:sz w:val="21"/>
          <w:szCs w:val="21"/>
        </w:rPr>
        <w:t>. For example, for the 1</w:t>
      </w:r>
      <w:r>
        <w:rPr>
          <w:sz w:val="21"/>
          <w:szCs w:val="21"/>
          <w:vertAlign w:val="superscript"/>
        </w:rPr>
        <w:t>st</w:t>
      </w:r>
      <w:r>
        <w:rPr>
          <w:sz w:val="21"/>
          <w:szCs w:val="21"/>
        </w:rPr>
        <w:t xml:space="preserve"> bit in </w:t>
      </w:r>
      <w:r>
        <w:rPr>
          <w:rFonts w:hint="eastAsia" w:eastAsia="宋体"/>
          <w:sz w:val="21"/>
          <w:szCs w:val="21"/>
        </w:rPr>
        <w:t>a</w:t>
      </w:r>
      <w:r>
        <w:rPr>
          <w:sz w:val="21"/>
          <w:szCs w:val="21"/>
        </w:rPr>
        <w:t xml:space="preserve"> symbol, </w:t>
      </w:r>
      <w:r>
        <w:rPr>
          <w:rFonts w:hint="eastAsia"/>
          <w:sz w:val="21"/>
          <w:szCs w:val="21"/>
        </w:rPr>
        <w:t>an exhaustive search across the entire constellation set is required</w:t>
      </w:r>
      <w:r>
        <w:rPr>
          <w:rFonts w:hint="eastAsia" w:eastAsia="宋体"/>
          <w:sz w:val="21"/>
          <w:szCs w:val="21"/>
        </w:rPr>
        <w:t>,</w:t>
      </w:r>
      <w:r>
        <w:rPr>
          <w:sz w:val="21"/>
          <w:szCs w:val="21"/>
        </w:rPr>
        <w:t xml:space="preserve"> while for remaining bit</w:t>
      </w:r>
      <w:r>
        <w:rPr>
          <w:rFonts w:hint="eastAsia" w:eastAsia="宋体"/>
          <w:sz w:val="21"/>
          <w:szCs w:val="21"/>
        </w:rPr>
        <w:t>s</w:t>
      </w:r>
      <w:r>
        <w:rPr>
          <w:sz w:val="21"/>
          <w:szCs w:val="21"/>
        </w:rPr>
        <w:t xml:space="preserve">, since the minimum value in a specific subset, </w:t>
      </w:r>
      <m:oMath>
        <m:sSubSup>
          <m:sSubSupPr>
            <m:ctrlPr>
              <w:rPr>
                <w:rFonts w:ascii="Cambria Math" w:hAnsi="Cambria Math"/>
                <w:i/>
                <w:iCs/>
                <w:sz w:val="21"/>
                <w:szCs w:val="21"/>
              </w:rPr>
            </m:ctrlPr>
          </m:sSubSupPr>
          <m:e>
            <m:r>
              <m:rPr/>
              <w:rPr>
                <w:rFonts w:ascii="Cambria Math" w:hAnsi="Cambria Math"/>
                <w:sz w:val="21"/>
                <w:szCs w:val="21"/>
              </w:rPr>
              <m:t>χ</m:t>
            </m:r>
            <m:ctrlPr>
              <w:rPr>
                <w:rFonts w:ascii="Cambria Math" w:hAnsi="Cambria Math"/>
                <w:i/>
                <w:iCs/>
                <w:sz w:val="21"/>
                <w:szCs w:val="21"/>
              </w:rPr>
            </m:ctrlPr>
          </m:e>
          <m:sub>
            <m:r>
              <m:rPr/>
              <w:rPr>
                <w:rFonts w:ascii="Cambria Math" w:hAnsi="Cambria Math" w:eastAsia="宋体"/>
                <w:sz w:val="21"/>
                <w:szCs w:val="21"/>
              </w:rPr>
              <m:t>0</m:t>
            </m:r>
            <m:ctrlPr>
              <w:rPr>
                <w:rFonts w:ascii="Cambria Math" w:hAnsi="Cambria Math"/>
                <w:i/>
                <w:iCs/>
                <w:sz w:val="21"/>
                <w:szCs w:val="21"/>
              </w:rPr>
            </m:ctrlPr>
          </m:sub>
          <m:sup>
            <m:r>
              <m:rPr/>
              <w:rPr>
                <w:rFonts w:ascii="Cambria Math" w:hAnsi="Cambria Math" w:eastAsia="宋体"/>
                <w:sz w:val="21"/>
                <w:szCs w:val="21"/>
              </w:rPr>
              <m:t>i</m:t>
            </m:r>
            <m:ctrlPr>
              <w:rPr>
                <w:rFonts w:ascii="Cambria Math" w:hAnsi="Cambria Math"/>
                <w:i/>
                <w:iCs/>
                <w:sz w:val="21"/>
                <w:szCs w:val="21"/>
              </w:rPr>
            </m:ctrlPr>
          </m:sup>
        </m:sSubSup>
      </m:oMath>
      <w:r>
        <w:rPr>
          <w:rFonts w:hint="eastAsia"/>
          <w:iCs/>
          <w:sz w:val="21"/>
          <w:szCs w:val="21"/>
        </w:rPr>
        <w:t xml:space="preserve"> </w:t>
      </w:r>
      <w:r>
        <w:rPr>
          <w:iCs/>
          <w:sz w:val="21"/>
          <w:szCs w:val="21"/>
        </w:rPr>
        <w:t xml:space="preserve">or </w:t>
      </w:r>
      <m:oMath>
        <m:sSubSup>
          <m:sSubSupPr>
            <m:ctrlPr>
              <w:rPr>
                <w:rFonts w:ascii="Cambria Math" w:hAnsi="Cambria Math"/>
                <w:i/>
                <w:iCs/>
                <w:sz w:val="21"/>
                <w:szCs w:val="21"/>
              </w:rPr>
            </m:ctrlPr>
          </m:sSubSupPr>
          <m:e>
            <m:r>
              <m:rPr/>
              <w:rPr>
                <w:rFonts w:ascii="Cambria Math" w:hAnsi="Cambria Math"/>
                <w:sz w:val="21"/>
                <w:szCs w:val="21"/>
              </w:rPr>
              <m:t>χ</m:t>
            </m:r>
            <m:ctrlPr>
              <w:rPr>
                <w:rFonts w:ascii="Cambria Math" w:hAnsi="Cambria Math"/>
                <w:i/>
                <w:iCs/>
                <w:sz w:val="21"/>
                <w:szCs w:val="21"/>
              </w:rPr>
            </m:ctrlPr>
          </m:e>
          <m:sub>
            <m:r>
              <m:rPr/>
              <w:rPr>
                <w:rFonts w:ascii="Cambria Math" w:hAnsi="Cambria Math" w:eastAsia="宋体"/>
                <w:sz w:val="21"/>
                <w:szCs w:val="21"/>
              </w:rPr>
              <m:t>1</m:t>
            </m:r>
            <m:ctrlPr>
              <w:rPr>
                <w:rFonts w:ascii="Cambria Math" w:hAnsi="Cambria Math"/>
                <w:i/>
                <w:iCs/>
                <w:sz w:val="21"/>
                <w:szCs w:val="21"/>
              </w:rPr>
            </m:ctrlPr>
          </m:sub>
          <m:sup>
            <m:r>
              <m:rPr/>
              <w:rPr>
                <w:rFonts w:ascii="Cambria Math" w:hAnsi="Cambria Math" w:eastAsia="宋体"/>
                <w:sz w:val="21"/>
                <w:szCs w:val="21"/>
              </w:rPr>
              <m:t>i</m:t>
            </m:r>
            <m:ctrlPr>
              <w:rPr>
                <w:rFonts w:ascii="Cambria Math" w:hAnsi="Cambria Math"/>
                <w:i/>
                <w:iCs/>
                <w:sz w:val="21"/>
                <w:szCs w:val="21"/>
              </w:rPr>
            </m:ctrlPr>
          </m:sup>
        </m:sSubSup>
      </m:oMath>
      <w:r>
        <w:rPr>
          <w:sz w:val="21"/>
          <w:szCs w:val="21"/>
        </w:rPr>
        <w:t>,</w:t>
      </w:r>
      <w:r>
        <w:rPr>
          <w:iCs/>
          <w:sz w:val="21"/>
          <w:szCs w:val="21"/>
        </w:rPr>
        <w:t xml:space="preserve"> has already </w:t>
      </w:r>
      <w:r>
        <w:rPr>
          <w:rFonts w:hint="eastAsia" w:eastAsia="宋体"/>
          <w:iCs/>
          <w:sz w:val="21"/>
          <w:szCs w:val="21"/>
        </w:rPr>
        <w:t>determined</w:t>
      </w:r>
      <w:r>
        <w:rPr>
          <w:iCs/>
          <w:sz w:val="21"/>
          <w:szCs w:val="21"/>
        </w:rPr>
        <w:t xml:space="preserve">, </w:t>
      </w:r>
      <w:r>
        <w:rPr>
          <w:rFonts w:hint="eastAsia" w:eastAsia="宋体"/>
          <w:iCs/>
          <w:sz w:val="21"/>
          <w:szCs w:val="21"/>
        </w:rPr>
        <w:t xml:space="preserve">the </w:t>
      </w:r>
      <w:r>
        <w:rPr>
          <w:iCs/>
          <w:sz w:val="21"/>
          <w:szCs w:val="21"/>
        </w:rPr>
        <w:t>squared Euclidean distance calculation only need</w:t>
      </w:r>
      <w:r>
        <w:rPr>
          <w:rFonts w:hint="eastAsia" w:eastAsia="宋体"/>
          <w:iCs/>
          <w:sz w:val="21"/>
          <w:szCs w:val="21"/>
        </w:rPr>
        <w:t>s</w:t>
      </w:r>
      <w:r>
        <w:rPr>
          <w:iCs/>
          <w:sz w:val="21"/>
          <w:szCs w:val="21"/>
        </w:rPr>
        <w:t xml:space="preserve"> </w:t>
      </w:r>
      <w:r>
        <w:rPr>
          <w:rFonts w:hint="eastAsia" w:eastAsia="宋体"/>
          <w:iCs/>
          <w:sz w:val="21"/>
          <w:szCs w:val="21"/>
        </w:rPr>
        <w:t xml:space="preserve">to be performed </w:t>
      </w:r>
      <w:r>
        <w:rPr>
          <w:iCs/>
          <w:sz w:val="21"/>
          <w:szCs w:val="21"/>
        </w:rPr>
        <w:t xml:space="preserve">in </w:t>
      </w:r>
      <w:r>
        <w:rPr>
          <w:rFonts w:hint="eastAsia" w:eastAsia="宋体"/>
          <w:iCs/>
          <w:sz w:val="21"/>
          <w:szCs w:val="21"/>
        </w:rPr>
        <w:t>the counterpart</w:t>
      </w:r>
      <w:r>
        <w:rPr>
          <w:iCs/>
          <w:sz w:val="21"/>
          <w:szCs w:val="21"/>
        </w:rPr>
        <w:t xml:space="preserve"> subset.</w:t>
      </w:r>
    </w:p>
    <w:p>
      <w:pPr>
        <w:spacing w:before="120" w:after="120"/>
        <w:rPr>
          <w:rFonts w:hint="eastAsia" w:eastAsia="宋体"/>
          <w:iCs/>
          <w:lang w:val="en-US" w:eastAsia="zh-CN"/>
        </w:rPr>
      </w:pPr>
      <w:r>
        <w:rPr>
          <w:iCs/>
        </w:rPr>
        <w:t>Based on the above feature, the number of calculations of squared Euclidean distance</w:t>
      </w:r>
      <w:r>
        <w:rPr>
          <w:rFonts w:hint="eastAsia"/>
          <w:iCs/>
        </w:rPr>
        <w:t xml:space="preserve"> and t</w:t>
      </w:r>
      <w:r>
        <w:rPr>
          <w:iCs/>
        </w:rPr>
        <w:t>he number of minimum operations required in one symbol are shown in the following table</w:t>
      </w:r>
      <w:r>
        <w:rPr>
          <w:rFonts w:hint="eastAsia"/>
          <w:iCs/>
          <w:lang w:val="en-US" w:eastAsia="zh-CN"/>
        </w:rPr>
        <w:t>.</w:t>
      </w:r>
    </w:p>
    <w:p>
      <w:pPr>
        <w:spacing w:before="120" w:after="120"/>
        <w:jc w:val="center"/>
        <w:rPr>
          <w:iCs/>
        </w:rPr>
      </w:pPr>
      <w:r>
        <w:rPr>
          <w:rFonts w:hint="eastAsia"/>
          <w:iCs/>
        </w:rPr>
        <w:t>T</w:t>
      </w:r>
      <w:r>
        <w:rPr>
          <w:iCs/>
        </w:rPr>
        <w:t>able 2: Number of square Euclidean distance computations and minimum operations for demodulation of 2D-NUC</w:t>
      </w:r>
    </w:p>
    <w:tbl>
      <w:tblPr>
        <w:tblStyle w:val="17"/>
        <w:tblW w:w="0" w:type="auto"/>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20"/>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0" w:type="dxa"/>
            <w:shd w:val="clear" w:color="auto" w:fill="BEBEBE" w:themeFill="background1" w:themeFillShade="BF"/>
          </w:tcPr>
          <w:p>
            <w:pPr>
              <w:spacing w:beforeLines="0" w:after="0" w:afterLines="0" w:line="240" w:lineRule="auto"/>
              <w:jc w:val="center"/>
              <w:rPr>
                <w:rFonts w:hAnsi="Cambria Math"/>
                <w:b/>
                <w:iCs/>
              </w:rPr>
            </w:pPr>
            <w:r>
              <w:rPr>
                <w:rFonts w:hAnsi="Cambria Math"/>
                <w:b/>
                <w:iCs/>
              </w:rPr>
              <w:t xml:space="preserve">Number of Square </w:t>
            </w:r>
            <w:r>
              <w:rPr>
                <w:b/>
                <w:iCs/>
              </w:rPr>
              <w:t>Euclidean distance</w:t>
            </w:r>
            <w:r>
              <w:rPr>
                <w:rFonts w:hint="eastAsia"/>
                <w:b/>
                <w:iCs/>
              </w:rPr>
              <w:t xml:space="preserve"> computation</w:t>
            </w:r>
          </w:p>
        </w:tc>
        <w:tc>
          <w:tcPr>
            <w:tcW w:w="3969" w:type="dxa"/>
            <w:shd w:val="clear" w:color="auto" w:fill="BEBEBE" w:themeFill="background1" w:themeFillShade="BF"/>
          </w:tcPr>
          <w:p>
            <w:pPr>
              <w:spacing w:beforeLines="0" w:after="0" w:afterLines="0" w:line="240" w:lineRule="auto"/>
              <w:jc w:val="center"/>
              <w:rPr>
                <w:rFonts w:hAnsi="Cambria Math"/>
                <w:b/>
                <w:iCs/>
              </w:rPr>
            </w:pPr>
            <w:r>
              <w:rPr>
                <w:rFonts w:hAnsi="Cambria Math"/>
                <w:b/>
                <w:iCs/>
              </w:rPr>
              <w:t>Number of minimum operations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20" w:type="dxa"/>
          </w:tcPr>
          <w:p>
            <w:pPr>
              <w:spacing w:beforeLines="0" w:after="0" w:afterLines="0" w:line="240" w:lineRule="auto"/>
              <w:jc w:val="center"/>
              <w:rPr>
                <w:rFonts w:hAnsi="Cambria Math"/>
                <w:iCs/>
              </w:rPr>
            </w:pPr>
            <m:oMathPara>
              <m:oMath>
                <m:r>
                  <m:rPr>
                    <m:sty m:val="p"/>
                  </m:rPr>
                  <w:rPr>
                    <w:rFonts w:ascii="Cambria Math" w:hAnsi="Cambria Math"/>
                  </w:rPr>
                  <m:t>3</m:t>
                </m:r>
                <m:r>
                  <m:rPr/>
                  <w:rPr>
                    <w:rFonts w:ascii="Cambria Math" w:hAnsi="Cambria Math"/>
                  </w:rPr>
                  <m:t>M</m:t>
                </m:r>
                <m:r>
                  <m:rPr>
                    <m:sty m:val="p"/>
                  </m:rPr>
                  <w:rPr>
                    <w:rFonts w:ascii="Cambria Math" w:hAnsi="Cambria Math"/>
                  </w:rPr>
                  <m:t>/4+</m:t>
                </m:r>
                <m:r>
                  <m:rPr/>
                  <w:rPr>
                    <w:rFonts w:ascii="Cambria Math" w:hAnsi="Cambria Math"/>
                  </w:rPr>
                  <m:t xml:space="preserve"> M</m:t>
                </m:r>
                <m:r>
                  <m:rPr>
                    <m:sty m:val="p"/>
                  </m:rPr>
                  <w:rPr>
                    <w:rFonts w:ascii="Cambria Math" w:hAnsi="Cambria Math"/>
                  </w:rPr>
                  <m:t>/8×</m:t>
                </m:r>
                <m:d>
                  <m:dPr>
                    <m:ctrlPr>
                      <w:rPr>
                        <w:rFonts w:ascii="Cambria Math" w:hAnsi="Cambria Math"/>
                      </w:rPr>
                    </m:ctrlPr>
                  </m:dPr>
                  <m:e>
                    <m:sSub>
                      <m:sSubPr>
                        <m:ctrlPr>
                          <w:rPr>
                            <w:rFonts w:ascii="Cambria Math" w:hAnsi="Cambria Math" w:eastAsiaTheme="minorEastAsia"/>
                            <w:i/>
                            <w:iCs/>
                            <w:szCs w:val="21"/>
                          </w:rPr>
                        </m:ctrlPr>
                      </m:sSubPr>
                      <m:e>
                        <m:r>
                          <m:rPr/>
                          <w:rPr>
                            <w:rFonts w:ascii="Cambria Math" w:hAnsi="Cambria Math" w:eastAsiaTheme="minorEastAsia"/>
                            <w:szCs w:val="21"/>
                          </w:rPr>
                          <m:t>Q</m:t>
                        </m:r>
                        <m:ctrlPr>
                          <w:rPr>
                            <w:rFonts w:ascii="Cambria Math" w:hAnsi="Cambria Math" w:eastAsiaTheme="minorEastAsia"/>
                            <w:i/>
                            <w:iCs/>
                            <w:szCs w:val="21"/>
                          </w:rPr>
                        </m:ctrlPr>
                      </m:e>
                      <m:sub>
                        <m:r>
                          <m:rPr/>
                          <w:rPr>
                            <w:rFonts w:ascii="Cambria Math" w:hAnsi="Cambria Math" w:eastAsiaTheme="minorEastAsia"/>
                            <w:szCs w:val="21"/>
                          </w:rPr>
                          <m:t>m</m:t>
                        </m:r>
                        <m:ctrlPr>
                          <w:rPr>
                            <w:rFonts w:ascii="Cambria Math" w:hAnsi="Cambria Math" w:eastAsiaTheme="minorEastAsia"/>
                            <w:i/>
                            <w:iCs/>
                            <w:szCs w:val="21"/>
                          </w:rPr>
                        </m:ctrlPr>
                      </m:sub>
                    </m:sSub>
                    <m:r>
                      <m:rPr/>
                      <w:rPr>
                        <w:rFonts w:ascii="Cambria Math" w:hAnsi="Cambria Math" w:eastAsiaTheme="minorEastAsia"/>
                        <w:szCs w:val="21"/>
                      </w:rPr>
                      <m:t>−2</m:t>
                    </m:r>
                    <m:ctrlPr>
                      <w:rPr>
                        <w:rFonts w:ascii="Cambria Math" w:hAnsi="Cambria Math"/>
                      </w:rPr>
                    </m:ctrlPr>
                  </m:e>
                </m:d>
              </m:oMath>
            </m:oMathPara>
          </w:p>
        </w:tc>
        <w:tc>
          <w:tcPr>
            <w:tcW w:w="3969" w:type="dxa"/>
          </w:tcPr>
          <w:p>
            <w:pPr>
              <w:spacing w:beforeLines="0" w:after="0" w:afterLines="0" w:line="240" w:lineRule="auto"/>
              <w:jc w:val="center"/>
              <w:rPr>
                <w:rFonts w:hint="eastAsia" w:hAnsi="Cambria Math"/>
                <w:iCs/>
              </w:rPr>
            </w:pPr>
            <m:oMathPara>
              <m:oMath>
                <m:r>
                  <m:rPr/>
                  <w:rPr>
                    <w:rFonts w:ascii="Cambria Math" w:hAnsi="Cambria Math"/>
                  </w:rPr>
                  <m:t>3M</m:t>
                </m:r>
                <m:r>
                  <m:rPr>
                    <m:sty m:val="p"/>
                  </m:rPr>
                  <w:rPr>
                    <w:rFonts w:ascii="Cambria Math" w:hAnsi="Cambria Math"/>
                  </w:rPr>
                  <m:t xml:space="preserve">/4 −3 + </m:t>
                </m:r>
                <m:d>
                  <m:dPr>
                    <m:ctrlPr>
                      <w:rPr>
                        <w:rFonts w:ascii="Cambria Math" w:hAnsi="Cambria Math"/>
                      </w:rPr>
                    </m:ctrlPr>
                  </m:dPr>
                  <m:e>
                    <m:r>
                      <m:rPr/>
                      <w:rPr>
                        <w:rFonts w:ascii="Cambria Math" w:hAnsi="Cambria Math"/>
                      </w:rPr>
                      <m:t>M</m:t>
                    </m:r>
                    <m:r>
                      <m:rPr>
                        <m:sty m:val="p"/>
                      </m:rPr>
                      <w:rPr>
                        <w:rFonts w:ascii="Cambria Math" w:hAnsi="Cambria Math"/>
                      </w:rPr>
                      <m:t>/8 −1</m:t>
                    </m:r>
                    <m:ctrlPr>
                      <w:rPr>
                        <w:rFonts w:ascii="Cambria Math" w:hAnsi="Cambria Math"/>
                      </w:rPr>
                    </m:ctrlPr>
                  </m:e>
                </m:d>
                <m:r>
                  <m:rPr>
                    <m:sty m:val="p"/>
                  </m:rPr>
                  <w:rPr>
                    <w:rFonts w:ascii="Cambria Math" w:hAnsi="Cambria Math"/>
                  </w:rPr>
                  <m:t>×</m:t>
                </m:r>
                <m:d>
                  <m:dPr>
                    <m:ctrlPr>
                      <w:rPr>
                        <w:rFonts w:ascii="Cambria Math" w:hAnsi="Cambria Math"/>
                      </w:rPr>
                    </m:ctrlPr>
                  </m:dPr>
                  <m:e>
                    <m:sSub>
                      <m:sSubPr>
                        <m:ctrlPr>
                          <w:rPr>
                            <w:rFonts w:ascii="Cambria Math" w:hAnsi="Cambria Math" w:eastAsiaTheme="minorEastAsia"/>
                            <w:i/>
                            <w:iCs/>
                            <w:szCs w:val="21"/>
                          </w:rPr>
                        </m:ctrlPr>
                      </m:sSubPr>
                      <m:e>
                        <m:r>
                          <m:rPr/>
                          <w:rPr>
                            <w:rFonts w:ascii="Cambria Math" w:hAnsi="Cambria Math" w:eastAsiaTheme="minorEastAsia"/>
                            <w:szCs w:val="21"/>
                          </w:rPr>
                          <m:t>Q</m:t>
                        </m:r>
                        <m:ctrlPr>
                          <w:rPr>
                            <w:rFonts w:ascii="Cambria Math" w:hAnsi="Cambria Math" w:eastAsiaTheme="minorEastAsia"/>
                            <w:i/>
                            <w:iCs/>
                            <w:szCs w:val="21"/>
                          </w:rPr>
                        </m:ctrlPr>
                      </m:e>
                      <m:sub>
                        <m:r>
                          <m:rPr/>
                          <w:rPr>
                            <w:rFonts w:ascii="Cambria Math" w:hAnsi="Cambria Math" w:eastAsiaTheme="minorEastAsia"/>
                            <w:szCs w:val="21"/>
                          </w:rPr>
                          <m:t>m</m:t>
                        </m:r>
                        <m:ctrlPr>
                          <w:rPr>
                            <w:rFonts w:ascii="Cambria Math" w:hAnsi="Cambria Math" w:eastAsiaTheme="minorEastAsia"/>
                            <w:i/>
                            <w:iCs/>
                            <w:szCs w:val="21"/>
                          </w:rPr>
                        </m:ctrlPr>
                      </m:sub>
                    </m:sSub>
                    <m:r>
                      <m:rPr/>
                      <w:rPr>
                        <w:rFonts w:ascii="Cambria Math" w:hAnsi="Cambria Math" w:eastAsiaTheme="minorEastAsia"/>
                        <w:szCs w:val="21"/>
                      </w:rPr>
                      <m:t>−2</m:t>
                    </m:r>
                    <m:ctrlPr>
                      <w:rPr>
                        <w:rFonts w:ascii="Cambria Math" w:hAnsi="Cambria Math"/>
                      </w:rPr>
                    </m:ctrlPr>
                  </m:e>
                </m:d>
              </m:oMath>
            </m:oMathPara>
          </w:p>
        </w:tc>
      </w:tr>
    </w:tbl>
    <w:p>
      <w:pPr>
        <w:spacing w:before="120" w:after="120"/>
        <w:rPr>
          <w:iCs/>
        </w:rPr>
      </w:pPr>
      <w:r>
        <w:rPr>
          <w:iCs/>
        </w:rPr>
        <w:t>In general, 3 addition operations and 2 multipl</w:t>
      </w:r>
      <w:r>
        <w:rPr>
          <w:rFonts w:hint="eastAsia"/>
          <w:iCs/>
        </w:rPr>
        <w:t>ication</w:t>
      </w:r>
      <w:r>
        <w:rPr>
          <w:iCs/>
        </w:rPr>
        <w:t xml:space="preserve"> operations are needed for each calculation of squared Euclidean distance. </w:t>
      </w:r>
      <w:r>
        <w:rPr>
          <w:rFonts w:hAnsi="Cambria Math"/>
          <w:iCs/>
        </w:rPr>
        <w:t>and one minimum operation origins from several comparison operations, where one comparison operation can be regarded as one addition operation. To this end, the total operations for 2D-NUC demodulation in one symbol is summarized as follows:</w:t>
      </w:r>
    </w:p>
    <w:p>
      <w:pPr>
        <w:pStyle w:val="32"/>
        <w:numPr>
          <w:ilvl w:val="0"/>
          <w:numId w:val="13"/>
        </w:numPr>
        <w:spacing w:before="120" w:after="120"/>
        <w:rPr>
          <w:rFonts w:hAnsi="Cambria Math"/>
          <w:iCs/>
          <w:sz w:val="21"/>
          <w:szCs w:val="21"/>
        </w:rPr>
      </w:pPr>
      <w:r>
        <w:rPr>
          <w:rFonts w:hAnsi="Cambria Math" w:eastAsiaTheme="minorEastAsia"/>
          <w:iCs/>
          <w:sz w:val="21"/>
          <w:szCs w:val="21"/>
        </w:rPr>
        <w:t>Divisions: 1</w:t>
      </w:r>
    </w:p>
    <w:p>
      <w:pPr>
        <w:pStyle w:val="32"/>
        <w:numPr>
          <w:ilvl w:val="0"/>
          <w:numId w:val="13"/>
        </w:numPr>
        <w:spacing w:before="120" w:after="120"/>
        <w:rPr>
          <w:rFonts w:hAnsi="Cambria Math"/>
          <w:iCs/>
          <w:sz w:val="21"/>
          <w:szCs w:val="21"/>
        </w:rPr>
      </w:pPr>
      <w:r>
        <w:rPr>
          <w:rFonts w:hint="eastAsia" w:hAnsi="Cambria Math" w:eastAsiaTheme="minorEastAsia"/>
          <w:iCs/>
          <w:sz w:val="21"/>
          <w:szCs w:val="21"/>
        </w:rPr>
        <w:t>M</w:t>
      </w:r>
      <w:r>
        <w:rPr>
          <w:rFonts w:hAnsi="Cambria Math" w:eastAsiaTheme="minorEastAsia"/>
          <w:iCs/>
          <w:sz w:val="21"/>
          <w:szCs w:val="21"/>
        </w:rPr>
        <w:t xml:space="preserve">ultiplications: </w:t>
      </w:r>
      <m:oMath>
        <m:f>
          <m:fPr>
            <m:type m:val="lin"/>
            <m:ctrlPr>
              <w:rPr>
                <w:rFonts w:ascii="Cambria Math" w:hAnsi="Cambria Math" w:eastAsiaTheme="minorEastAsia"/>
                <w:i/>
                <w:iCs/>
                <w:sz w:val="21"/>
                <w:szCs w:val="21"/>
              </w:rPr>
            </m:ctrlPr>
          </m:fPr>
          <m:num>
            <m:r>
              <m:rPr/>
              <w:rPr>
                <w:rFonts w:ascii="Cambria Math" w:hAnsi="Cambria Math" w:eastAsiaTheme="minorEastAsia"/>
                <w:sz w:val="21"/>
                <w:szCs w:val="21"/>
              </w:rPr>
              <m:t>M</m:t>
            </m:r>
            <m:ctrlPr>
              <w:rPr>
                <w:rFonts w:ascii="Cambria Math" w:hAnsi="Cambria Math" w:eastAsiaTheme="minorEastAsia"/>
                <w:i/>
                <w:iCs/>
                <w:sz w:val="21"/>
                <w:szCs w:val="21"/>
              </w:rPr>
            </m:ctrlPr>
          </m:num>
          <m:den>
            <m:r>
              <m:rPr/>
              <w:rPr>
                <w:rFonts w:ascii="Cambria Math" w:hAnsi="Cambria Math" w:eastAsiaTheme="minorEastAsia"/>
                <w:sz w:val="21"/>
                <w:szCs w:val="21"/>
              </w:rPr>
              <m:t>4</m:t>
            </m:r>
            <m:ctrlPr>
              <w:rPr>
                <w:rFonts w:ascii="Cambria Math" w:hAnsi="Cambria Math" w:eastAsiaTheme="minorEastAsia"/>
                <w:i/>
                <w:iCs/>
                <w:sz w:val="21"/>
                <w:szCs w:val="21"/>
              </w:rPr>
            </m:ctrlPr>
          </m:den>
        </m:f>
        <m:r>
          <m:rPr/>
          <w:rPr>
            <w:rFonts w:ascii="Cambria Math" w:hAnsi="Cambria Math" w:eastAsiaTheme="minorEastAsia"/>
            <w:sz w:val="21"/>
            <w:szCs w:val="21"/>
          </w:rPr>
          <m:t>×</m:t>
        </m:r>
        <m:d>
          <m:dPr>
            <m:ctrlPr>
              <w:rPr>
                <w:rFonts w:ascii="Cambria Math" w:hAnsi="Cambria Math" w:eastAsiaTheme="minorEastAsia"/>
                <w:i/>
                <w:iCs/>
                <w:sz w:val="21"/>
                <w:szCs w:val="21"/>
              </w:rPr>
            </m:ctrlPr>
          </m:dPr>
          <m:e>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+4</m:t>
            </m:r>
            <m:ctrlPr>
              <w:rPr>
                <w:rFonts w:ascii="Cambria Math" w:hAnsi="Cambria Math" w:eastAsiaTheme="minorEastAsia"/>
                <w:i/>
                <w:iCs/>
                <w:sz w:val="21"/>
                <w:szCs w:val="21"/>
              </w:rPr>
            </m:ctrlPr>
          </m:e>
        </m:d>
        <m:r>
          <m:rPr/>
          <w:rPr>
            <w:rFonts w:ascii="Cambria Math" w:hAnsi="Cambria Math" w:eastAsiaTheme="minorEastAsia"/>
            <w:sz w:val="21"/>
            <w:szCs w:val="21"/>
          </w:rPr>
          <m:t>+</m:t>
        </m:r>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m:t>
        </m:r>
        <m:d>
          <m:dPr>
            <m:ctrlPr>
              <w:rPr>
                <w:rFonts w:ascii="Cambria Math" w:hAnsi="Cambria Math" w:eastAsiaTheme="minorEastAsia"/>
                <w:i/>
                <w:iCs/>
                <w:sz w:val="21"/>
                <w:szCs w:val="21"/>
              </w:rPr>
            </m:ctrlPr>
          </m:dPr>
          <m:e>
            <m:f>
              <m:fPr>
                <m:type m:val="lin"/>
                <m:ctrlPr>
                  <w:rPr>
                    <w:rFonts w:ascii="Cambria Math" w:hAnsi="Cambria Math" w:eastAsiaTheme="minorEastAsia"/>
                    <w:i/>
                    <w:iCs/>
                    <w:sz w:val="21"/>
                    <w:szCs w:val="21"/>
                  </w:rPr>
                </m:ctrlPr>
              </m:fPr>
              <m:num>
                <m:r>
                  <m:rPr/>
                  <w:rPr>
                    <w:rFonts w:ascii="Cambria Math" w:hAnsi="Cambria Math" w:eastAsiaTheme="minorEastAsia"/>
                    <w:sz w:val="21"/>
                    <w:szCs w:val="21"/>
                  </w:rPr>
                  <m:t>M</m:t>
                </m:r>
                <m:ctrlPr>
                  <w:rPr>
                    <w:rFonts w:ascii="Cambria Math" w:hAnsi="Cambria Math" w:eastAsiaTheme="minorEastAsia"/>
                    <w:i/>
                    <w:iCs/>
                    <w:sz w:val="21"/>
                    <w:szCs w:val="21"/>
                  </w:rPr>
                </m:ctrlPr>
              </m:num>
              <m:den>
                <m:r>
                  <m:rPr/>
                  <w:rPr>
                    <w:rFonts w:ascii="Cambria Math" w:hAnsi="Cambria Math" w:eastAsiaTheme="minorEastAsia"/>
                    <w:sz w:val="21"/>
                    <w:szCs w:val="21"/>
                  </w:rPr>
                  <m:t>4</m:t>
                </m:r>
                <m:ctrlPr>
                  <w:rPr>
                    <w:rFonts w:ascii="Cambria Math" w:hAnsi="Cambria Math" w:eastAsiaTheme="minorEastAsia"/>
                    <w:i/>
                    <w:iCs/>
                    <w:sz w:val="21"/>
                    <w:szCs w:val="21"/>
                  </w:rPr>
                </m:ctrlPr>
              </m:den>
            </m:f>
            <m:r>
              <m:rPr/>
              <w:rPr>
                <w:rFonts w:ascii="Cambria Math" w:hAnsi="Cambria Math" w:eastAsiaTheme="minorEastAsia"/>
                <w:sz w:val="21"/>
                <w:szCs w:val="21"/>
              </w:rPr>
              <m:t>+1</m:t>
            </m:r>
            <m:ctrlPr>
              <w:rPr>
                <w:rFonts w:ascii="Cambria Math" w:hAnsi="Cambria Math" w:eastAsiaTheme="minorEastAsia"/>
                <w:i/>
                <w:iCs/>
                <w:sz w:val="21"/>
                <w:szCs w:val="21"/>
              </w:rPr>
            </m:ctrlPr>
          </m:e>
        </m:d>
        <m:r>
          <m:rPr/>
          <w:rPr>
            <w:rFonts w:ascii="Cambria Math" w:hAnsi="Cambria Math" w:eastAsiaTheme="minorEastAsia"/>
            <w:sz w:val="21"/>
            <w:szCs w:val="21"/>
          </w:rPr>
          <m:t>×</m:t>
        </m:r>
        <m:d>
          <m:dPr>
            <m:ctrlPr>
              <w:rPr>
                <w:rFonts w:ascii="Cambria Math" w:hAnsi="Cambria Math" w:eastAsiaTheme="minorEastAsia"/>
                <w:i/>
                <w:iCs/>
                <w:sz w:val="21"/>
                <w:szCs w:val="21"/>
              </w:rPr>
            </m:ctrlPr>
          </m:dPr>
          <m:e>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+4</m:t>
            </m:r>
            <m:ctrlPr>
              <w:rPr>
                <w:rFonts w:ascii="Cambria Math" w:hAnsi="Cambria Math" w:eastAsiaTheme="minorEastAsia"/>
                <w:i/>
                <w:iCs/>
                <w:sz w:val="21"/>
                <w:szCs w:val="21"/>
              </w:rPr>
            </m:ctrlPr>
          </m:e>
        </m:d>
        <m:r>
          <m:rPr/>
          <w:rPr>
            <w:rFonts w:ascii="Cambria Math" w:hAnsi="Cambria Math" w:eastAsiaTheme="minorEastAsia"/>
            <w:sz w:val="21"/>
            <w:szCs w:val="21"/>
          </w:rPr>
          <m:t>−4</m:t>
        </m:r>
      </m:oMath>
    </w:p>
    <w:p>
      <w:pPr>
        <w:pStyle w:val="32"/>
        <w:numPr>
          <w:ilvl w:val="0"/>
          <w:numId w:val="13"/>
        </w:numPr>
        <w:spacing w:before="120" w:after="120"/>
        <w:rPr>
          <w:rFonts w:hAnsi="Cambria Math"/>
          <w:iCs/>
        </w:rPr>
      </w:pPr>
      <w:r>
        <w:rPr>
          <w:rFonts w:hint="eastAsia" w:hAnsi="Cambria Math" w:eastAsiaTheme="minorEastAsia"/>
          <w:iCs/>
          <w:sz w:val="21"/>
          <w:szCs w:val="21"/>
        </w:rPr>
        <w:t>A</w:t>
      </w:r>
      <w:r>
        <w:rPr>
          <w:rFonts w:hAnsi="Cambria Math" w:eastAsiaTheme="minorEastAsia"/>
          <w:iCs/>
          <w:sz w:val="21"/>
          <w:szCs w:val="21"/>
        </w:rPr>
        <w:t xml:space="preserve">dditions: </w:t>
      </w:r>
      <m:oMath>
        <m:r>
          <m:rPr>
            <m:sty m:val="p"/>
          </m:rPr>
          <w:rPr>
            <w:rFonts w:ascii="Cambria Math" w:hAnsi="Cambria Math" w:eastAsiaTheme="minorEastAsia"/>
            <w:sz w:val="21"/>
            <w:szCs w:val="21"/>
          </w:rPr>
          <m:t>3</m:t>
        </m:r>
        <m:d>
          <m:dPr>
            <m:ctrlPr>
              <w:rPr>
                <w:rFonts w:ascii="Cambria Math" w:hAnsi="Cambria Math" w:eastAsiaTheme="minorEastAsia"/>
                <w:i/>
                <w:iCs/>
                <w:sz w:val="21"/>
                <w:szCs w:val="21"/>
              </w:rPr>
            </m:ctrlPr>
          </m:dPr>
          <m:e>
            <m:r>
              <m:rPr/>
              <w:rPr>
                <w:rFonts w:ascii="Cambria Math" w:hAnsi="Cambria Math" w:eastAsiaTheme="minorEastAsia"/>
                <w:sz w:val="21"/>
                <w:szCs w:val="21"/>
              </w:rPr>
              <m:t>M−1</m:t>
            </m:r>
            <m:ctrlPr>
              <w:rPr>
                <w:rFonts w:ascii="Cambria Math" w:hAnsi="Cambria Math" w:eastAsiaTheme="minorEastAsia"/>
                <w:i/>
                <w:iCs/>
                <w:sz w:val="21"/>
                <w:szCs w:val="21"/>
              </w:rPr>
            </m:ctrlPr>
          </m:e>
        </m:d>
        <m:r>
          <m:rPr/>
          <w:rPr>
            <w:rFonts w:hint="eastAsia" w:ascii="Cambria Math" w:hAnsi="Cambria Math" w:eastAsiaTheme="minorEastAsia"/>
            <w:sz w:val="21"/>
            <w:szCs w:val="21"/>
          </w:rPr>
          <m:t>+</m:t>
        </m:r>
        <m:d>
          <m:dPr>
            <m:ctrlPr>
              <w:rPr>
                <w:rFonts w:ascii="Cambria Math" w:hAnsi="Cambria Math" w:eastAsiaTheme="minorEastAsia"/>
                <w:i/>
                <w:iCs/>
                <w:sz w:val="21"/>
                <w:szCs w:val="21"/>
              </w:rPr>
            </m:ctrlPr>
          </m:dPr>
          <m:e>
            <m:r>
              <m:rPr/>
              <w:rPr>
                <w:rFonts w:ascii="Cambria Math" w:hAnsi="Cambria Math" w:eastAsiaTheme="minorEastAsia"/>
                <w:sz w:val="21"/>
                <w:szCs w:val="21"/>
              </w:rPr>
              <m:t>M/2−1</m:t>
            </m:r>
            <m:ctrlPr>
              <w:rPr>
                <w:rFonts w:ascii="Cambria Math" w:hAnsi="Cambria Math" w:eastAsiaTheme="minorEastAsia"/>
                <w:i/>
                <w:iCs/>
                <w:sz w:val="21"/>
                <w:szCs w:val="21"/>
              </w:rPr>
            </m:ctrlPr>
          </m:e>
        </m:d>
        <m:r>
          <m:rPr/>
          <w:rPr>
            <w:rFonts w:ascii="Cambria Math" w:hAnsi="Cambria Math" w:eastAsiaTheme="minorEastAsia"/>
            <w:sz w:val="21"/>
            <w:szCs w:val="21"/>
          </w:rPr>
          <m:t>×</m:t>
        </m:r>
        <m:d>
          <m:dPr>
            <m:ctrlPr>
              <w:rPr>
                <w:rFonts w:ascii="Cambria Math" w:hAnsi="Cambria Math" w:eastAsiaTheme="minorEastAsia"/>
                <w:i/>
                <w:iCs/>
                <w:sz w:val="21"/>
                <w:szCs w:val="21"/>
              </w:rPr>
            </m:ctrlPr>
          </m:dPr>
          <m:e>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−2</m:t>
            </m:r>
            <m:ctrlPr>
              <w:rPr>
                <w:rFonts w:ascii="Cambria Math" w:hAnsi="Cambria Math" w:eastAsiaTheme="minorEastAsia"/>
                <w:i/>
                <w:iCs/>
                <w:sz w:val="21"/>
                <w:szCs w:val="21"/>
              </w:rPr>
            </m:ctrlPr>
          </m:e>
        </m:d>
        <m:r>
          <m:rPr/>
          <w:rPr>
            <w:rFonts w:hint="eastAsia" w:ascii="Cambria Math" w:hAnsi="Cambria Math" w:eastAsiaTheme="minorEastAsia"/>
            <w:sz w:val="21"/>
            <w:szCs w:val="21"/>
          </w:rPr>
          <m:t>+</m:t>
        </m:r>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m:t>
        </m:r>
        <m:f>
          <m:fPr>
            <m:type m:val="lin"/>
            <m:ctrlPr>
              <w:rPr>
                <w:rFonts w:ascii="Cambria Math" w:hAnsi="Cambria Math" w:eastAsiaTheme="minorEastAsia"/>
                <w:i/>
                <w:iCs/>
                <w:sz w:val="21"/>
                <w:szCs w:val="21"/>
              </w:rPr>
            </m:ctrlPr>
          </m:fPr>
          <m:num>
            <m:r>
              <m:rPr/>
              <w:rPr>
                <w:rFonts w:ascii="Cambria Math" w:hAnsi="Cambria Math" w:eastAsiaTheme="minorEastAsia"/>
                <w:sz w:val="21"/>
                <w:szCs w:val="21"/>
              </w:rPr>
              <m:t>M</m:t>
            </m:r>
            <m:ctrlPr>
              <w:rPr>
                <w:rFonts w:ascii="Cambria Math" w:hAnsi="Cambria Math" w:eastAsiaTheme="minorEastAsia"/>
                <w:i/>
                <w:iCs/>
                <w:sz w:val="21"/>
                <w:szCs w:val="21"/>
              </w:rPr>
            </m:ctrlPr>
          </m:num>
          <m:den>
            <m:r>
              <m:rPr/>
              <w:rPr>
                <w:rFonts w:ascii="Cambria Math" w:hAnsi="Cambria Math" w:eastAsiaTheme="minorEastAsia"/>
                <w:sz w:val="21"/>
                <w:szCs w:val="21"/>
              </w:rPr>
              <m:t>2</m:t>
            </m:r>
            <m:ctrlPr>
              <w:rPr>
                <w:rFonts w:ascii="Cambria Math" w:hAnsi="Cambria Math" w:eastAsiaTheme="minorEastAsia"/>
                <w:i/>
                <w:iCs/>
                <w:sz w:val="21"/>
                <w:szCs w:val="21"/>
              </w:rPr>
            </m:ctrlPr>
          </m:den>
        </m:f>
        <m:r>
          <m:rPr/>
          <w:rPr>
            <w:rFonts w:ascii="Cambria Math" w:hAnsi="Cambria Math" w:eastAsiaTheme="minorEastAsia"/>
            <w:sz w:val="21"/>
            <w:szCs w:val="21"/>
          </w:rPr>
          <m:t>×</m:t>
        </m:r>
        <m:d>
          <m:dPr>
            <m:ctrlPr>
              <w:rPr>
                <w:rFonts w:ascii="Cambria Math" w:hAnsi="Cambria Math" w:eastAsiaTheme="minorEastAsia"/>
                <w:i/>
                <w:iCs/>
                <w:sz w:val="21"/>
                <w:szCs w:val="21"/>
              </w:rPr>
            </m:ctrlPr>
          </m:dPr>
          <m:e>
            <m:sSub>
              <m:sSubPr>
                <m:ctrlPr>
                  <w:rPr>
                    <w:rFonts w:ascii="Cambria Math" w:hAnsi="Cambria Math" w:eastAsiaTheme="minorEastAsia"/>
                    <w:i/>
                    <w:iCs/>
                    <w:sz w:val="21"/>
                    <w:szCs w:val="21"/>
                  </w:rPr>
                </m:ctrlPr>
              </m:sSubPr>
              <m:e>
                <m:r>
                  <m:rPr/>
                  <w:rPr>
                    <w:rFonts w:ascii="Cambria Math" w:hAnsi="Cambria Math" w:eastAsiaTheme="minorEastAsia"/>
                    <w:sz w:val="21"/>
                    <w:szCs w:val="21"/>
                  </w:rPr>
                  <m:t>Q</m:t>
                </m:r>
                <m:ctrlPr>
                  <w:rPr>
                    <w:rFonts w:ascii="Cambria Math" w:hAnsi="Cambria Math" w:eastAsiaTheme="minorEastAsia"/>
                    <w:i/>
                    <w:iCs/>
                    <w:sz w:val="21"/>
                    <w:szCs w:val="21"/>
                  </w:rPr>
                </m:ctrlPr>
              </m:e>
              <m:sub>
                <m:r>
                  <m:rPr/>
                  <w:rPr>
                    <w:rFonts w:ascii="Cambria Math" w:hAnsi="Cambria Math" w:eastAsiaTheme="minorEastAsia"/>
                    <w:sz w:val="21"/>
                    <w:szCs w:val="21"/>
                  </w:rPr>
                  <m:t>m</m:t>
                </m:r>
                <m:ctrlPr>
                  <w:rPr>
                    <w:rFonts w:ascii="Cambria Math" w:hAnsi="Cambria Math" w:eastAsiaTheme="minorEastAsia"/>
                    <w:i/>
                    <w:iCs/>
                    <w:sz w:val="21"/>
                    <w:szCs w:val="21"/>
                  </w:rPr>
                </m:ctrlPr>
              </m:sub>
            </m:sSub>
            <m:r>
              <m:rPr/>
              <w:rPr>
                <w:rFonts w:ascii="Cambria Math" w:hAnsi="Cambria Math" w:eastAsiaTheme="minorEastAsia"/>
                <w:sz w:val="21"/>
                <w:szCs w:val="21"/>
              </w:rPr>
              <m:t>+4</m:t>
            </m:r>
            <m:ctrlPr>
              <w:rPr>
                <w:rFonts w:ascii="Cambria Math" w:hAnsi="Cambria Math" w:eastAsiaTheme="minorEastAsia"/>
                <w:i/>
                <w:iCs/>
                <w:sz w:val="21"/>
                <w:szCs w:val="21"/>
              </w:rPr>
            </m:ctrlPr>
          </m:e>
        </m:d>
        <m:r>
          <m:rPr/>
          <w:rPr>
            <w:rFonts w:ascii="Cambria Math" w:hAnsi="Cambria Math" w:eastAsiaTheme="minorEastAsia"/>
            <w:sz w:val="21"/>
            <w:szCs w:val="21"/>
          </w:rPr>
          <m:t>−1</m:t>
        </m:r>
      </m:oMath>
    </w:p>
    <w:p>
      <w:pPr>
        <w:spacing w:before="120" w:after="120"/>
        <w:rPr>
          <w:iCs/>
        </w:rPr>
      </w:pPr>
      <w:r>
        <w:rPr>
          <w:iCs/>
        </w:rPr>
        <w:t>For LMMSE MIMO detector, the estimated signal can be expressed as</w:t>
      </w:r>
    </w:p>
    <w:p>
      <w:pPr>
        <w:spacing w:before="120" w:after="120"/>
        <w:rPr>
          <w:b/>
          <w:iCs/>
        </w:rPr>
      </w:pPr>
      <m:oMathPara>
        <m:oMath>
          <m:sSup>
            <m:sSupPr>
              <m:ctrlPr>
                <w:rPr>
                  <w:rFonts w:ascii="Cambria Math" w:hAnsi="Cambria Math"/>
                  <w:iCs/>
                </w:rPr>
              </m:ctrlPr>
            </m:sSupPr>
            <m:e>
              <m:r>
                <m:rPr>
                  <m:sty m:val="bi"/>
                </m:rPr>
                <w:rPr>
                  <w:rFonts w:ascii="Cambria Math" w:hAnsi="Cambria Math"/>
                </w:rPr>
                <m:t>x</m:t>
              </m:r>
              <m:ctrlPr>
                <w:rPr>
                  <w:rFonts w:ascii="Cambria Math" w:hAnsi="Cambria Math"/>
                  <w:iCs/>
                </w:rPr>
              </m:ctrlPr>
            </m:e>
            <m:sup>
              <m:r>
                <m:rPr>
                  <m:sty m:val="p"/>
                </m:rPr>
                <w:rPr>
                  <w:rFonts w:ascii="Cambria Math" w:hAnsi="Cambria Math"/>
                </w:rPr>
                <m:t>'</m:t>
              </m:r>
              <m:ctrlPr>
                <w:rPr>
                  <w:rFonts w:ascii="Cambria Math" w:hAnsi="Cambria Math"/>
                  <w:iCs/>
                </w:rPr>
              </m:ctrlPr>
            </m:sup>
          </m:sSup>
          <m:r>
            <m:rPr>
              <m:sty m:val="p"/>
            </m:rPr>
            <w:rPr>
              <w:rFonts w:ascii="Cambria Math" w:hAnsi="Cambria Math"/>
            </w:rPr>
            <m:t>=</m:t>
          </m:r>
          <m:r>
            <m:rPr>
              <m:sty m:val="bi"/>
            </m:rPr>
            <w:rPr>
              <w:rFonts w:ascii="Cambria Math" w:hAnsi="Cambria Math"/>
            </w:rPr>
            <m:t>Wy</m:t>
          </m:r>
        </m:oMath>
      </m:oMathPara>
    </w:p>
    <w:p>
      <w:pPr>
        <w:spacing w:before="120" w:after="120"/>
        <w:rPr>
          <w:iCs/>
        </w:rPr>
      </w:pPr>
      <w:r>
        <w:rPr>
          <w:rFonts w:hint="eastAsia"/>
          <w:iCs/>
        </w:rPr>
        <w:t>w</w:t>
      </w:r>
      <w:r>
        <w:rPr>
          <w:iCs/>
        </w:rPr>
        <w:t xml:space="preserve">here </w:t>
      </w:r>
      <m:oMath>
        <m:r>
          <m:rPr>
            <m:sty m:val="bi"/>
          </m:rPr>
          <w:rPr>
            <w:rFonts w:hint="eastAsia" w:ascii="Cambria Math" w:hAnsi="Cambria Math"/>
            <w:szCs w:val="24"/>
          </w:rPr>
          <m:t>y</m:t>
        </m:r>
        <m:r>
          <m:rPr>
            <m:sty m:val="p"/>
          </m:rPr>
          <w:rPr>
            <w:rFonts w:ascii="Cambria Math" w:hAnsi="Cambria Math"/>
            <w:szCs w:val="24"/>
          </w:rPr>
          <m:t>∈</m:t>
        </m:r>
        <m:sSup>
          <m:sSupPr>
            <m:ctrlPr>
              <w:rPr>
                <w:rFonts w:ascii="Cambria Math" w:hAnsi="Cambria Math"/>
                <w:szCs w:val="24"/>
              </w:rPr>
            </m:ctrlPr>
          </m:sSupPr>
          <m:e>
            <m:r>
              <m:rPr>
                <m:sty m:val="p"/>
              </m:rPr>
              <w:rPr>
                <w:rFonts w:hint="eastAsia" w:ascii="Cambria Math" w:hAnsi="Cambria Math"/>
                <w:szCs w:val="24"/>
              </w:rPr>
              <m:t>C</m:t>
            </m:r>
            <m:ctrlPr>
              <w:rPr>
                <w:rFonts w:ascii="Cambria Math" w:hAnsi="Cambria Math"/>
                <w:szCs w:val="24"/>
              </w:rPr>
            </m:ctrlPr>
          </m:e>
          <m:sup>
            <m:sSub>
              <m:sSubPr>
                <m:ctrlPr>
                  <w:rPr>
                    <w:rFonts w:ascii="Cambria Math" w:hAnsi="Cambria Math"/>
                    <w:szCs w:val="24"/>
                  </w:rPr>
                </m:ctrlPr>
              </m:sSubPr>
              <m:e>
                <m:r>
                  <m:rPr>
                    <m:sty m:val="p"/>
                  </m:rPr>
                  <w:rPr>
                    <w:rFonts w:hint="eastAsia" w:ascii="Cambria Math" w:hAnsi="Cambria Math"/>
                    <w:szCs w:val="24"/>
                  </w:rPr>
                  <m:t>N</m:t>
                </m:r>
                <m:ctrlPr>
                  <w:rPr>
                    <w:rFonts w:ascii="Cambria Math" w:hAnsi="Cambria Math"/>
                    <w:szCs w:val="24"/>
                  </w:rPr>
                </m:ctrlPr>
              </m:e>
              <m:sub>
                <m:r>
                  <m:rPr>
                    <m:sty m:val="p"/>
                  </m:rPr>
                  <w:rPr>
                    <w:rFonts w:hint="eastAsia" w:ascii="Cambria Math" w:hAnsi="Cambria Math"/>
                    <w:szCs w:val="24"/>
                  </w:rPr>
                  <m:t>r</m:t>
                </m:r>
                <m:ctrlPr>
                  <w:rPr>
                    <w:rFonts w:ascii="Cambria Math" w:hAnsi="Cambria Math"/>
                    <w:szCs w:val="24"/>
                  </w:rPr>
                </m:ctrlPr>
              </m:sub>
            </m:sSub>
            <m:r>
              <m:rPr>
                <m:sty m:val="p"/>
              </m:rPr>
              <w:rPr>
                <w:rFonts w:ascii="Cambria Math" w:hAnsi="Cambria Math"/>
                <w:szCs w:val="24"/>
              </w:rPr>
              <m:t>×</m:t>
            </m:r>
            <m:r>
              <m:rPr>
                <m:sty m:val="p"/>
              </m:rPr>
              <w:rPr>
                <w:rFonts w:hint="eastAsia" w:ascii="Cambria Math" w:hAnsi="Cambria Math"/>
                <w:szCs w:val="24"/>
              </w:rPr>
              <m:t>1</m:t>
            </m:r>
            <m:ctrlPr>
              <w:rPr>
                <w:rFonts w:ascii="Cambria Math" w:hAnsi="Cambria Math"/>
                <w:szCs w:val="24"/>
              </w:rPr>
            </m:ctrlPr>
          </m:sup>
        </m:sSup>
      </m:oMath>
      <w:r>
        <w:rPr>
          <w:iCs/>
        </w:rPr>
        <w:t xml:space="preserve"> denotes the received signal, </w:t>
      </w:r>
      <m:oMath>
        <m:sSub>
          <m:sSubPr>
            <m:ctrlPr>
              <w:rPr>
                <w:rFonts w:ascii="Cambria Math" w:hAnsi="Cambria Math"/>
                <w:szCs w:val="24"/>
              </w:rPr>
            </m:ctrlPr>
          </m:sSubPr>
          <m:e>
            <m:r>
              <m:rPr>
                <m:sty m:val="p"/>
              </m:rPr>
              <w:rPr>
                <w:rFonts w:hint="eastAsia" w:ascii="Cambria Math" w:hAnsi="Cambria Math"/>
                <w:szCs w:val="24"/>
              </w:rPr>
              <m:t>N</m:t>
            </m:r>
            <m:ctrlPr>
              <w:rPr>
                <w:rFonts w:ascii="Cambria Math" w:hAnsi="Cambria Math"/>
                <w:szCs w:val="24"/>
              </w:rPr>
            </m:ctrlPr>
          </m:e>
          <m:sub>
            <m:r>
              <m:rPr>
                <m:sty m:val="p"/>
              </m:rPr>
              <w:rPr>
                <w:rFonts w:hint="eastAsia" w:ascii="Cambria Math" w:hAnsi="Cambria Math"/>
                <w:szCs w:val="24"/>
              </w:rPr>
              <m:t>r</m:t>
            </m:r>
            <m:ctrlPr>
              <w:rPr>
                <w:rFonts w:ascii="Cambria Math" w:hAnsi="Cambria Math"/>
                <w:szCs w:val="24"/>
              </w:rPr>
            </m:ctrlPr>
          </m:sub>
        </m:sSub>
      </m:oMath>
      <w:r>
        <w:rPr>
          <w:rFonts w:hint="eastAsia" w:hAnsi="Cambria Math"/>
          <w:szCs w:val="24"/>
        </w:rPr>
        <w:t xml:space="preserve"> </w:t>
      </w:r>
      <w:r>
        <w:rPr>
          <w:iCs/>
        </w:rPr>
        <w:t>denotes the number of received antennas, the</w:t>
      </w:r>
      <w:r>
        <w:rPr>
          <w:rFonts w:hint="eastAsia"/>
          <w:iCs/>
        </w:rPr>
        <w:t xml:space="preserve"> weight</w:t>
      </w:r>
      <w:r>
        <w:rPr>
          <w:iCs/>
        </w:rPr>
        <w:t xml:space="preserve"> </w:t>
      </w:r>
      <w:r>
        <w:rPr>
          <w:rFonts w:hint="eastAsia"/>
          <w:iCs/>
        </w:rPr>
        <w:t xml:space="preserve">matrix </w:t>
      </w:r>
      <w:r>
        <w:rPr>
          <w:b/>
          <w:i/>
          <w:iCs/>
        </w:rPr>
        <w:t>W</w:t>
      </w:r>
      <w:r>
        <w:rPr>
          <w:iCs/>
        </w:rPr>
        <w:t xml:space="preserve"> is expressed as</w:t>
      </w:r>
    </w:p>
    <w:p>
      <w:pPr>
        <w:spacing w:before="120" w:after="120"/>
      </w:pPr>
      <m:oMathPara>
        <m:oMath>
          <m:r>
            <m:rPr>
              <m:sty m:val="bi"/>
            </m:rPr>
            <w:rPr>
              <w:rFonts w:ascii="Cambria Math" w:hAnsi="Cambria Math"/>
              <w:kern w:val="0"/>
              <w:sz w:val="20"/>
            </w:rPr>
            <m:t>W</m:t>
          </m:r>
          <m:r>
            <m:rPr>
              <m:sty m:val="p"/>
            </m:rPr>
            <w:rPr>
              <w:rFonts w:ascii="Cambria Math" w:hAnsi="Cambria Math"/>
              <w:kern w:val="0"/>
              <w:sz w:val="20"/>
            </w:rPr>
            <m:t>=</m:t>
          </m:r>
          <m:sSup>
            <m:sSupPr>
              <m:ctrlPr>
                <w:rPr>
                  <w:rFonts w:ascii="Cambria Math" w:hAnsi="Cambria Math"/>
                  <w:kern w:val="0"/>
                  <w:sz w:val="20"/>
                </w:rPr>
              </m:ctrlPr>
            </m:sSupPr>
            <m:e>
              <m:d>
                <m:dPr>
                  <m:ctrlPr>
                    <w:rPr>
                      <w:rFonts w:ascii="Cambria Math" w:hAnsi="Cambria Math"/>
                      <w:kern w:val="0"/>
                      <w:sz w:val="20"/>
                    </w:rPr>
                  </m:ctrlPr>
                </m:dPr>
                <m:e>
                  <m:sSup>
                    <m:sSupPr>
                      <m:ctrlPr>
                        <w:rPr>
                          <w:rFonts w:ascii="Cambria Math" w:hAnsi="Cambria Math"/>
                          <w:kern w:val="0"/>
                          <w:sz w:val="20"/>
                        </w:rPr>
                      </m:ctrlPr>
                    </m:sSupPr>
                    <m:e>
                      <m:r>
                        <m:rPr>
                          <m:sty m:val="bi"/>
                        </m:rPr>
                        <w:rPr>
                          <w:rFonts w:ascii="Cambria Math" w:hAnsi="Cambria Math"/>
                          <w:kern w:val="0"/>
                          <w:sz w:val="20"/>
                        </w:rPr>
                        <m:t>H</m:t>
                      </m:r>
                      <m:ctrlPr>
                        <w:rPr>
                          <w:rFonts w:ascii="Cambria Math" w:hAnsi="Cambria Math"/>
                          <w:kern w:val="0"/>
                          <w:sz w:val="20"/>
                        </w:rPr>
                      </m:ctrlPr>
                    </m:e>
                    <m:sup>
                      <m:r>
                        <m:rPr>
                          <m:sty m:val="p"/>
                        </m:rPr>
                        <w:rPr>
                          <w:rFonts w:hint="eastAsia" w:ascii="Cambria Math" w:hAnsi="Cambria Math"/>
                          <w:kern w:val="0"/>
                          <w:sz w:val="20"/>
                        </w:rPr>
                        <m:t>H</m:t>
                      </m:r>
                      <m:ctrlPr>
                        <w:rPr>
                          <w:rFonts w:ascii="Cambria Math" w:hAnsi="Cambria Math"/>
                          <w:kern w:val="0"/>
                          <w:sz w:val="20"/>
                        </w:rPr>
                      </m:ctrlPr>
                    </m:sup>
                  </m:sSup>
                  <m:r>
                    <m:rPr>
                      <m:sty m:val="bi"/>
                    </m:rPr>
                    <w:rPr>
                      <w:rFonts w:ascii="Cambria Math" w:hAnsi="Cambria Math"/>
                      <w:kern w:val="0"/>
                      <w:sz w:val="20"/>
                    </w:rPr>
                    <m:t>H</m:t>
                  </m:r>
                  <m:r>
                    <m:rPr>
                      <m:sty m:val="p"/>
                    </m:rPr>
                    <w:rPr>
                      <w:rFonts w:hint="eastAsia" w:ascii="Cambria Math" w:hAnsi="Cambria Math"/>
                      <w:kern w:val="0"/>
                      <w:sz w:val="20"/>
                    </w:rPr>
                    <m:t>+</m:t>
                  </m:r>
                  <m:f>
                    <m:fPr>
                      <m:ctrlPr>
                        <w:rPr>
                          <w:rFonts w:hint="eastAsia" w:ascii="Cambria Math" w:hAnsi="Cambria Math"/>
                          <w:kern w:val="0"/>
                          <w:sz w:val="20"/>
                        </w:rPr>
                      </m:ctrlPr>
                    </m:fPr>
                    <m:num>
                      <m:r>
                        <m:rPr>
                          <m:sty m:val="p"/>
                        </m:rPr>
                        <w:rPr>
                          <w:rFonts w:ascii="Cambria Math" w:hAnsi="Cambria Math"/>
                          <w:kern w:val="0"/>
                          <w:sz w:val="20"/>
                        </w:rPr>
                        <m:t>1</m:t>
                      </m:r>
                      <m:ctrlPr>
                        <w:rPr>
                          <w:rFonts w:hint="eastAsia" w:ascii="Cambria Math" w:hAnsi="Cambria Math"/>
                          <w:kern w:val="0"/>
                          <w:sz w:val="20"/>
                        </w:rPr>
                      </m:ctrlPr>
                    </m:num>
                    <m:den>
                      <m:r>
                        <m:rPr>
                          <m:sty m:val="p"/>
                        </m:rPr>
                        <w:rPr>
                          <w:rFonts w:hint="eastAsia" w:ascii="Cambria Math" w:hAnsi="Cambria Math"/>
                          <w:szCs w:val="24"/>
                        </w:rPr>
                        <m:t>SNR</m:t>
                      </m:r>
                      <m:ctrlPr>
                        <w:rPr>
                          <w:rFonts w:hint="eastAsia" w:ascii="Cambria Math" w:hAnsi="Cambria Math"/>
                          <w:kern w:val="0"/>
                          <w:sz w:val="20"/>
                        </w:rPr>
                      </m:ctrlPr>
                    </m:den>
                  </m:f>
                  <m:r>
                    <m:rPr>
                      <m:sty m:val="p"/>
                    </m:rPr>
                    <w:rPr>
                      <w:rFonts w:ascii="Cambria Math" w:hAnsi="Cambria Math"/>
                      <w:kern w:val="0"/>
                      <w:sz w:val="20"/>
                    </w:rPr>
                    <m:t>∙</m:t>
                  </m:r>
                  <m:sSub>
                    <m:sSubPr>
                      <m:ctrlPr>
                        <w:rPr>
                          <w:rFonts w:ascii="Cambria Math" w:hAnsi="Cambria Math"/>
                          <w:kern w:val="0"/>
                          <w:sz w:val="20"/>
                        </w:rPr>
                      </m:ctrlPr>
                    </m:sSubPr>
                    <m:e>
                      <m:r>
                        <m:rPr/>
                        <w:rPr>
                          <w:rFonts w:ascii="Cambria Math" w:hAnsi="Cambria Math"/>
                          <w:kern w:val="0"/>
                          <w:sz w:val="20"/>
                        </w:rPr>
                        <m:t>I</m:t>
                      </m:r>
                      <m:ctrlPr>
                        <w:rPr>
                          <w:rFonts w:ascii="Cambria Math" w:hAnsi="Cambria Math"/>
                          <w:kern w:val="0"/>
                          <w:sz w:val="20"/>
                        </w:rPr>
                      </m:ctrlPr>
                    </m:e>
                    <m:sub>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t</m:t>
                          </m:r>
                          <m:ctrlPr>
                            <w:rPr>
                              <w:rFonts w:ascii="Cambria Math" w:hAnsi="Cambria Math"/>
                              <w:kern w:val="0"/>
                              <w:sz w:val="20"/>
                            </w:rPr>
                          </m:ctrlPr>
                        </m:sub>
                      </m:sSub>
                      <m:ctrlPr>
                        <w:rPr>
                          <w:rFonts w:ascii="Cambria Math" w:hAnsi="Cambria Math"/>
                          <w:kern w:val="0"/>
                          <w:sz w:val="20"/>
                        </w:rPr>
                      </m:ctrlPr>
                    </m:sub>
                  </m:sSub>
                  <m:ctrlPr>
                    <w:rPr>
                      <w:rFonts w:ascii="Cambria Math" w:hAnsi="Cambria Math"/>
                      <w:kern w:val="0"/>
                      <w:sz w:val="20"/>
                    </w:rPr>
                  </m:ctrlPr>
                </m:e>
              </m:d>
              <m:ctrlPr>
                <w:rPr>
                  <w:rFonts w:ascii="Cambria Math" w:hAnsi="Cambria Math"/>
                  <w:kern w:val="0"/>
                  <w:sz w:val="20"/>
                </w:rPr>
              </m:ctrlPr>
            </m:e>
            <m:sup>
              <m:r>
                <m:rPr>
                  <m:sty m:val="p"/>
                </m:rPr>
                <w:rPr>
                  <w:rFonts w:ascii="Cambria Math" w:hAnsi="Cambria Math"/>
                  <w:kern w:val="0"/>
                  <w:sz w:val="20"/>
                </w:rPr>
                <m:t>−1</m:t>
              </m:r>
              <m:ctrlPr>
                <w:rPr>
                  <w:rFonts w:ascii="Cambria Math" w:hAnsi="Cambria Math"/>
                  <w:kern w:val="0"/>
                  <w:sz w:val="20"/>
                </w:rPr>
              </m:ctrlPr>
            </m:sup>
          </m:sSup>
          <m:sSup>
            <m:sSupPr>
              <m:ctrlPr>
                <w:rPr>
                  <w:rFonts w:ascii="Cambria Math" w:hAnsi="Cambria Math"/>
                  <w:kern w:val="0"/>
                  <w:sz w:val="20"/>
                </w:rPr>
              </m:ctrlPr>
            </m:sSupPr>
            <m:e>
              <m:r>
                <m:rPr>
                  <m:sty m:val="bi"/>
                </m:rPr>
                <w:rPr>
                  <w:rFonts w:ascii="Cambria Math" w:hAnsi="Cambria Math"/>
                  <w:kern w:val="0"/>
                  <w:sz w:val="20"/>
                </w:rPr>
                <m:t>H</m:t>
              </m:r>
              <m:ctrlPr>
                <w:rPr>
                  <w:rFonts w:ascii="Cambria Math" w:hAnsi="Cambria Math"/>
                  <w:kern w:val="0"/>
                  <w:sz w:val="20"/>
                </w:rPr>
              </m:ctrlPr>
            </m:e>
            <m:sup>
              <m:r>
                <m:rPr>
                  <m:sty m:val="p"/>
                </m:rPr>
                <w:rPr>
                  <w:rFonts w:hint="eastAsia" w:ascii="Cambria Math" w:hAnsi="Cambria Math"/>
                  <w:kern w:val="0"/>
                  <w:sz w:val="20"/>
                </w:rPr>
                <m:t>H</m:t>
              </m:r>
              <m:ctrlPr>
                <w:rPr>
                  <w:rFonts w:ascii="Cambria Math" w:hAnsi="Cambria Math"/>
                  <w:kern w:val="0"/>
                  <w:sz w:val="20"/>
                </w:rPr>
              </m:ctrlPr>
            </m:sup>
          </m:sSup>
        </m:oMath>
      </m:oMathPara>
    </w:p>
    <w:p>
      <w:pPr>
        <w:spacing w:before="120" w:after="120"/>
        <w:rPr>
          <w:iCs/>
        </w:rPr>
      </w:pPr>
      <w:r>
        <w:rPr>
          <w:iCs/>
        </w:rPr>
        <w:t xml:space="preserve">where </w:t>
      </w:r>
      <m:oMath>
        <m:r>
          <m:rPr>
            <m:sty m:val="bi"/>
          </m:rPr>
          <w:rPr>
            <w:rFonts w:hint="eastAsia" w:ascii="Cambria Math" w:hAnsi="Cambria Math"/>
            <w:szCs w:val="24"/>
          </w:rPr>
          <m:t>H</m:t>
        </m:r>
        <m:r>
          <m:rPr>
            <m:sty m:val="p"/>
          </m:rPr>
          <w:rPr>
            <w:rFonts w:ascii="Cambria Math" w:hAnsi="Cambria Math"/>
            <w:szCs w:val="24"/>
          </w:rPr>
          <m:t>∈</m:t>
        </m:r>
        <m:sSup>
          <m:sSupPr>
            <m:ctrlPr>
              <w:rPr>
                <w:rFonts w:ascii="Cambria Math" w:hAnsi="Cambria Math"/>
                <w:szCs w:val="24"/>
              </w:rPr>
            </m:ctrlPr>
          </m:sSupPr>
          <m:e>
            <m:r>
              <m:rPr>
                <m:sty m:val="p"/>
              </m:rPr>
              <w:rPr>
                <w:rFonts w:hint="eastAsia" w:ascii="Cambria Math" w:hAnsi="Cambria Math"/>
                <w:szCs w:val="24"/>
              </w:rPr>
              <m:t>C</m:t>
            </m:r>
            <m:ctrlPr>
              <w:rPr>
                <w:rFonts w:ascii="Cambria Math" w:hAnsi="Cambria Math"/>
                <w:szCs w:val="24"/>
              </w:rPr>
            </m:ctrlPr>
          </m:e>
          <m:sup>
            <m:sSub>
              <m:sSubPr>
                <m:ctrlPr>
                  <w:rPr>
                    <w:rFonts w:ascii="Cambria Math" w:hAnsi="Cambria Math"/>
                    <w:szCs w:val="24"/>
                  </w:rPr>
                </m:ctrlPr>
              </m:sSubPr>
              <m:e>
                <m:r>
                  <m:rPr>
                    <m:sty m:val="p"/>
                  </m:rPr>
                  <w:rPr>
                    <w:rFonts w:hint="eastAsia" w:ascii="Cambria Math" w:hAnsi="Cambria Math"/>
                    <w:szCs w:val="24"/>
                  </w:rPr>
                  <m:t>N</m:t>
                </m:r>
                <m:ctrlPr>
                  <w:rPr>
                    <w:rFonts w:ascii="Cambria Math" w:hAnsi="Cambria Math"/>
                    <w:szCs w:val="24"/>
                  </w:rPr>
                </m:ctrlPr>
              </m:e>
              <m:sub>
                <m:r>
                  <m:rPr>
                    <m:sty m:val="p"/>
                  </m:rPr>
                  <w:rPr>
                    <w:rFonts w:hint="eastAsia" w:ascii="Cambria Math" w:hAnsi="Cambria Math"/>
                    <w:szCs w:val="24"/>
                  </w:rPr>
                  <m:t>r</m:t>
                </m:r>
                <m:ctrlPr>
                  <w:rPr>
                    <w:rFonts w:ascii="Cambria Math" w:hAnsi="Cambria Math"/>
                    <w:szCs w:val="24"/>
                  </w:rPr>
                </m:ctrlPr>
              </m:sub>
            </m:sSub>
            <m:r>
              <m:rPr>
                <m:sty m:val="p"/>
              </m:rPr>
              <w:rPr>
                <w:rFonts w:ascii="Cambria Math" w:hAnsi="Cambria Math"/>
                <w:szCs w:val="24"/>
              </w:rPr>
              <m:t>×</m:t>
            </m:r>
            <m:sSub>
              <m:sSubPr>
                <m:ctrlPr>
                  <w:rPr>
                    <w:rFonts w:ascii="Cambria Math" w:hAnsi="Cambria Math"/>
                    <w:szCs w:val="24"/>
                  </w:rPr>
                </m:ctrlPr>
              </m:sSubPr>
              <m:e>
                <m:r>
                  <m:rPr>
                    <m:sty m:val="p"/>
                  </m:rPr>
                  <w:rPr>
                    <w:rFonts w:hint="eastAsia" w:ascii="Cambria Math" w:hAnsi="Cambria Math"/>
                    <w:szCs w:val="24"/>
                  </w:rPr>
                  <m:t>N</m:t>
                </m:r>
                <m:ctrlPr>
                  <w:rPr>
                    <w:rFonts w:ascii="Cambria Math" w:hAnsi="Cambria Math"/>
                    <w:szCs w:val="24"/>
                  </w:rPr>
                </m:ctrlPr>
              </m:e>
              <m:sub>
                <m:r>
                  <m:rPr>
                    <m:sty m:val="p"/>
                  </m:rPr>
                  <w:rPr>
                    <w:rFonts w:hint="eastAsia" w:ascii="Cambria Math" w:hAnsi="Cambria Math"/>
                    <w:szCs w:val="24"/>
                  </w:rPr>
                  <m:t>t</m:t>
                </m:r>
                <m:ctrlPr>
                  <w:rPr>
                    <w:rFonts w:ascii="Cambria Math" w:hAnsi="Cambria Math"/>
                    <w:szCs w:val="24"/>
                  </w:rPr>
                </m:ctrlPr>
              </m:sub>
            </m:sSub>
            <m:ctrlPr>
              <w:rPr>
                <w:rFonts w:ascii="Cambria Math" w:hAnsi="Cambria Math"/>
                <w:szCs w:val="24"/>
              </w:rPr>
            </m:ctrlPr>
          </m:sup>
        </m:sSup>
      </m:oMath>
      <w:r>
        <w:rPr>
          <w:iCs/>
        </w:rPr>
        <w:t xml:space="preserve"> denotes the </w:t>
      </w:r>
      <w:r>
        <w:rPr>
          <w:rFonts w:hint="eastAsia"/>
          <w:iCs/>
        </w:rPr>
        <w:t xml:space="preserve">equivalent </w:t>
      </w:r>
      <w:r>
        <w:rPr>
          <w:iCs/>
        </w:rPr>
        <w:t>channel</w:t>
      </w:r>
      <w:r>
        <w:rPr>
          <w:rFonts w:hint="eastAsia"/>
          <w:iCs/>
        </w:rPr>
        <w:t xml:space="preserve"> combining both the real channel and MIMO precoder</w:t>
      </w:r>
      <w:r>
        <w:rPr>
          <w:iCs/>
        </w:rPr>
        <w:t xml:space="preserve">, </w:t>
      </w:r>
      <m:oMath>
        <m:sSub>
          <m:sSubPr>
            <m:ctrlPr>
              <w:rPr>
                <w:rFonts w:ascii="Cambria Math" w:hAnsi="Cambria Math"/>
                <w:szCs w:val="24"/>
              </w:rPr>
            </m:ctrlPr>
          </m:sSubPr>
          <m:e>
            <m:r>
              <m:rPr>
                <m:sty m:val="p"/>
              </m:rPr>
              <w:rPr>
                <w:rFonts w:hint="eastAsia" w:ascii="Cambria Math" w:hAnsi="Cambria Math"/>
                <w:szCs w:val="24"/>
              </w:rPr>
              <m:t>N</m:t>
            </m:r>
            <m:ctrlPr>
              <w:rPr>
                <w:rFonts w:ascii="Cambria Math" w:hAnsi="Cambria Math"/>
                <w:szCs w:val="24"/>
              </w:rPr>
            </m:ctrlPr>
          </m:e>
          <m:sub>
            <m:r>
              <m:rPr>
                <m:sty m:val="p"/>
              </m:rPr>
              <w:rPr>
                <w:rFonts w:hint="eastAsia" w:ascii="Cambria Math" w:hAnsi="Cambria Math"/>
                <w:szCs w:val="24"/>
              </w:rPr>
              <m:t>t</m:t>
            </m:r>
            <m:ctrlPr>
              <w:rPr>
                <w:rFonts w:ascii="Cambria Math" w:hAnsi="Cambria Math"/>
                <w:szCs w:val="24"/>
              </w:rPr>
            </m:ctrlPr>
          </m:sub>
        </m:sSub>
      </m:oMath>
      <w:r>
        <w:rPr>
          <w:iCs/>
        </w:rPr>
        <w:t xml:space="preserve"> denotes the number of </w:t>
      </w:r>
      <w:r>
        <w:rPr>
          <w:rFonts w:hint="eastAsia"/>
          <w:iCs/>
        </w:rPr>
        <w:t xml:space="preserve">spatial layers </w:t>
      </w:r>
      <w:r>
        <w:rPr>
          <w:iCs/>
        </w:rPr>
        <w:t>and SNR denotes the signal-to-noise ratio. In order to estimate the received signal,</w:t>
      </w:r>
    </w:p>
    <w:p>
      <w:pPr>
        <w:numPr>
          <w:ilvl w:val="0"/>
          <w:numId w:val="15"/>
        </w:numPr>
        <w:spacing w:before="120" w:after="120"/>
      </w:pPr>
      <w:r>
        <w:rPr>
          <w:rFonts w:hint="eastAsia"/>
        </w:rPr>
        <w:t xml:space="preserve">Computing the weight </w:t>
      </w:r>
      <w:r>
        <w:rPr>
          <w:rFonts w:hint="eastAsia"/>
          <w:iCs/>
        </w:rPr>
        <w:t xml:space="preserve">matrix </w:t>
      </w:r>
      <w:r>
        <w:rPr>
          <w:b/>
          <w:i/>
          <w:iCs/>
        </w:rPr>
        <w:t>W</w:t>
      </w:r>
      <w:r>
        <w:rPr>
          <w:b/>
        </w:rPr>
        <w:t>,</w:t>
      </w:r>
      <w:r>
        <w:rPr>
          <w:rFonts w:hint="eastAsia"/>
          <w:b/>
          <w:i/>
          <w:iCs/>
        </w:rPr>
        <w:t xml:space="preserve"> </w:t>
      </w:r>
      <w:r>
        <w:rPr>
          <w:iCs/>
        </w:rPr>
        <w:t xml:space="preserve">it needs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hint="eastAsia" w:ascii="Cambria Math" w:hAnsi="Cambria Math"/>
              </w:rPr>
              <m:t>t</m:t>
            </m:r>
            <m:ctrlPr>
              <w:rPr>
                <w:rFonts w:ascii="Cambria Math" w:hAnsi="Cambria Math"/>
              </w:rPr>
            </m:ctrlPr>
          </m:sub>
        </m:sSub>
        <m:r>
          <m:rPr>
            <m:sty m:val="p"/>
          </m:rPr>
          <w:rPr>
            <w:rFonts w:ascii="Cambria Math" w:hAnsi="Cambria Math"/>
          </w:rPr>
          <m:t>+1</m:t>
        </m:r>
      </m:oMath>
      <w:r>
        <w:rPr>
          <w:rFonts w:hint="eastAsia"/>
        </w:rPr>
        <w:t xml:space="preserve"> </w:t>
      </w:r>
      <w:r>
        <w:t xml:space="preserve">division operations, </w:t>
      </w:r>
      <m:oMath>
        <m:r>
          <m:rPr>
            <m:sty m:val="p"/>
          </m:rPr>
          <w:rPr>
            <w:rFonts w:ascii="Cambria Math" w:hAnsi="Cambria Math"/>
            <w:kern w:val="0"/>
            <w:sz w:val="20"/>
          </w:rPr>
          <m:t>4</m:t>
        </m:r>
        <m:sSubSup>
          <m:sSubSupPr>
            <m:ctrlPr>
              <w:rPr>
                <w:rFonts w:ascii="Cambria Math" w:hAnsi="Cambria Math"/>
                <w:i/>
                <w:kern w:val="0"/>
                <w:sz w:val="20"/>
              </w:rPr>
            </m:ctrlPr>
          </m:sSubSupPr>
          <m:e>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3</m:t>
            </m:r>
            <m:ctrlPr>
              <w:rPr>
                <w:rFonts w:ascii="Cambria Math" w:hAnsi="Cambria Math"/>
                <w:i/>
                <w:kern w:val="0"/>
                <w:sz w:val="20"/>
              </w:rPr>
            </m:ctrlPr>
          </m:sup>
        </m:sSubSup>
        <m:r>
          <m:rPr/>
          <w:rPr>
            <w:rFonts w:hint="eastAsia" w:ascii="Cambria Math" w:hAnsi="Cambria Math"/>
            <w:kern w:val="0"/>
            <w:sz w:val="20"/>
          </w:rPr>
          <m:t>+</m:t>
        </m:r>
        <m:r>
          <m:rPr>
            <m:sty m:val="p"/>
          </m:rPr>
          <w:rPr>
            <w:rFonts w:ascii="Cambria Math" w:hAnsi="Cambria Math"/>
            <w:kern w:val="0"/>
            <w:sz w:val="20"/>
          </w:rPr>
          <m:t>8</m:t>
        </m:r>
        <m:sSubSup>
          <m:sSubSupPr>
            <m:ctrlPr>
              <w:rPr>
                <w:rFonts w:ascii="Cambria Math" w:hAnsi="Cambria Math"/>
                <w:i/>
                <w:kern w:val="0"/>
                <w:sz w:val="20"/>
              </w:rPr>
            </m:ctrlPr>
          </m:sSubSupPr>
          <m:e>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2</m:t>
            </m:r>
            <m:ctrlPr>
              <w:rPr>
                <w:rFonts w:ascii="Cambria Math" w:hAnsi="Cambria Math"/>
                <w:i/>
                <w:kern w:val="0"/>
                <w:sz w:val="20"/>
              </w:rPr>
            </m:ctrlPr>
          </m:sup>
        </m:sSubSup>
        <m:r>
          <m:rPr>
            <m:sty m:val="p"/>
          </m:rPr>
          <w:rPr>
            <w:rFonts w:ascii="Cambria Math" w:hAnsi="Cambria Math"/>
            <w:kern w:val="0"/>
            <w:sz w:val="20"/>
          </w:rPr>
          <m:t xml:space="preserve"> </m:t>
        </m:r>
      </m:oMath>
      <w:r>
        <w:rPr>
          <w:rFonts w:hint="eastAsia"/>
        </w:rPr>
        <w:t>multiplication</w:t>
      </w:r>
      <w:r>
        <w:t xml:space="preserve"> operations and </w:t>
      </w:r>
      <m:oMath>
        <m:r>
          <m:rPr>
            <m:sty m:val="p"/>
          </m:rPr>
          <w:rPr>
            <w:rFonts w:ascii="Cambria Math" w:hAnsi="Cambria Math"/>
            <w:kern w:val="0"/>
            <w:sz w:val="20"/>
          </w:rPr>
          <m:t>4</m:t>
        </m:r>
        <m:sSubSup>
          <m:sSubSupPr>
            <m:ctrlPr>
              <w:rPr>
                <w:rFonts w:ascii="Cambria Math" w:hAnsi="Cambria Math"/>
                <w:i/>
                <w:kern w:val="0"/>
                <w:sz w:val="20"/>
              </w:rPr>
            </m:ctrlPr>
          </m:sSubSupPr>
          <m:e>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3</m:t>
            </m:r>
            <m:ctrlPr>
              <w:rPr>
                <w:rFonts w:ascii="Cambria Math" w:hAnsi="Cambria Math"/>
                <w:i/>
                <w:kern w:val="0"/>
                <w:sz w:val="20"/>
              </w:rPr>
            </m:ctrlPr>
          </m:sup>
        </m:sSubSup>
        <m:r>
          <m:rPr/>
          <w:rPr>
            <w:rFonts w:hint="eastAsia" w:ascii="Cambria Math" w:hAnsi="Cambria Math"/>
            <w:kern w:val="0"/>
            <w:sz w:val="20"/>
          </w:rPr>
          <m:t>+</m:t>
        </m:r>
        <m:d>
          <m:dPr>
            <m:ctrlPr>
              <w:rPr>
                <w:rFonts w:ascii="Cambria Math" w:hAnsi="Cambria Math"/>
                <w:i/>
                <w:kern w:val="0"/>
                <w:sz w:val="20"/>
              </w:rPr>
            </m:ctrlPr>
          </m:dPr>
          <m:e>
            <m:sSub>
              <m:sSubPr>
                <m:ctrlPr>
                  <w:rPr>
                    <w:rFonts w:ascii="Cambria Math" w:hAnsi="Cambria Math"/>
                    <w:kern w:val="0"/>
                    <w:sz w:val="20"/>
                  </w:rPr>
                </m:ctrlPr>
              </m:sSubPr>
              <m:e>
                <m:r>
                  <m:rPr/>
                  <w:rPr>
                    <w:rFonts w:hint="eastAsia" w:ascii="Cambria Math" w:hAnsi="Cambria Math"/>
                    <w:kern w:val="0"/>
                    <w:sz w:val="20"/>
                  </w:rPr>
                  <m:t>8</m:t>
                </m:r>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m:sty m:val="p"/>
              </m:rPr>
              <w:rPr>
                <w:rFonts w:ascii="Cambria Math" w:hAnsi="Cambria Math"/>
                <w:kern w:val="0"/>
                <w:sz w:val="20"/>
              </w:rPr>
              <m:t>−</m:t>
            </m:r>
            <m:r>
              <m:rPr>
                <m:sty m:val="p"/>
              </m:rPr>
              <w:rPr>
                <w:rFonts w:hint="eastAsia" w:ascii="Cambria Math" w:hAnsi="Cambria Math"/>
                <w:kern w:val="0"/>
                <w:sz w:val="20"/>
              </w:rPr>
              <m:t>5</m:t>
            </m:r>
            <m:ctrlPr>
              <w:rPr>
                <w:rFonts w:ascii="Cambria Math" w:hAnsi="Cambria Math"/>
                <w:i/>
                <w:kern w:val="0"/>
                <w:sz w:val="20"/>
              </w:rPr>
            </m:ctrlPr>
          </m:e>
        </m:d>
        <m:sSubSup>
          <m:sSubSupPr>
            <m:ctrlPr>
              <w:rPr>
                <w:rFonts w:ascii="Cambria Math" w:hAnsi="Cambria Math"/>
                <w:i/>
                <w:kern w:val="0"/>
                <w:sz w:val="20"/>
              </w:rPr>
            </m:ctrlPr>
          </m:sSubSupPr>
          <m:e>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2</m:t>
            </m:r>
            <m:ctrlPr>
              <w:rPr>
                <w:rFonts w:ascii="Cambria Math" w:hAnsi="Cambria Math"/>
                <w:i/>
                <w:kern w:val="0"/>
                <w:sz w:val="20"/>
              </w:rPr>
            </m:ctrlPr>
          </m:sup>
        </m:sSubSup>
        <m:r>
          <m:rPr/>
          <w:rPr>
            <w:rFonts w:ascii="Cambria Math" w:hAnsi="Cambria Math"/>
            <w:kern w:val="0"/>
            <w:sz w:val="20"/>
          </w:rPr>
          <m:t>−</m:t>
        </m:r>
        <m:d>
          <m:dPr>
            <m:ctrlPr>
              <w:rPr>
                <w:rFonts w:ascii="Cambria Math" w:hAnsi="Cambria Math"/>
                <w:i/>
                <w:kern w:val="0"/>
                <w:sz w:val="20"/>
              </w:rPr>
            </m:ctrlPr>
          </m:dPr>
          <m:e>
            <m:r>
              <m:rPr/>
              <w:rPr>
                <w:rFonts w:hint="eastAsia" w:ascii="Cambria Math" w:hAnsi="Cambria Math"/>
                <w:kern w:val="0"/>
                <w:sz w:val="20"/>
              </w:rPr>
              <m:t>2</m:t>
            </m:r>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m:sty m:val="p"/>
              </m:rPr>
              <w:rPr>
                <w:rFonts w:ascii="Cambria Math" w:hAnsi="Cambria Math"/>
                <w:kern w:val="0"/>
                <w:sz w:val="20"/>
              </w:rPr>
              <m:t>−1</m:t>
            </m:r>
            <m:ctrlPr>
              <w:rPr>
                <w:rFonts w:ascii="Cambria Math" w:hAnsi="Cambria Math"/>
                <w:i/>
                <w:kern w:val="0"/>
                <w:sz w:val="20"/>
              </w:rPr>
            </m:ctrlPr>
          </m:e>
        </m:d>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t</m:t>
            </m:r>
            <m:ctrlPr>
              <w:rPr>
                <w:rFonts w:ascii="Cambria Math" w:hAnsi="Cambria Math"/>
                <w:kern w:val="0"/>
                <w:sz w:val="20"/>
              </w:rPr>
            </m:ctrlPr>
          </m:sub>
        </m:sSub>
      </m:oMath>
      <w:r>
        <w:rPr>
          <w:rFonts w:hint="eastAsia" w:hAnsi="Cambria Math"/>
        </w:rPr>
        <w:t xml:space="preserve"> </w:t>
      </w:r>
      <w:r>
        <w:t>addition operations, when Gaussian elimination is used to calculate the inverse of a matrix.</w:t>
      </w:r>
    </w:p>
    <w:p>
      <w:pPr>
        <w:numPr>
          <w:ilvl w:val="0"/>
          <w:numId w:val="15"/>
        </w:numPr>
        <w:spacing w:before="120" w:after="120"/>
      </w:pPr>
      <w:r>
        <w:rPr>
          <w:rFonts w:hint="eastAsia"/>
        </w:rPr>
        <w:t xml:space="preserve">Computing </w:t>
      </w:r>
      <m:oMath>
        <m:sSup>
          <m:sSupPr>
            <m:ctrlPr>
              <w:rPr>
                <w:rFonts w:ascii="Cambria Math" w:hAnsi="Cambria Math"/>
                <w:iCs/>
              </w:rPr>
            </m:ctrlPr>
          </m:sSupPr>
          <m:e>
            <m:r>
              <m:rPr>
                <m:sty m:val="bi"/>
              </m:rPr>
              <w:rPr>
                <w:rFonts w:ascii="Cambria Math" w:hAnsi="Cambria Math"/>
              </w:rPr>
              <m:t>x</m:t>
            </m:r>
            <m:ctrlPr>
              <w:rPr>
                <w:rFonts w:ascii="Cambria Math" w:hAnsi="Cambria Math"/>
                <w:iCs/>
              </w:rPr>
            </m:ctrlPr>
          </m:e>
          <m:sup>
            <m:r>
              <m:rPr>
                <m:sty m:val="p"/>
              </m:rPr>
              <w:rPr>
                <w:rFonts w:ascii="Cambria Math" w:hAnsi="Cambria Math"/>
              </w:rPr>
              <m:t>'</m:t>
            </m:r>
            <m:ctrlPr>
              <w:rPr>
                <w:rFonts w:ascii="Cambria Math" w:hAnsi="Cambria Math"/>
                <w:iCs/>
              </w:rPr>
            </m:ctrlPr>
          </m:sup>
        </m:sSup>
        <m:r>
          <m:rPr>
            <m:sty m:val="p"/>
          </m:rPr>
          <w:rPr>
            <w:rFonts w:ascii="Cambria Math" w:hAnsi="Cambria Math"/>
          </w:rPr>
          <m:t>=</m:t>
        </m:r>
        <m:r>
          <m:rPr>
            <m:sty m:val="bi"/>
          </m:rPr>
          <w:rPr>
            <w:rFonts w:ascii="Cambria Math" w:hAnsi="Cambria Math"/>
          </w:rPr>
          <m:t>Wy</m:t>
        </m:r>
      </m:oMath>
      <w:r>
        <w:rPr>
          <w:rFonts w:hAnsi="Cambria Math"/>
          <w:bCs/>
        </w:rPr>
        <w:t>,</w:t>
      </w:r>
      <w:r>
        <w:rPr>
          <w:rFonts w:hint="eastAsia" w:hAnsi="Cambria Math"/>
          <w:bCs/>
        </w:rPr>
        <w:t xml:space="preserve"> </w:t>
      </w:r>
      <w:r>
        <w:rPr>
          <w:iCs/>
        </w:rPr>
        <w:t xml:space="preserve">it needs </w:t>
      </w:r>
      <m:oMath>
        <m:r>
          <m:rPr>
            <m:sty m:val="p"/>
          </m:rPr>
          <w:rPr>
            <w:rFonts w:ascii="Cambria Math" w:hAnsi="Cambria Math"/>
            <w:kern w:val="0"/>
            <w:sz w:val="20"/>
          </w:rPr>
          <m:t>4</m:t>
        </m:r>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t</m:t>
            </m:r>
            <m:ctrlPr>
              <w:rPr>
                <w:rFonts w:ascii="Cambria Math" w:hAnsi="Cambria Math"/>
                <w:kern w:val="0"/>
                <w:sz w:val="20"/>
              </w:rPr>
            </m:ctrlPr>
          </m:sub>
        </m:sSub>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ascii="Cambria Math" w:hAnsi="Cambria Math"/>
                <w:kern w:val="0"/>
                <w:sz w:val="20"/>
              </w:rPr>
              <m:t>r</m:t>
            </m:r>
            <m:ctrlPr>
              <w:rPr>
                <w:rFonts w:ascii="Cambria Math" w:hAnsi="Cambria Math"/>
                <w:kern w:val="0"/>
                <w:sz w:val="20"/>
              </w:rPr>
            </m:ctrlPr>
          </m:sub>
        </m:sSub>
      </m:oMath>
      <w:r>
        <w:rPr>
          <w:rFonts w:hint="eastAsia" w:hAnsi="Cambria Math"/>
          <w:kern w:val="0"/>
          <w:sz w:val="20"/>
        </w:rPr>
        <w:t xml:space="preserve"> </w:t>
      </w:r>
      <w:r>
        <w:rPr>
          <w:rFonts w:hint="eastAsia"/>
        </w:rPr>
        <w:t>multiplication</w:t>
      </w:r>
      <w:r>
        <w:t xml:space="preserve"> operations and </w:t>
      </w:r>
      <m:oMath>
        <m:r>
          <m:rPr>
            <m:sty m:val="p"/>
          </m:rPr>
          <w:rPr>
            <w:rFonts w:hint="eastAsia" w:ascii="Cambria Math" w:hAnsi="Cambria Math"/>
            <w:kern w:val="0"/>
            <w:sz w:val="20"/>
          </w:rPr>
          <m:t>2</m:t>
        </m:r>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t</m:t>
            </m:r>
            <m:ctrlPr>
              <w:rPr>
                <w:rFonts w:ascii="Cambria Math" w:hAnsi="Cambria Math"/>
                <w:kern w:val="0"/>
                <w:sz w:val="20"/>
              </w:rPr>
            </m:ctrlPr>
          </m:sub>
        </m:sSub>
        <m:d>
          <m:dPr>
            <m:ctrlPr>
              <w:rPr>
                <w:rFonts w:ascii="Cambria Math" w:hAnsi="Cambria Math"/>
                <w:i/>
                <w:kern w:val="0"/>
                <w:sz w:val="20"/>
              </w:rPr>
            </m:ctrlPr>
          </m:dPr>
          <m:e>
            <m:sSub>
              <m:sSubPr>
                <m:ctrlPr>
                  <w:rPr>
                    <w:rFonts w:ascii="Cambria Math" w:hAnsi="Cambria Math"/>
                    <w:kern w:val="0"/>
                    <w:sz w:val="20"/>
                  </w:rPr>
                </m:ctrlPr>
              </m:sSubPr>
              <m:e>
                <m:r>
                  <m:rPr/>
                  <w:rPr>
                    <w:rFonts w:ascii="Cambria Math" w:hAnsi="Cambria Math"/>
                    <w:kern w:val="0"/>
                    <w:sz w:val="20"/>
                  </w:rPr>
                  <m:t>2N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m:sty m:val="p"/>
              </m:rPr>
              <w:rPr>
                <w:rFonts w:ascii="Cambria Math" w:hAnsi="Cambria Math"/>
                <w:kern w:val="0"/>
                <w:sz w:val="20"/>
              </w:rPr>
              <m:t>−1</m:t>
            </m:r>
            <m:ctrlPr>
              <w:rPr>
                <w:rFonts w:ascii="Cambria Math" w:hAnsi="Cambria Math"/>
                <w:i/>
                <w:kern w:val="0"/>
                <w:sz w:val="20"/>
              </w:rPr>
            </m:ctrlPr>
          </m:e>
        </m:d>
      </m:oMath>
      <w:r>
        <w:rPr>
          <w:rFonts w:hint="eastAsia" w:hAnsi="Cambria Math"/>
        </w:rPr>
        <w:t xml:space="preserve"> </w:t>
      </w:r>
      <w:r>
        <w:t>addition operations</w:t>
      </w:r>
      <w:r>
        <w:rPr>
          <w:rFonts w:hint="eastAsia"/>
        </w:rPr>
        <w:t>.</w:t>
      </w:r>
    </w:p>
    <w:p>
      <w:pPr>
        <w:numPr>
          <w:ilvl w:val="255"/>
          <w:numId w:val="0"/>
        </w:numPr>
        <w:spacing w:before="120" w:after="120"/>
      </w:pPr>
      <w:r>
        <w:rPr>
          <w:rFonts w:hint="eastAsia"/>
        </w:rPr>
        <w:t xml:space="preserve">For detection over a transport block: The weight matrix </w:t>
      </w:r>
      <w:r>
        <w:rPr>
          <w:b/>
          <w:i/>
          <w:iCs/>
        </w:rPr>
        <w:t>W</w:t>
      </w:r>
      <w:r>
        <w:rPr>
          <w:rFonts w:hint="eastAsia"/>
        </w:rPr>
        <w:t xml:space="preserve"> is computed once per coherence interval (i.e., every </w:t>
      </w:r>
      <m:oMath>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coℎerent</m:t>
            </m:r>
            <m:ctrlPr>
              <w:rPr>
                <w:rFonts w:ascii="Cambria Math" w:hAnsi="Cambria Math"/>
                <w:bCs/>
                <w:i/>
              </w:rPr>
            </m:ctrlPr>
          </m:sub>
        </m:sSub>
      </m:oMath>
      <w:r>
        <w:rPr>
          <w:rFonts w:hint="eastAsia"/>
        </w:rPr>
        <w:t xml:space="preserve"> resource elements, where </w:t>
      </w:r>
      <m:oMath>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coℎerent</m:t>
            </m:r>
            <m:ctrlPr>
              <w:rPr>
                <w:rFonts w:ascii="Cambria Math" w:hAnsi="Cambria Math"/>
                <w:bCs/>
                <w:i/>
              </w:rPr>
            </m:ctrlPr>
          </m:sub>
        </m:sSub>
      </m:oMath>
      <w:r>
        <w:rPr>
          <w:rFonts w:hint="eastAsia"/>
        </w:rPr>
        <w:t xml:space="preserve"> is the number of REs within a coherent time-frequency region). For example, </w:t>
      </w:r>
      <m:oMath>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coℎerent</m:t>
            </m:r>
            <m:ctrlPr>
              <w:rPr>
                <w:rFonts w:ascii="Cambria Math" w:hAnsi="Cambria Math"/>
                <w:bCs/>
                <w:i/>
              </w:rPr>
            </m:ctrlPr>
          </m:sub>
        </m:sSub>
      </m:oMath>
      <w:r>
        <w:rPr>
          <w:rFonts w:hint="eastAsia" w:hAnsi="Cambria Math"/>
          <w:bCs/>
        </w:rPr>
        <w:t xml:space="preserve"> </w:t>
      </w:r>
      <w:r>
        <w:rPr>
          <w:rFonts w:hint="eastAsia"/>
        </w:rPr>
        <w:t xml:space="preserve">can be set as the number of REs in a resource block (RB). The signal estimation </w:t>
      </w:r>
      <m:oMath>
        <m:sSup>
          <m:sSupPr>
            <m:ctrlPr>
              <w:rPr>
                <w:rFonts w:ascii="Cambria Math" w:hAnsi="Cambria Math"/>
                <w:iCs/>
              </w:rPr>
            </m:ctrlPr>
          </m:sSupPr>
          <m:e>
            <m:r>
              <m:rPr>
                <m:sty m:val="bi"/>
              </m:rPr>
              <w:rPr>
                <w:rFonts w:ascii="Cambria Math" w:hAnsi="Cambria Math"/>
              </w:rPr>
              <m:t>x</m:t>
            </m:r>
            <m:ctrlPr>
              <w:rPr>
                <w:rFonts w:ascii="Cambria Math" w:hAnsi="Cambria Math"/>
                <w:iCs/>
              </w:rPr>
            </m:ctrlPr>
          </m:e>
          <m:sup>
            <m:r>
              <m:rPr>
                <m:sty m:val="p"/>
              </m:rPr>
              <w:rPr>
                <w:rFonts w:ascii="Cambria Math" w:hAnsi="Cambria Math"/>
              </w:rPr>
              <m:t>'</m:t>
            </m:r>
            <m:ctrlPr>
              <w:rPr>
                <w:rFonts w:ascii="Cambria Math" w:hAnsi="Cambria Math"/>
                <w:iCs/>
              </w:rPr>
            </m:ctrlPr>
          </m:sup>
        </m:sSup>
        <m:r>
          <m:rPr>
            <m:sty m:val="p"/>
          </m:rPr>
          <w:rPr>
            <w:rFonts w:ascii="Cambria Math" w:hAnsi="Cambria Math"/>
          </w:rPr>
          <m:t>=</m:t>
        </m:r>
        <m:r>
          <m:rPr>
            <m:sty m:val="bi"/>
          </m:rPr>
          <w:rPr>
            <w:rFonts w:ascii="Cambria Math" w:hAnsi="Cambria Math"/>
          </w:rPr>
          <m:t>Wy</m:t>
        </m:r>
      </m:oMath>
      <w:r>
        <w:rPr>
          <w:rFonts w:hint="eastAsia"/>
        </w:rPr>
        <w:t xml:space="preserve"> is performed for each RE.</w:t>
      </w:r>
    </w:p>
    <w:p>
      <w:pPr>
        <w:numPr>
          <w:ilvl w:val="255"/>
          <w:numId w:val="0"/>
        </w:numPr>
        <w:spacing w:before="120" w:after="120"/>
        <w:rPr>
          <w:rFonts w:hAnsi="Cambria Math"/>
          <w:bCs/>
        </w:rPr>
      </w:pPr>
      <w:r>
        <w:rPr>
          <w:rFonts w:hint="eastAsia"/>
        </w:rPr>
        <w:t xml:space="preserve">Thus, for a transport block occupying </w:t>
      </w:r>
      <m:oMath>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RE</m:t>
            </m:r>
            <m:ctrlPr>
              <w:rPr>
                <w:rFonts w:ascii="Cambria Math" w:hAnsi="Cambria Math"/>
                <w:bCs/>
                <w:i/>
              </w:rPr>
            </m:ctrlPr>
          </m:sub>
        </m:sSub>
      </m:oMath>
      <w:r>
        <w:rPr>
          <w:rFonts w:hint="eastAsia"/>
        </w:rPr>
        <w:t xml:space="preserve"> REs, the total number of operations </w:t>
      </w:r>
      <w:r>
        <w:rPr>
          <w:rFonts w:hint="eastAsia" w:hAnsi="Cambria Math"/>
          <w:bCs/>
        </w:rPr>
        <w:t>for MIMO detection is</w:t>
      </w:r>
    </w:p>
    <w:p>
      <w:pPr>
        <w:numPr>
          <w:ilvl w:val="0"/>
          <w:numId w:val="16"/>
        </w:numPr>
        <w:spacing w:before="120" w:after="120"/>
        <w:rPr>
          <w:rFonts w:hAnsi="Cambria Math"/>
          <w:bCs/>
        </w:rPr>
      </w:pPr>
      <m:oMath>
        <m:d>
          <m:dPr>
            <m:ctrlPr>
              <w:rPr>
                <w:rFonts w:ascii="Cambria Math" w:hAnsi="Cambria Math"/>
                <w:bCs/>
                <w:i/>
              </w:rPr>
            </m:ctrlPr>
          </m:dPr>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hint="eastAsia" w:ascii="Cambria Math" w:hAnsi="Cambria Math"/>
                  </w:rPr>
                  <m:t>t</m:t>
                </m:r>
                <m:ctrlPr>
                  <w:rPr>
                    <w:rFonts w:ascii="Cambria Math" w:hAnsi="Cambria Math"/>
                  </w:rPr>
                </m:ctrlPr>
              </m:sub>
            </m:sSub>
            <m:r>
              <m:rPr>
                <m:sty m:val="p"/>
              </m:rPr>
              <w:rPr>
                <w:rFonts w:ascii="Cambria Math" w:hAnsi="Cambria Math"/>
              </w:rPr>
              <m:t>+1</m:t>
            </m:r>
            <m:ctrlPr>
              <w:rPr>
                <w:rFonts w:ascii="Cambria Math" w:hAnsi="Cambria Math"/>
                <w:bCs/>
                <w:i/>
              </w:rPr>
            </m:ctrlPr>
          </m:e>
        </m:d>
        <m:r>
          <m:rPr/>
          <w:rPr>
            <w:rFonts w:ascii="Cambria Math" w:hAnsi="Cambria Math"/>
          </w:rPr>
          <m:t>×</m:t>
        </m:r>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RE</m:t>
                    </m:r>
                    <m:ctrlPr>
                      <w:rPr>
                        <w:rFonts w:ascii="Cambria Math" w:hAnsi="Cambria Math"/>
                        <w:bCs/>
                        <w:i/>
                      </w:rPr>
                    </m:ctrlPr>
                  </m:sub>
                </m:sSub>
                <m:ctrlPr>
                  <w:rPr>
                    <w:rFonts w:ascii="Cambria Math" w:hAnsi="Cambria Math"/>
                    <w:bCs/>
                    <w:i/>
                  </w:rPr>
                </m:ctrlPr>
              </m:num>
              <m:den>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coℎerent</m:t>
                    </m:r>
                    <m:ctrlPr>
                      <w:rPr>
                        <w:rFonts w:ascii="Cambria Math" w:hAnsi="Cambria Math"/>
                        <w:bCs/>
                        <w:i/>
                      </w:rPr>
                    </m:ctrlPr>
                  </m:sub>
                </m:sSub>
                <m:ctrlPr>
                  <w:rPr>
                    <w:rFonts w:ascii="Cambria Math" w:hAnsi="Cambria Math"/>
                    <w:bCs/>
                    <w:i/>
                  </w:rPr>
                </m:ctrlPr>
              </m:den>
            </m:f>
            <m:ctrlPr>
              <w:rPr>
                <w:rFonts w:ascii="Cambria Math" w:hAnsi="Cambria Math"/>
                <w:bCs/>
                <w:i/>
              </w:rPr>
            </m:ctrlPr>
          </m:e>
        </m:d>
      </m:oMath>
      <w:r>
        <w:rPr>
          <w:rFonts w:hint="eastAsia" w:hAnsi="Cambria Math"/>
          <w:bCs/>
        </w:rPr>
        <w:t xml:space="preserve"> division operations.</w:t>
      </w:r>
    </w:p>
    <w:p>
      <w:pPr>
        <w:numPr>
          <w:ilvl w:val="0"/>
          <w:numId w:val="16"/>
        </w:numPr>
        <w:spacing w:before="120" w:after="120"/>
        <w:rPr>
          <w:rFonts w:hAnsi="Cambria Math"/>
          <w:bCs/>
        </w:rPr>
      </w:pPr>
      <m:oMath>
        <m:d>
          <m:dPr>
            <m:ctrlPr>
              <w:rPr>
                <w:rFonts w:ascii="Cambria Math" w:hAnsi="Cambria Math"/>
                <w:bCs/>
                <w:i/>
              </w:rPr>
            </m:ctrlPr>
          </m:dPr>
          <m:e>
            <m:r>
              <m:rPr>
                <m:sty m:val="p"/>
              </m:rPr>
              <w:rPr>
                <w:rFonts w:ascii="Cambria Math" w:hAnsi="Cambria Math"/>
                <w:kern w:val="0"/>
                <w:sz w:val="20"/>
              </w:rPr>
              <m:t>4</m:t>
            </m:r>
            <m:sSubSup>
              <m:sSubSupPr>
                <m:ctrlPr>
                  <w:rPr>
                    <w:rFonts w:ascii="Cambria Math" w:hAnsi="Cambria Math"/>
                    <w:i/>
                    <w:kern w:val="0"/>
                    <w:sz w:val="20"/>
                  </w:rPr>
                </m:ctrlPr>
              </m:sSubSupPr>
              <m:e>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3</m:t>
                </m:r>
                <m:ctrlPr>
                  <w:rPr>
                    <w:rFonts w:ascii="Cambria Math" w:hAnsi="Cambria Math"/>
                    <w:i/>
                    <w:kern w:val="0"/>
                    <w:sz w:val="20"/>
                  </w:rPr>
                </m:ctrlPr>
              </m:sup>
            </m:sSubSup>
            <m:r>
              <m:rPr/>
              <w:rPr>
                <w:rFonts w:hint="eastAsia" w:ascii="Cambria Math" w:hAnsi="Cambria Math"/>
                <w:kern w:val="0"/>
                <w:sz w:val="20"/>
              </w:rPr>
              <m:t>+</m:t>
            </m:r>
            <m:r>
              <m:rPr>
                <m:sty m:val="p"/>
              </m:rPr>
              <w:rPr>
                <w:rFonts w:ascii="Cambria Math" w:hAnsi="Cambria Math"/>
                <w:kern w:val="0"/>
                <w:sz w:val="20"/>
              </w:rPr>
              <m:t>8</m:t>
            </m:r>
            <m:sSubSup>
              <m:sSubSupPr>
                <m:ctrlPr>
                  <w:rPr>
                    <w:rFonts w:ascii="Cambria Math" w:hAnsi="Cambria Math"/>
                    <w:i/>
                    <w:kern w:val="0"/>
                    <w:sz w:val="20"/>
                  </w:rPr>
                </m:ctrlPr>
              </m:sSubSupPr>
              <m:e>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2</m:t>
                </m:r>
                <m:ctrlPr>
                  <w:rPr>
                    <w:rFonts w:ascii="Cambria Math" w:hAnsi="Cambria Math"/>
                    <w:i/>
                    <w:kern w:val="0"/>
                    <w:sz w:val="20"/>
                  </w:rPr>
                </m:ctrlPr>
              </m:sup>
            </m:sSubSup>
            <m:ctrlPr>
              <w:rPr>
                <w:rFonts w:ascii="Cambria Math" w:hAnsi="Cambria Math"/>
                <w:bCs/>
                <w:i/>
              </w:rPr>
            </m:ctrlPr>
          </m:e>
        </m:d>
        <m:r>
          <m:rPr/>
          <w:rPr>
            <w:rFonts w:ascii="Cambria Math" w:hAnsi="Cambria Math"/>
          </w:rPr>
          <m:t>×</m:t>
        </m:r>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RE</m:t>
                    </m:r>
                    <m:ctrlPr>
                      <w:rPr>
                        <w:rFonts w:ascii="Cambria Math" w:hAnsi="Cambria Math"/>
                        <w:bCs/>
                        <w:i/>
                      </w:rPr>
                    </m:ctrlPr>
                  </m:sub>
                </m:sSub>
                <m:ctrlPr>
                  <w:rPr>
                    <w:rFonts w:ascii="Cambria Math" w:hAnsi="Cambria Math"/>
                    <w:bCs/>
                    <w:i/>
                  </w:rPr>
                </m:ctrlPr>
              </m:num>
              <m:den>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coℎerent</m:t>
                    </m:r>
                    <m:ctrlPr>
                      <w:rPr>
                        <w:rFonts w:ascii="Cambria Math" w:hAnsi="Cambria Math"/>
                        <w:bCs/>
                        <w:i/>
                      </w:rPr>
                    </m:ctrlPr>
                  </m:sub>
                </m:sSub>
                <m:ctrlPr>
                  <w:rPr>
                    <w:rFonts w:ascii="Cambria Math" w:hAnsi="Cambria Math"/>
                    <w:bCs/>
                    <w:i/>
                  </w:rPr>
                </m:ctrlPr>
              </m:den>
            </m:f>
            <m:ctrlPr>
              <w:rPr>
                <w:rFonts w:ascii="Cambria Math" w:hAnsi="Cambria Math"/>
                <w:bCs/>
                <w:i/>
              </w:rPr>
            </m:ctrlPr>
          </m:e>
        </m:d>
        <m:r>
          <m:rPr/>
          <w:rPr>
            <w:rFonts w:ascii="Cambria Math" w:hAnsi="Cambria Math"/>
          </w:rPr>
          <m:t>+</m:t>
        </m:r>
        <m:r>
          <m:rPr>
            <m:sty m:val="p"/>
          </m:rPr>
          <w:rPr>
            <w:rFonts w:ascii="Cambria Math" w:hAnsi="Cambria Math"/>
            <w:kern w:val="0"/>
            <w:sz w:val="20"/>
          </w:rPr>
          <m:t>4</m:t>
        </m:r>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t</m:t>
            </m:r>
            <m:ctrlPr>
              <w:rPr>
                <w:rFonts w:ascii="Cambria Math" w:hAnsi="Cambria Math"/>
                <w:kern w:val="0"/>
                <w:sz w:val="20"/>
              </w:rPr>
            </m:ctrlPr>
          </m:sub>
        </m:sSub>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ascii="Cambria Math" w:hAnsi="Cambria Math"/>
                <w:kern w:val="0"/>
                <w:sz w:val="20"/>
              </w:rPr>
              <m:t>r</m:t>
            </m:r>
            <m:ctrlPr>
              <w:rPr>
                <w:rFonts w:ascii="Cambria Math" w:hAnsi="Cambria Math"/>
                <w:kern w:val="0"/>
                <w:sz w:val="20"/>
              </w:rPr>
            </m:ctrlPr>
          </m:sub>
        </m:sSub>
        <m:r>
          <m:rPr/>
          <w:rPr>
            <w:rFonts w:ascii="Cambria Math" w:hAnsi="Cambria Math"/>
          </w:rPr>
          <m:t>×</m:t>
        </m:r>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RE</m:t>
            </m:r>
            <m:ctrlPr>
              <w:rPr>
                <w:rFonts w:ascii="Cambria Math" w:hAnsi="Cambria Math"/>
                <w:bCs/>
                <w:i/>
              </w:rPr>
            </m:ctrlPr>
          </m:sub>
        </m:sSub>
      </m:oMath>
      <w:r>
        <w:rPr>
          <w:rFonts w:hint="eastAsia" w:hAnsi="Cambria Math"/>
          <w:bCs/>
        </w:rPr>
        <w:t xml:space="preserve"> </w:t>
      </w:r>
      <w:r>
        <w:rPr>
          <w:rFonts w:hint="eastAsia"/>
        </w:rPr>
        <w:t>multiplication</w:t>
      </w:r>
      <w:r>
        <w:t xml:space="preserve"> operations</w:t>
      </w:r>
      <w:r>
        <w:rPr>
          <w:rFonts w:hint="eastAsia"/>
        </w:rPr>
        <w:t>.</w:t>
      </w:r>
    </w:p>
    <w:p>
      <w:pPr>
        <w:numPr>
          <w:ilvl w:val="0"/>
          <w:numId w:val="16"/>
        </w:numPr>
        <w:spacing w:before="120" w:after="120"/>
        <w:rPr>
          <w:rFonts w:hAnsi="Cambria Math"/>
          <w:bCs/>
        </w:rPr>
      </w:pPr>
      <m:oMath>
        <m:d>
          <m:dPr>
            <m:ctrlPr>
              <w:rPr>
                <w:rFonts w:ascii="Cambria Math" w:hAnsi="Cambria Math"/>
                <w:bCs/>
                <w:i/>
              </w:rPr>
            </m:ctrlPr>
          </m:dPr>
          <m:e>
            <m:r>
              <m:rPr>
                <m:sty m:val="p"/>
              </m:rPr>
              <w:rPr>
                <w:rFonts w:ascii="Cambria Math" w:hAnsi="Cambria Math"/>
                <w:kern w:val="0"/>
                <w:sz w:val="20"/>
              </w:rPr>
              <m:t>4</m:t>
            </m:r>
            <m:sSubSup>
              <m:sSubSupPr>
                <m:ctrlPr>
                  <w:rPr>
                    <w:rFonts w:ascii="Cambria Math" w:hAnsi="Cambria Math"/>
                    <w:i/>
                    <w:kern w:val="0"/>
                    <w:sz w:val="20"/>
                  </w:rPr>
                </m:ctrlPr>
              </m:sSubSupPr>
              <m:e>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3</m:t>
                </m:r>
                <m:ctrlPr>
                  <w:rPr>
                    <w:rFonts w:ascii="Cambria Math" w:hAnsi="Cambria Math"/>
                    <w:i/>
                    <w:kern w:val="0"/>
                    <w:sz w:val="20"/>
                  </w:rPr>
                </m:ctrlPr>
              </m:sup>
            </m:sSubSup>
            <m:r>
              <m:rPr/>
              <w:rPr>
                <w:rFonts w:hint="eastAsia" w:ascii="Cambria Math" w:hAnsi="Cambria Math"/>
                <w:kern w:val="0"/>
                <w:sz w:val="20"/>
              </w:rPr>
              <m:t>+</m:t>
            </m:r>
            <m:d>
              <m:dPr>
                <m:ctrlPr>
                  <w:rPr>
                    <w:rFonts w:ascii="Cambria Math" w:hAnsi="Cambria Math"/>
                    <w:i/>
                    <w:kern w:val="0"/>
                    <w:sz w:val="20"/>
                  </w:rPr>
                </m:ctrlPr>
              </m:dPr>
              <m:e>
                <m:sSub>
                  <m:sSubPr>
                    <m:ctrlPr>
                      <w:rPr>
                        <w:rFonts w:ascii="Cambria Math" w:hAnsi="Cambria Math"/>
                        <w:kern w:val="0"/>
                        <w:sz w:val="20"/>
                      </w:rPr>
                    </m:ctrlPr>
                  </m:sSubPr>
                  <m:e>
                    <m:r>
                      <m:rPr/>
                      <w:rPr>
                        <w:rFonts w:hint="eastAsia" w:ascii="Cambria Math" w:hAnsi="Cambria Math"/>
                        <w:kern w:val="0"/>
                        <w:sz w:val="20"/>
                      </w:rPr>
                      <m:t>8</m:t>
                    </m:r>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m:sty m:val="p"/>
                  </m:rPr>
                  <w:rPr>
                    <w:rFonts w:ascii="Cambria Math" w:hAnsi="Cambria Math"/>
                    <w:kern w:val="0"/>
                    <w:sz w:val="20"/>
                  </w:rPr>
                  <m:t>−</m:t>
                </m:r>
                <m:r>
                  <m:rPr>
                    <m:sty m:val="p"/>
                  </m:rPr>
                  <w:rPr>
                    <w:rFonts w:hint="eastAsia" w:ascii="Cambria Math" w:hAnsi="Cambria Math"/>
                    <w:kern w:val="0"/>
                    <w:sz w:val="20"/>
                  </w:rPr>
                  <m:t>5</m:t>
                </m:r>
                <m:ctrlPr>
                  <w:rPr>
                    <w:rFonts w:ascii="Cambria Math" w:hAnsi="Cambria Math"/>
                    <w:i/>
                    <w:kern w:val="0"/>
                    <w:sz w:val="20"/>
                  </w:rPr>
                </m:ctrlPr>
              </m:e>
            </m:d>
            <m:sSubSup>
              <m:sSubSupPr>
                <m:ctrlPr>
                  <w:rPr>
                    <w:rFonts w:ascii="Cambria Math" w:hAnsi="Cambria Math"/>
                    <w:i/>
                    <w:kern w:val="0"/>
                    <w:sz w:val="20"/>
                  </w:rPr>
                </m:ctrlPr>
              </m:sSubSupPr>
              <m:e>
                <m:r>
                  <m:rPr/>
                  <w:rPr>
                    <w:rFonts w:ascii="Cambria Math" w:hAnsi="Cambria Math"/>
                    <w:kern w:val="0"/>
                    <w:sz w:val="20"/>
                  </w:rPr>
                  <m:t>N</m:t>
                </m:r>
                <m:ctrlPr>
                  <w:rPr>
                    <w:rFonts w:ascii="Cambria Math" w:hAnsi="Cambria Math"/>
                    <w:i/>
                    <w:kern w:val="0"/>
                    <w:sz w:val="20"/>
                  </w:rPr>
                </m:ctrlPr>
              </m:e>
              <m:sub>
                <m:r>
                  <m:rPr/>
                  <w:rPr>
                    <w:rFonts w:ascii="Cambria Math" w:hAnsi="Cambria Math"/>
                    <w:kern w:val="0"/>
                    <w:sz w:val="20"/>
                  </w:rPr>
                  <m:t>t</m:t>
                </m:r>
                <m:ctrlPr>
                  <w:rPr>
                    <w:rFonts w:ascii="Cambria Math" w:hAnsi="Cambria Math"/>
                    <w:i/>
                    <w:kern w:val="0"/>
                    <w:sz w:val="20"/>
                  </w:rPr>
                </m:ctrlPr>
              </m:sub>
              <m:sup>
                <m:r>
                  <m:rPr/>
                  <w:rPr>
                    <w:rFonts w:ascii="Cambria Math" w:hAnsi="Cambria Math"/>
                    <w:kern w:val="0"/>
                    <w:sz w:val="20"/>
                  </w:rPr>
                  <m:t>2</m:t>
                </m:r>
                <m:ctrlPr>
                  <w:rPr>
                    <w:rFonts w:ascii="Cambria Math" w:hAnsi="Cambria Math"/>
                    <w:i/>
                    <w:kern w:val="0"/>
                    <w:sz w:val="20"/>
                  </w:rPr>
                </m:ctrlPr>
              </m:sup>
            </m:sSubSup>
            <m:r>
              <m:rPr/>
              <w:rPr>
                <w:rFonts w:ascii="Cambria Math" w:hAnsi="Cambria Math"/>
                <w:kern w:val="0"/>
                <w:sz w:val="20"/>
              </w:rPr>
              <m:t>−</m:t>
            </m:r>
            <m:d>
              <m:dPr>
                <m:ctrlPr>
                  <w:rPr>
                    <w:rFonts w:ascii="Cambria Math" w:hAnsi="Cambria Math"/>
                    <w:i/>
                    <w:kern w:val="0"/>
                    <w:sz w:val="20"/>
                  </w:rPr>
                </m:ctrlPr>
              </m:dPr>
              <m:e>
                <m:r>
                  <m:rPr/>
                  <w:rPr>
                    <w:rFonts w:hint="eastAsia" w:ascii="Cambria Math" w:hAnsi="Cambria Math"/>
                    <w:kern w:val="0"/>
                    <w:sz w:val="20"/>
                  </w:rPr>
                  <m:t>2</m:t>
                </m:r>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m:sty m:val="p"/>
                  </m:rPr>
                  <w:rPr>
                    <w:rFonts w:ascii="Cambria Math" w:hAnsi="Cambria Math"/>
                    <w:kern w:val="0"/>
                    <w:sz w:val="20"/>
                  </w:rPr>
                  <m:t>−1</m:t>
                </m:r>
                <m:ctrlPr>
                  <w:rPr>
                    <w:rFonts w:ascii="Cambria Math" w:hAnsi="Cambria Math"/>
                    <w:i/>
                    <w:kern w:val="0"/>
                    <w:sz w:val="20"/>
                  </w:rPr>
                </m:ctrlPr>
              </m:e>
            </m:d>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t</m:t>
                </m:r>
                <m:ctrlPr>
                  <w:rPr>
                    <w:rFonts w:ascii="Cambria Math" w:hAnsi="Cambria Math"/>
                    <w:kern w:val="0"/>
                    <w:sz w:val="20"/>
                  </w:rPr>
                </m:ctrlPr>
              </m:sub>
            </m:sSub>
            <m:ctrlPr>
              <w:rPr>
                <w:rFonts w:ascii="Cambria Math" w:hAnsi="Cambria Math"/>
                <w:bCs/>
                <w:i/>
              </w:rPr>
            </m:ctrlPr>
          </m:e>
        </m:d>
        <m:r>
          <m:rPr/>
          <w:rPr>
            <w:rFonts w:ascii="Cambria Math" w:hAnsi="Cambria Math"/>
          </w:rPr>
          <m:t>×</m:t>
        </m:r>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RE</m:t>
                    </m:r>
                    <m:ctrlPr>
                      <w:rPr>
                        <w:rFonts w:ascii="Cambria Math" w:hAnsi="Cambria Math"/>
                        <w:bCs/>
                        <w:i/>
                      </w:rPr>
                    </m:ctrlPr>
                  </m:sub>
                </m:sSub>
                <m:ctrlPr>
                  <w:rPr>
                    <w:rFonts w:ascii="Cambria Math" w:hAnsi="Cambria Math"/>
                    <w:bCs/>
                    <w:i/>
                  </w:rPr>
                </m:ctrlPr>
              </m:num>
              <m:den>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coℎerent</m:t>
                    </m:r>
                    <m:ctrlPr>
                      <w:rPr>
                        <w:rFonts w:ascii="Cambria Math" w:hAnsi="Cambria Math"/>
                        <w:bCs/>
                        <w:i/>
                      </w:rPr>
                    </m:ctrlPr>
                  </m:sub>
                </m:sSub>
                <m:ctrlPr>
                  <w:rPr>
                    <w:rFonts w:ascii="Cambria Math" w:hAnsi="Cambria Math"/>
                    <w:bCs/>
                    <w:i/>
                  </w:rPr>
                </m:ctrlPr>
              </m:den>
            </m:f>
            <m:ctrlPr>
              <w:rPr>
                <w:rFonts w:ascii="Cambria Math" w:hAnsi="Cambria Math"/>
                <w:bCs/>
                <w:i/>
              </w:rPr>
            </m:ctrlPr>
          </m:e>
        </m:d>
        <m:r>
          <m:rPr/>
          <w:rPr>
            <w:rFonts w:ascii="Cambria Math" w:hAnsi="Cambria Math"/>
          </w:rPr>
          <m:t>+</m:t>
        </m:r>
        <m:r>
          <m:rPr>
            <m:sty m:val="p"/>
          </m:rPr>
          <w:rPr>
            <w:rFonts w:hint="eastAsia" w:ascii="Cambria Math" w:hAnsi="Cambria Math"/>
            <w:kern w:val="0"/>
            <w:sz w:val="20"/>
          </w:rPr>
          <m:t>2</m:t>
        </m:r>
        <m:sSub>
          <m:sSubPr>
            <m:ctrlPr>
              <w:rPr>
                <w:rFonts w:ascii="Cambria Math" w:hAnsi="Cambria Math"/>
                <w:kern w:val="0"/>
                <w:sz w:val="20"/>
              </w:rPr>
            </m:ctrlPr>
          </m:sSubPr>
          <m:e>
            <m:r>
              <m:rPr/>
              <w:rPr>
                <w:rFonts w:ascii="Cambria Math" w:hAnsi="Cambria Math"/>
                <w:kern w:val="0"/>
                <w:sz w:val="20"/>
              </w:rPr>
              <m:t>N</m:t>
            </m:r>
            <m:ctrlPr>
              <w:rPr>
                <w:rFonts w:ascii="Cambria Math" w:hAnsi="Cambria Math"/>
                <w:kern w:val="0"/>
                <w:sz w:val="20"/>
              </w:rPr>
            </m:ctrlPr>
          </m:e>
          <m:sub>
            <m:r>
              <m:rPr>
                <m:sty m:val="p"/>
              </m:rPr>
              <w:rPr>
                <w:rFonts w:hint="eastAsia" w:ascii="Cambria Math" w:hAnsi="Cambria Math"/>
                <w:kern w:val="0"/>
                <w:sz w:val="20"/>
              </w:rPr>
              <m:t>t</m:t>
            </m:r>
            <m:ctrlPr>
              <w:rPr>
                <w:rFonts w:ascii="Cambria Math" w:hAnsi="Cambria Math"/>
                <w:kern w:val="0"/>
                <w:sz w:val="20"/>
              </w:rPr>
            </m:ctrlPr>
          </m:sub>
        </m:sSub>
        <m:d>
          <m:dPr>
            <m:ctrlPr>
              <w:rPr>
                <w:rFonts w:ascii="Cambria Math" w:hAnsi="Cambria Math"/>
                <w:i/>
                <w:kern w:val="0"/>
                <w:sz w:val="20"/>
              </w:rPr>
            </m:ctrlPr>
          </m:dPr>
          <m:e>
            <m:sSub>
              <m:sSubPr>
                <m:ctrlPr>
                  <w:rPr>
                    <w:rFonts w:ascii="Cambria Math" w:hAnsi="Cambria Math"/>
                    <w:kern w:val="0"/>
                    <w:sz w:val="20"/>
                  </w:rPr>
                </m:ctrlPr>
              </m:sSubPr>
              <m:e>
                <m:r>
                  <m:rPr/>
                  <w:rPr>
                    <w:rFonts w:ascii="Cambria Math" w:hAnsi="Cambria Math"/>
                    <w:kern w:val="0"/>
                    <w:sz w:val="20"/>
                  </w:rPr>
                  <m:t>2N</m:t>
                </m:r>
                <m:ctrlPr>
                  <w:rPr>
                    <w:rFonts w:ascii="Cambria Math" w:hAnsi="Cambria Math"/>
                    <w:kern w:val="0"/>
                    <w:sz w:val="20"/>
                  </w:rPr>
                </m:ctrlPr>
              </m:e>
              <m:sub>
                <m:r>
                  <m:rPr>
                    <m:sty m:val="p"/>
                  </m:rPr>
                  <w:rPr>
                    <w:rFonts w:hint="eastAsia" w:ascii="Cambria Math" w:hAnsi="Cambria Math"/>
                    <w:kern w:val="0"/>
                    <w:sz w:val="20"/>
                  </w:rPr>
                  <m:t>r</m:t>
                </m:r>
                <m:ctrlPr>
                  <w:rPr>
                    <w:rFonts w:ascii="Cambria Math" w:hAnsi="Cambria Math"/>
                    <w:kern w:val="0"/>
                    <w:sz w:val="20"/>
                  </w:rPr>
                </m:ctrlPr>
              </m:sub>
            </m:sSub>
            <m:r>
              <m:rPr>
                <m:sty m:val="p"/>
              </m:rPr>
              <w:rPr>
                <w:rFonts w:ascii="Cambria Math" w:hAnsi="Cambria Math"/>
                <w:kern w:val="0"/>
                <w:sz w:val="20"/>
              </w:rPr>
              <m:t>−1</m:t>
            </m:r>
            <m:ctrlPr>
              <w:rPr>
                <w:rFonts w:ascii="Cambria Math" w:hAnsi="Cambria Math"/>
                <w:i/>
                <w:kern w:val="0"/>
                <w:sz w:val="20"/>
              </w:rPr>
            </m:ctrlPr>
          </m:e>
        </m:d>
        <m:r>
          <m:rPr/>
          <w:rPr>
            <w:rFonts w:ascii="Cambria Math" w:hAnsi="Cambria Math"/>
          </w:rPr>
          <m:t>×</m:t>
        </m:r>
        <m:sSub>
          <m:sSubPr>
            <m:ctrlPr>
              <w:rPr>
                <w:rFonts w:ascii="Cambria Math" w:hAnsi="Cambria Math"/>
                <w:bCs/>
                <w:i/>
              </w:rPr>
            </m:ctrlPr>
          </m:sSubPr>
          <m:e>
            <m:r>
              <m:rPr/>
              <w:rPr>
                <w:rFonts w:ascii="Cambria Math" w:hAnsi="Cambria Math"/>
              </w:rPr>
              <m:t>N</m:t>
            </m:r>
            <m:ctrlPr>
              <w:rPr>
                <w:rFonts w:ascii="Cambria Math" w:hAnsi="Cambria Math"/>
                <w:bCs/>
                <w:i/>
              </w:rPr>
            </m:ctrlPr>
          </m:e>
          <m:sub>
            <m:r>
              <m:rPr/>
              <w:rPr>
                <w:rFonts w:ascii="Cambria Math" w:hAnsi="Cambria Math"/>
              </w:rPr>
              <m:t>RE</m:t>
            </m:r>
            <m:ctrlPr>
              <w:rPr>
                <w:rFonts w:ascii="Cambria Math" w:hAnsi="Cambria Math"/>
                <w:bCs/>
                <w:i/>
              </w:rPr>
            </m:ctrlPr>
          </m:sub>
        </m:sSub>
      </m:oMath>
      <w:r>
        <w:rPr>
          <w:rFonts w:hint="eastAsia" w:hAnsi="Cambria Math"/>
          <w:bCs/>
        </w:rPr>
        <w:t xml:space="preserve"> addition</w:t>
      </w:r>
      <w:r>
        <w:t xml:space="preserve"> operations</w:t>
      </w:r>
      <w:r>
        <w:rPr>
          <w:rFonts w:hint="eastAsia"/>
        </w:rPr>
        <w:t>.</w:t>
      </w:r>
    </w:p>
    <w:p>
      <w:pPr>
        <w:spacing w:before="120" w:after="120"/>
        <w:rPr>
          <w:b/>
          <w:iCs/>
          <w:u w:val="single"/>
        </w:rPr>
      </w:pPr>
      <w:r>
        <w:rPr>
          <w:rFonts w:hint="eastAsia"/>
          <w:b/>
          <w:iCs/>
          <w:u w:val="single"/>
        </w:rPr>
        <w:t>C</w:t>
      </w:r>
      <w:r>
        <w:rPr>
          <w:b/>
          <w:iCs/>
          <w:u w:val="single"/>
        </w:rPr>
        <w:t>omputational complexity at receiver for SISO/MIMO scenarios</w:t>
      </w:r>
    </w:p>
    <w:p>
      <w:pPr>
        <w:spacing w:before="120" w:after="120"/>
        <w:rPr>
          <w:iCs/>
        </w:rPr>
      </w:pPr>
      <w:r>
        <w:rPr>
          <w:rFonts w:hint="eastAsia"/>
          <w:iCs/>
        </w:rPr>
        <w:t xml:space="preserve">As reported in </w:t>
      </w:r>
      <w:r>
        <w:rPr>
          <w:iCs/>
        </w:rPr>
        <w:t>[8]</w:t>
      </w:r>
      <w:r>
        <w:rPr>
          <w:rFonts w:hint="eastAsia"/>
          <w:iCs/>
        </w:rPr>
        <w:t xml:space="preserve">, the transistor count of a </w:t>
      </w:r>
      <w:r>
        <w:rPr>
          <w:i/>
        </w:rPr>
        <w:t>w</w:t>
      </w:r>
      <w:r>
        <w:rPr>
          <w:rFonts w:hint="eastAsia"/>
          <w:iCs/>
        </w:rPr>
        <w:t xml:space="preserve">-bit multiplier is approximately 7 to 25 times that of a </w:t>
      </w:r>
      <w:r>
        <w:rPr>
          <w:i/>
        </w:rPr>
        <w:t>w</w:t>
      </w:r>
      <w:r>
        <w:rPr>
          <w:rFonts w:hint="eastAsia"/>
          <w:iCs/>
        </w:rPr>
        <w:t>-bit adder or subtractor. For simplicity, in this analysis, both 1 multiplication operation and 1 division operation are assumed to be equivalent to 10 addition operations</w:t>
      </w:r>
      <w:r>
        <w:rPr>
          <w:iCs/>
        </w:rPr>
        <w:t xml:space="preserve">. Based on MCS level 18 </w:t>
      </w:r>
      <w:r>
        <w:rPr>
          <w:rFonts w:hint="eastAsia"/>
          <w:iCs/>
        </w:rPr>
        <w:t>(</w:t>
      </w:r>
      <w:r>
        <w:rPr>
          <w:i/>
        </w:rPr>
        <w:t>Q</w:t>
      </w:r>
      <w:r>
        <w:rPr>
          <w:iCs/>
          <w:vertAlign w:val="subscript"/>
        </w:rPr>
        <w:t>m</w:t>
      </w:r>
      <w:r>
        <w:rPr>
          <w:iCs/>
        </w:rPr>
        <w:t xml:space="preserve"> = 6, SE = 4.81</w:t>
      </w:r>
      <w:r>
        <w:rPr>
          <w:rFonts w:hint="eastAsia"/>
          <w:iCs/>
        </w:rPr>
        <w:t>64</w:t>
      </w:r>
      <w:r>
        <w:rPr>
          <w:iCs/>
        </w:rPr>
        <w:t>) in fading channel provided in Section 3.2.1.2, the computational complexities among 1D-NUC, 2D-NUC and legacy QAM are shown as below:</w:t>
      </w:r>
    </w:p>
    <w:p>
      <w:pPr>
        <w:spacing w:before="120" w:after="120"/>
        <w:jc w:val="center"/>
        <w:rPr>
          <w:iCs/>
        </w:rPr>
      </w:pPr>
      <w:r>
        <w:rPr>
          <w:rFonts w:hint="eastAsia"/>
          <w:iCs/>
        </w:rPr>
        <w:t>T</w:t>
      </w:r>
      <w:r>
        <w:rPr>
          <w:iCs/>
        </w:rPr>
        <w:t>able 3 Number of operations (</w:t>
      </w:r>
      <w:r>
        <w:rPr>
          <w:rFonts w:hint="eastAsia"/>
          <w:iCs/>
        </w:rPr>
        <w:t>n</w:t>
      </w:r>
      <w:r>
        <w:rPr>
          <w:iCs/>
        </w:rPr>
        <w:t xml:space="preserve">ormalized to addition operations) for receiver complexity of GS for SISO scenario </w:t>
      </w:r>
    </w:p>
    <w:tbl>
      <w:tblPr>
        <w:tblStyle w:val="17"/>
        <w:tblW w:w="0" w:type="auto"/>
        <w:tblInd w:w="3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0"/>
        <w:gridCol w:w="4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shd w:val="clear" w:color="auto" w:fill="BEBEBE" w:themeFill="background1" w:themeFillShade="BF"/>
            <w:vAlign w:val="center"/>
          </w:tcPr>
          <w:p>
            <w:pPr>
              <w:spacing w:beforeLines="0" w:after="0" w:afterLines="0" w:line="240" w:lineRule="auto"/>
              <w:jc w:val="center"/>
              <w:rPr>
                <w:b/>
                <w:iCs/>
              </w:rPr>
            </w:pPr>
            <w:r>
              <w:rPr>
                <w:b/>
                <w:iCs/>
              </w:rPr>
              <w:t>Modulation schemes</w:t>
            </w:r>
          </w:p>
        </w:tc>
        <w:tc>
          <w:tcPr>
            <w:tcW w:w="4307" w:type="dxa"/>
            <w:shd w:val="clear" w:color="auto" w:fill="BEBEBE" w:themeFill="background1" w:themeFillShade="BF"/>
            <w:vAlign w:val="center"/>
          </w:tcPr>
          <w:p>
            <w:pPr>
              <w:spacing w:beforeLines="0" w:after="0" w:afterLines="0" w:line="240" w:lineRule="auto"/>
              <w:jc w:val="center"/>
              <w:rPr>
                <w:b/>
                <w:iCs/>
              </w:rPr>
            </w:pPr>
            <w:r>
              <w:rPr>
                <w:rFonts w:hint="eastAsia"/>
                <w:b/>
                <w:iCs/>
              </w:rPr>
              <w:t>N</w:t>
            </w:r>
            <w:r>
              <w:rPr>
                <w:b/>
                <w:iCs/>
              </w:rPr>
              <w:t>umber of operations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tcPr>
          <w:p>
            <w:pPr>
              <w:spacing w:beforeLines="0" w:after="0" w:afterLines="0" w:line="240" w:lineRule="auto"/>
              <w:jc w:val="center"/>
              <w:rPr>
                <w:iCs/>
              </w:rPr>
            </w:pPr>
            <w:r>
              <w:rPr>
                <w:rFonts w:hint="eastAsia"/>
                <w:iCs/>
              </w:rPr>
              <w:t>U</w:t>
            </w:r>
            <w:r>
              <w:rPr>
                <w:iCs/>
              </w:rPr>
              <w:t>niform QAM</w:t>
            </w:r>
          </w:p>
        </w:tc>
        <w:tc>
          <w:tcPr>
            <w:tcW w:w="4307" w:type="dxa"/>
          </w:tcPr>
          <w:p>
            <w:pPr>
              <w:spacing w:beforeLines="0" w:after="0" w:afterLines="0" w:line="240" w:lineRule="auto"/>
              <w:jc w:val="center"/>
              <w:rPr>
                <w:iCs/>
              </w:rPr>
            </w:pPr>
            <w:r>
              <w:rPr>
                <w:iCs/>
              </w:rPr>
              <w:t>822952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tcPr>
          <w:p>
            <w:pPr>
              <w:spacing w:beforeLines="0" w:after="0" w:afterLines="0" w:line="240" w:lineRule="auto"/>
              <w:jc w:val="center"/>
              <w:rPr>
                <w:iCs/>
              </w:rPr>
            </w:pPr>
            <w:r>
              <w:rPr>
                <w:rFonts w:hint="eastAsia"/>
                <w:iCs/>
              </w:rPr>
              <w:t>1</w:t>
            </w:r>
            <w:r>
              <w:rPr>
                <w:iCs/>
              </w:rPr>
              <w:t>D-NUC</w:t>
            </w:r>
          </w:p>
        </w:tc>
        <w:tc>
          <w:tcPr>
            <w:tcW w:w="4307" w:type="dxa"/>
          </w:tcPr>
          <w:p>
            <w:pPr>
              <w:spacing w:beforeLines="0" w:after="0" w:afterLines="0" w:line="240" w:lineRule="auto"/>
              <w:jc w:val="center"/>
              <w:rPr>
                <w:iCs/>
              </w:rPr>
            </w:pPr>
            <w:r>
              <w:rPr>
                <w:rFonts w:hint="eastAsia"/>
                <w:iCs/>
              </w:rPr>
              <w:t>831376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tcPr>
          <w:p>
            <w:pPr>
              <w:spacing w:beforeLines="0" w:after="0" w:afterLines="0" w:line="240" w:lineRule="auto"/>
              <w:jc w:val="center"/>
              <w:rPr>
                <w:iCs/>
              </w:rPr>
            </w:pPr>
            <w:r>
              <w:rPr>
                <w:rFonts w:hint="eastAsia"/>
                <w:iCs/>
              </w:rPr>
              <w:t>2</w:t>
            </w:r>
            <w:r>
              <w:rPr>
                <w:iCs/>
              </w:rPr>
              <w:t>D-NUC</w:t>
            </w:r>
          </w:p>
        </w:tc>
        <w:tc>
          <w:tcPr>
            <w:tcW w:w="4307" w:type="dxa"/>
          </w:tcPr>
          <w:p>
            <w:pPr>
              <w:spacing w:beforeLines="0" w:after="0" w:afterLines="0" w:line="240" w:lineRule="auto"/>
              <w:jc w:val="center"/>
              <w:rPr>
                <w:iCs/>
              </w:rPr>
            </w:pPr>
            <w:r>
              <w:rPr>
                <w:rFonts w:hint="eastAsia"/>
                <w:iCs/>
              </w:rPr>
              <w:t>2</w:t>
            </w:r>
            <w:r>
              <w:rPr>
                <w:iCs/>
              </w:rPr>
              <w:t>533960</w:t>
            </w:r>
          </w:p>
        </w:tc>
      </w:tr>
    </w:tbl>
    <w:p>
      <w:pPr>
        <w:spacing w:before="120" w:after="120"/>
        <w:rPr>
          <w:iCs/>
          <w:highlight w:val="yellow"/>
        </w:rPr>
      </w:pPr>
      <w:r>
        <w:rPr>
          <w:iCs/>
        </w:rPr>
        <w:t xml:space="preserve">where </w:t>
      </w:r>
      <w:r>
        <w:t xml:space="preserve">the computational complexity of 5G LDPC </w:t>
      </w:r>
      <w:r>
        <w:rPr>
          <w:rFonts w:hint="eastAsia"/>
        </w:rPr>
        <w:t>de</w:t>
      </w:r>
      <w:r>
        <w:t xml:space="preserve">coding being </w:t>
      </w:r>
      <m:oMath>
        <m:r>
          <m:rPr/>
          <w:rPr>
            <w:rFonts w:ascii="Cambria Math" w:hAnsi="Cambria Math"/>
            <w:kern w:val="0"/>
            <w:szCs w:val="21"/>
          </w:rPr>
          <m:t>IM</m:t>
        </m:r>
        <m:d>
          <m:dPr>
            <m:ctrlPr>
              <w:rPr>
                <w:rFonts w:ascii="Cambria Math" w:hAnsi="Cambria Math"/>
                <w:i/>
                <w:kern w:val="0"/>
                <w:szCs w:val="21"/>
              </w:rPr>
            </m:ctrlPr>
          </m:dPr>
          <m:e>
            <m:r>
              <m:rPr/>
              <w:rPr>
                <w:rFonts w:ascii="Cambria Math" w:hAnsi="Cambria Math"/>
                <w:kern w:val="0"/>
                <w:szCs w:val="21"/>
              </w:rPr>
              <m:t>4</m:t>
            </m:r>
            <m:sSub>
              <m:sSubPr>
                <m:ctrlPr>
                  <w:rPr>
                    <w:rFonts w:ascii="Cambria Math" w:hAnsi="Cambria Math"/>
                    <w:i/>
                    <w:kern w:val="0"/>
                    <w:szCs w:val="21"/>
                  </w:rPr>
                </m:ctrlPr>
              </m:sSubPr>
              <m:e>
                <m:r>
                  <m:rPr/>
                  <w:rPr>
                    <w:rFonts w:ascii="Cambria Math" w:hAnsi="Cambria Math"/>
                    <w:kern w:val="0"/>
                    <w:szCs w:val="21"/>
                  </w:rPr>
                  <m:t>d</m:t>
                </m:r>
                <m:ctrlPr>
                  <w:rPr>
                    <w:rFonts w:ascii="Cambria Math" w:hAnsi="Cambria Math"/>
                    <w:i/>
                    <w:kern w:val="0"/>
                    <w:szCs w:val="21"/>
                  </w:rPr>
                </m:ctrlPr>
              </m:e>
              <m:sub>
                <m:r>
                  <m:rPr/>
                  <w:rPr>
                    <w:rFonts w:ascii="Cambria Math" w:hAnsi="Cambria Math"/>
                    <w:kern w:val="0"/>
                    <w:szCs w:val="21"/>
                  </w:rPr>
                  <m:t>c</m:t>
                </m:r>
                <m:ctrlPr>
                  <w:rPr>
                    <w:rFonts w:ascii="Cambria Math" w:hAnsi="Cambria Math"/>
                    <w:i/>
                    <w:kern w:val="0"/>
                    <w:szCs w:val="21"/>
                  </w:rPr>
                </m:ctrlPr>
              </m:sub>
            </m:sSub>
            <m:r>
              <m:rPr/>
              <w:rPr>
                <w:rFonts w:ascii="Cambria Math" w:hAnsi="Cambria Math"/>
                <w:kern w:val="0"/>
                <w:szCs w:val="21"/>
              </w:rPr>
              <m:t>−1</m:t>
            </m:r>
            <m:ctrlPr>
              <w:rPr>
                <w:rFonts w:ascii="Cambria Math" w:hAnsi="Cambria Math"/>
                <w:i/>
                <w:kern w:val="0"/>
                <w:szCs w:val="21"/>
              </w:rPr>
            </m:ctrlPr>
          </m:e>
        </m:d>
      </m:oMath>
      <w:r>
        <w:rPr>
          <w:rFonts w:hint="eastAsia" w:hAnsi="Cambria Math"/>
          <w:kern w:val="0"/>
          <w:szCs w:val="21"/>
        </w:rPr>
        <w:t xml:space="preserve"> </w:t>
      </w:r>
      <w:r>
        <w:rPr>
          <w:rFonts w:hint="eastAsia" w:hAnsi="Cambria Math"/>
          <w:iCs/>
        </w:rPr>
        <w:t xml:space="preserve">additions </w:t>
      </w:r>
      <w:r>
        <w:rPr>
          <w:rFonts w:hint="eastAsia"/>
        </w:rPr>
        <w:t>[</w:t>
      </w:r>
      <w:r>
        <w:t>9</w:t>
      </w:r>
      <w:r>
        <w:rPr>
          <w:rFonts w:hint="eastAsia"/>
        </w:rPr>
        <w:t>]</w:t>
      </w:r>
      <w:r>
        <w:t xml:space="preserve"> is considered, where </w:t>
      </w:r>
      <w:r>
        <w:rPr>
          <w:i/>
          <w:iCs/>
        </w:rPr>
        <w:t>I</w:t>
      </w:r>
      <w:r>
        <w:t xml:space="preserve"> is the number of iterations, </w:t>
      </w:r>
      <m:oMath>
        <m:r>
          <m:rPr/>
          <w:rPr>
            <w:rFonts w:ascii="Cambria Math" w:hAnsi="Cambria Math"/>
            <w:kern w:val="0"/>
            <w:szCs w:val="21"/>
          </w:rPr>
          <m:t>M</m:t>
        </m:r>
      </m:oMath>
      <w:r>
        <w:rPr>
          <w:szCs w:val="21"/>
        </w:rPr>
        <w:t xml:space="preserve"> </w:t>
      </w:r>
      <w:r>
        <w:t xml:space="preserve">is </w:t>
      </w:r>
      <w:r>
        <w:rPr>
          <w:szCs w:val="21"/>
        </w:rPr>
        <w:t xml:space="preserve">the number of rows of the binary parity check matrix </w:t>
      </w:r>
      <w:r>
        <w:rPr>
          <w:b/>
          <w:bCs/>
          <w:i/>
          <w:iCs/>
          <w:szCs w:val="21"/>
        </w:rPr>
        <w:t>H</w:t>
      </w:r>
      <w:r>
        <w:rPr>
          <w:szCs w:val="21"/>
        </w:rPr>
        <w:t xml:space="preserve">, and </w:t>
      </w:r>
      <m:oMath>
        <m:sSub>
          <m:sSubPr>
            <m:ctrlPr>
              <w:rPr>
                <w:rFonts w:ascii="Cambria Math" w:hAnsi="Cambria Math"/>
                <w:i/>
                <w:kern w:val="0"/>
                <w:szCs w:val="21"/>
              </w:rPr>
            </m:ctrlPr>
          </m:sSubPr>
          <m:e>
            <m:r>
              <m:rPr/>
              <w:rPr>
                <w:rFonts w:ascii="Cambria Math" w:hAnsi="Cambria Math"/>
                <w:kern w:val="0"/>
                <w:szCs w:val="21"/>
              </w:rPr>
              <m:t>d</m:t>
            </m:r>
            <m:ctrlPr>
              <w:rPr>
                <w:rFonts w:ascii="Cambria Math" w:hAnsi="Cambria Math"/>
                <w:i/>
                <w:kern w:val="0"/>
                <w:szCs w:val="21"/>
              </w:rPr>
            </m:ctrlPr>
          </m:e>
          <m:sub>
            <m:r>
              <m:rPr/>
              <w:rPr>
                <w:rFonts w:ascii="Cambria Math" w:hAnsi="Cambria Math"/>
                <w:kern w:val="0"/>
                <w:szCs w:val="21"/>
              </w:rPr>
              <m:t>c</m:t>
            </m:r>
            <m:ctrlPr>
              <w:rPr>
                <w:rFonts w:ascii="Cambria Math" w:hAnsi="Cambria Math"/>
                <w:i/>
                <w:kern w:val="0"/>
                <w:szCs w:val="21"/>
              </w:rPr>
            </m:ctrlPr>
          </m:sub>
        </m:sSub>
      </m:oMath>
      <w:r>
        <w:rPr>
          <w:szCs w:val="21"/>
        </w:rPr>
        <w:t xml:space="preserve"> </w:t>
      </w:r>
      <w:r>
        <w:t xml:space="preserve">is </w:t>
      </w:r>
      <w:r>
        <w:rPr>
          <w:szCs w:val="21"/>
        </w:rPr>
        <w:t xml:space="preserve">the average row weight of the binary parity check matrix </w:t>
      </w:r>
      <w:r>
        <w:rPr>
          <w:b/>
          <w:bCs/>
          <w:i/>
          <w:iCs/>
          <w:szCs w:val="21"/>
        </w:rPr>
        <w:t>H</w:t>
      </w:r>
      <w:r>
        <w:rPr>
          <w:szCs w:val="21"/>
        </w:rPr>
        <w:t>.</w:t>
      </w:r>
    </w:p>
    <w:p>
      <w:pPr>
        <w:pStyle w:val="52"/>
        <w:spacing w:before="120" w:after="120"/>
      </w:pPr>
      <w:bookmarkStart w:id="140" w:name="_Toc213435881"/>
      <w:r>
        <w:t>For MCS level 18 in SISO scenarios, computational complexities of 2D-NUC, 1D-NUC and QAM are</w:t>
      </w:r>
      <w:r>
        <w:rPr>
          <w:lang w:eastAsia="zh-CN"/>
        </w:rPr>
        <w:t xml:space="preserve"> as below</w:t>
      </w:r>
      <w:r>
        <w:t>.</w:t>
      </w:r>
      <w:bookmarkEnd w:id="140"/>
      <w:r>
        <w:t xml:space="preserve"> </w:t>
      </w:r>
    </w:p>
    <w:p>
      <w:pPr>
        <w:pStyle w:val="52"/>
        <w:numPr>
          <w:ilvl w:val="0"/>
          <w:numId w:val="17"/>
        </w:numPr>
        <w:spacing w:before="120" w:after="120"/>
      </w:pPr>
      <w:bookmarkStart w:id="141" w:name="_Toc213435882"/>
      <w:r>
        <w:rPr>
          <w:lang w:eastAsia="zh-CN"/>
        </w:rPr>
        <w:t>Computational complexity of 2D-NUC is ~</w:t>
      </w:r>
      <w:r>
        <w:rPr>
          <w:lang w:val="en-US" w:eastAsia="zh-CN"/>
        </w:rPr>
        <w:t>2</w:t>
      </w:r>
      <w:r>
        <w:rPr>
          <w:lang w:eastAsia="zh-CN"/>
        </w:rPr>
        <w:t>M operations</w:t>
      </w:r>
      <w:bookmarkEnd w:id="141"/>
    </w:p>
    <w:p>
      <w:pPr>
        <w:pStyle w:val="52"/>
        <w:numPr>
          <w:ilvl w:val="0"/>
          <w:numId w:val="17"/>
        </w:numPr>
        <w:spacing w:before="120" w:after="120"/>
      </w:pPr>
      <w:bookmarkStart w:id="142" w:name="_Toc213435883"/>
      <w:r>
        <w:rPr>
          <w:rFonts w:hint="eastAsia"/>
          <w:lang w:eastAsia="zh-CN"/>
        </w:rPr>
        <w:t>C</w:t>
      </w:r>
      <w:r>
        <w:rPr>
          <w:lang w:eastAsia="zh-CN"/>
        </w:rPr>
        <w:t>omputational complexity of 1D-NUC is ~</w:t>
      </w:r>
      <w:r>
        <w:rPr>
          <w:rFonts w:hint="eastAsia"/>
          <w:lang w:val="en-US" w:eastAsia="zh-CN"/>
        </w:rPr>
        <w:t>831</w:t>
      </w:r>
      <w:r>
        <w:rPr>
          <w:lang w:eastAsia="zh-CN"/>
        </w:rPr>
        <w:t>K operations</w:t>
      </w:r>
      <w:bookmarkEnd w:id="142"/>
    </w:p>
    <w:p>
      <w:pPr>
        <w:pStyle w:val="52"/>
        <w:numPr>
          <w:ilvl w:val="0"/>
          <w:numId w:val="17"/>
        </w:numPr>
        <w:spacing w:before="120" w:after="120"/>
      </w:pPr>
      <w:bookmarkStart w:id="143" w:name="_Toc213435884"/>
      <w:r>
        <w:rPr>
          <w:rFonts w:hint="eastAsia"/>
          <w:lang w:eastAsia="zh-CN"/>
        </w:rPr>
        <w:t>C</w:t>
      </w:r>
      <w:r>
        <w:rPr>
          <w:lang w:eastAsia="zh-CN"/>
        </w:rPr>
        <w:t>omputational complexity of uniform QAM is ~</w:t>
      </w:r>
      <w:r>
        <w:rPr>
          <w:rFonts w:hint="eastAsia"/>
          <w:lang w:val="en-US" w:eastAsia="zh-CN"/>
        </w:rPr>
        <w:t>8</w:t>
      </w:r>
      <w:r>
        <w:rPr>
          <w:lang w:val="en-US" w:eastAsia="zh-CN"/>
        </w:rPr>
        <w:t>23</w:t>
      </w:r>
      <w:r>
        <w:rPr>
          <w:lang w:eastAsia="zh-CN"/>
        </w:rPr>
        <w:t>K operations</w:t>
      </w:r>
      <w:bookmarkEnd w:id="143"/>
    </w:p>
    <w:p>
      <w:pPr>
        <w:spacing w:before="120" w:after="120"/>
        <w:rPr>
          <w:iCs/>
        </w:rPr>
      </w:pPr>
      <w:r>
        <w:rPr>
          <w:rFonts w:hint="eastAsia"/>
        </w:rPr>
        <w:t>F</w:t>
      </w:r>
      <w:r>
        <w:t xml:space="preserve">or MIMO scenarios, we consider the same </w:t>
      </w:r>
      <w:r>
        <w:rPr>
          <w:iCs/>
        </w:rPr>
        <w:t xml:space="preserve">factors for </w:t>
      </w:r>
      <w:r>
        <w:rPr>
          <w:rFonts w:hint="eastAsia"/>
          <w:iCs/>
        </w:rPr>
        <w:t xml:space="preserve">multiplication </w:t>
      </w:r>
      <w:r>
        <w:rPr>
          <w:iCs/>
        </w:rPr>
        <w:t xml:space="preserve">operation and division operation as mentioned above, based on MCS level 18 </w:t>
      </w:r>
      <w:r>
        <w:rPr>
          <w:rFonts w:hint="eastAsia"/>
          <w:iCs/>
        </w:rPr>
        <w:t>(</w:t>
      </w:r>
      <w:r>
        <w:rPr>
          <w:i/>
        </w:rPr>
        <w:t>Q</w:t>
      </w:r>
      <w:r>
        <w:rPr>
          <w:iCs/>
          <w:vertAlign w:val="subscript"/>
        </w:rPr>
        <w:t>m</w:t>
      </w:r>
      <w:r>
        <w:rPr>
          <w:iCs/>
        </w:rPr>
        <w:t xml:space="preserve"> = 6, SE = 4.81</w:t>
      </w:r>
      <w:r>
        <w:rPr>
          <w:rFonts w:hint="eastAsia"/>
          <w:iCs/>
        </w:rPr>
        <w:t>64</w:t>
      </w:r>
      <w:r>
        <w:rPr>
          <w:iCs/>
        </w:rPr>
        <w:t xml:space="preserve">) provided in Section 3.2.1.2, the computational complexities among 1D-NUC, 2D-NUC and legacy QAM in MMSE receiver </w:t>
      </w:r>
      <w:r>
        <w:rPr>
          <w:rFonts w:hint="eastAsia"/>
          <w:iCs/>
        </w:rPr>
        <w:t xml:space="preserve">assuming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coℎerent</m:t>
            </m:r>
            <m:ctrlPr>
              <w:rPr>
                <w:rFonts w:ascii="Cambria Math" w:hAnsi="Cambria Math"/>
                <w:i/>
                <w:iCs/>
              </w:rPr>
            </m:ctrlPr>
          </m:sub>
        </m:sSub>
        <m:r>
          <m:rPr/>
          <w:rPr>
            <w:rFonts w:ascii="Cambria Math" w:hAnsi="Cambria Math"/>
          </w:rPr>
          <m:t xml:space="preserve">=10 </m:t>
        </m:r>
      </m:oMath>
      <w:r>
        <w:rPr>
          <w:iCs/>
        </w:rPr>
        <w:t>are shown as below:</w:t>
      </w:r>
    </w:p>
    <w:p>
      <w:pPr>
        <w:spacing w:before="120" w:after="120"/>
        <w:jc w:val="center"/>
        <w:rPr>
          <w:iCs/>
        </w:rPr>
      </w:pPr>
      <w:r>
        <w:rPr>
          <w:rFonts w:hint="eastAsia"/>
          <w:iCs/>
        </w:rPr>
        <w:t>T</w:t>
      </w:r>
      <w:r>
        <w:rPr>
          <w:iCs/>
        </w:rPr>
        <w:t>able 4: Number of operations (</w:t>
      </w:r>
      <w:r>
        <w:rPr>
          <w:rFonts w:hint="eastAsia"/>
          <w:iCs/>
        </w:rPr>
        <w:t>n</w:t>
      </w:r>
      <w:r>
        <w:rPr>
          <w:iCs/>
        </w:rPr>
        <w:t>ormalized to addition operations) for receiver complexity of GS for MIMO scenario under LMMSE receiver</w:t>
      </w:r>
    </w:p>
    <w:tbl>
      <w:tblPr>
        <w:tblStyle w:val="17"/>
        <w:tblW w:w="0" w:type="auto"/>
        <w:tblInd w:w="3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0"/>
        <w:gridCol w:w="42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shd w:val="clear" w:color="auto" w:fill="BEBEBE" w:themeFill="background1" w:themeFillShade="BF"/>
            <w:vAlign w:val="center"/>
          </w:tcPr>
          <w:p>
            <w:pPr>
              <w:spacing w:beforeLines="0" w:after="0" w:afterLines="0" w:line="240" w:lineRule="auto"/>
              <w:jc w:val="center"/>
              <w:rPr>
                <w:b/>
                <w:iCs/>
              </w:rPr>
            </w:pPr>
            <w:r>
              <w:rPr>
                <w:b/>
                <w:iCs/>
              </w:rPr>
              <w:t>Modulation schemes</w:t>
            </w:r>
          </w:p>
        </w:tc>
        <w:tc>
          <w:tcPr>
            <w:tcW w:w="4293" w:type="dxa"/>
            <w:shd w:val="clear" w:color="auto" w:fill="BEBEBE" w:themeFill="background1" w:themeFillShade="BF"/>
            <w:vAlign w:val="center"/>
          </w:tcPr>
          <w:p>
            <w:pPr>
              <w:spacing w:beforeLines="0" w:after="0" w:afterLines="0" w:line="240" w:lineRule="auto"/>
              <w:jc w:val="center"/>
              <w:rPr>
                <w:b/>
                <w:iCs/>
              </w:rPr>
            </w:pPr>
            <w:r>
              <w:rPr>
                <w:rFonts w:hint="eastAsia"/>
                <w:b/>
                <w:iCs/>
              </w:rPr>
              <w:t>N</w:t>
            </w:r>
            <w:r>
              <w:rPr>
                <w:b/>
                <w:iCs/>
              </w:rPr>
              <w:t>umber of operations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tcPr>
          <w:p>
            <w:pPr>
              <w:spacing w:beforeLines="0" w:after="0" w:afterLines="0" w:line="240" w:lineRule="auto"/>
              <w:jc w:val="center"/>
              <w:rPr>
                <w:iCs/>
              </w:rPr>
            </w:pPr>
            <w:r>
              <w:rPr>
                <w:rFonts w:hint="eastAsia"/>
                <w:iCs/>
              </w:rPr>
              <w:t>U</w:t>
            </w:r>
            <w:r>
              <w:rPr>
                <w:iCs/>
              </w:rPr>
              <w:t>niform QAM</w:t>
            </w:r>
          </w:p>
        </w:tc>
        <w:tc>
          <w:tcPr>
            <w:tcW w:w="4293" w:type="dxa"/>
          </w:tcPr>
          <w:p>
            <w:pPr>
              <w:spacing w:beforeLines="0" w:after="0" w:afterLines="0" w:line="240" w:lineRule="auto"/>
              <w:jc w:val="center"/>
              <w:rPr>
                <w:iCs/>
              </w:rPr>
            </w:pPr>
            <w:r>
              <w:rPr>
                <w:iCs/>
              </w:rPr>
              <w:t>4729348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tcPr>
          <w:p>
            <w:pPr>
              <w:spacing w:beforeLines="0" w:after="0" w:afterLines="0" w:line="240" w:lineRule="auto"/>
              <w:jc w:val="center"/>
              <w:rPr>
                <w:iCs/>
              </w:rPr>
            </w:pPr>
            <w:r>
              <w:rPr>
                <w:rFonts w:hint="eastAsia"/>
                <w:iCs/>
              </w:rPr>
              <w:t>1</w:t>
            </w:r>
            <w:r>
              <w:rPr>
                <w:iCs/>
              </w:rPr>
              <w:t>D-NUC</w:t>
            </w:r>
          </w:p>
        </w:tc>
        <w:tc>
          <w:tcPr>
            <w:tcW w:w="4293" w:type="dxa"/>
          </w:tcPr>
          <w:p>
            <w:pPr>
              <w:spacing w:beforeLines="0" w:after="0" w:afterLines="0" w:line="240" w:lineRule="auto"/>
              <w:jc w:val="center"/>
              <w:rPr>
                <w:iCs/>
              </w:rPr>
            </w:pPr>
            <w:r>
              <w:rPr>
                <w:rFonts w:hint="eastAsia"/>
                <w:iCs/>
              </w:rPr>
              <w:t>476</w:t>
            </w:r>
            <w:r>
              <w:rPr>
                <w:iCs/>
              </w:rPr>
              <w:t>2900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0" w:type="dxa"/>
          </w:tcPr>
          <w:p>
            <w:pPr>
              <w:spacing w:beforeLines="0" w:after="0" w:afterLines="0" w:line="240" w:lineRule="auto"/>
              <w:jc w:val="center"/>
              <w:rPr>
                <w:iCs/>
              </w:rPr>
            </w:pPr>
            <w:r>
              <w:rPr>
                <w:rFonts w:hint="eastAsia"/>
                <w:iCs/>
              </w:rPr>
              <w:t>2</w:t>
            </w:r>
            <w:r>
              <w:rPr>
                <w:iCs/>
              </w:rPr>
              <w:t>D-NUC</w:t>
            </w:r>
          </w:p>
        </w:tc>
        <w:tc>
          <w:tcPr>
            <w:tcW w:w="4293" w:type="dxa"/>
          </w:tcPr>
          <w:p>
            <w:pPr>
              <w:spacing w:beforeLines="0" w:after="0" w:afterLines="0" w:line="240" w:lineRule="auto"/>
              <w:jc w:val="center"/>
              <w:rPr>
                <w:iCs/>
              </w:rPr>
            </w:pPr>
            <w:r>
              <w:rPr>
                <w:rFonts w:hint="eastAsia"/>
                <w:iCs/>
              </w:rPr>
              <w:t>1</w:t>
            </w:r>
            <w:r>
              <w:rPr>
                <w:iCs/>
              </w:rPr>
              <w:t>1544132</w:t>
            </w:r>
          </w:p>
        </w:tc>
      </w:tr>
    </w:tbl>
    <w:p>
      <w:pPr>
        <w:pStyle w:val="52"/>
        <w:spacing w:before="120" w:after="120"/>
      </w:pPr>
      <w:bookmarkStart w:id="144" w:name="_Toc213435885"/>
      <w:r>
        <w:t xml:space="preserve">For MCS level 18 in MIMO </w:t>
      </w:r>
      <w:r>
        <w:rPr>
          <w:rFonts w:hint="eastAsia"/>
          <w:lang w:eastAsia="zh-CN"/>
        </w:rPr>
        <w:t>(</w:t>
      </w:r>
      <w:r>
        <w:rPr>
          <w:lang w:eastAsia="zh-CN"/>
        </w:rPr>
        <w:t>4T4R)</w:t>
      </w:r>
      <w:r>
        <w:t xml:space="preserve"> scenarios, computational complexities of 2D-NUC, 1D-NUC and QAM are as below.</w:t>
      </w:r>
      <w:bookmarkEnd w:id="144"/>
      <w:r>
        <w:t xml:space="preserve"> </w:t>
      </w:r>
    </w:p>
    <w:p>
      <w:pPr>
        <w:pStyle w:val="52"/>
        <w:numPr>
          <w:ilvl w:val="0"/>
          <w:numId w:val="17"/>
        </w:numPr>
        <w:spacing w:before="120" w:after="120"/>
      </w:pPr>
      <w:bookmarkStart w:id="145" w:name="_Toc213435886"/>
      <w:r>
        <w:rPr>
          <w:lang w:eastAsia="zh-CN"/>
        </w:rPr>
        <w:t>Computational complexity of 2D-NUC is ~</w:t>
      </w:r>
      <w:r>
        <w:rPr>
          <w:lang w:val="en-US" w:eastAsia="zh-CN"/>
        </w:rPr>
        <w:t>11M</w:t>
      </w:r>
      <w:r>
        <w:rPr>
          <w:lang w:eastAsia="zh-CN"/>
        </w:rPr>
        <w:t xml:space="preserve"> operations</w:t>
      </w:r>
      <w:bookmarkEnd w:id="145"/>
    </w:p>
    <w:p>
      <w:pPr>
        <w:pStyle w:val="52"/>
        <w:numPr>
          <w:ilvl w:val="0"/>
          <w:numId w:val="17"/>
        </w:numPr>
        <w:spacing w:before="120" w:after="120"/>
      </w:pPr>
      <w:bookmarkStart w:id="146" w:name="_Toc213435887"/>
      <w:r>
        <w:rPr>
          <w:rFonts w:hint="eastAsia"/>
          <w:lang w:eastAsia="zh-CN"/>
        </w:rPr>
        <w:t>C</w:t>
      </w:r>
      <w:r>
        <w:rPr>
          <w:lang w:eastAsia="zh-CN"/>
        </w:rPr>
        <w:t>omputational complexity of 1D-NUC is ~</w:t>
      </w:r>
      <w:r>
        <w:rPr>
          <w:lang w:val="en-US" w:eastAsia="zh-CN"/>
        </w:rPr>
        <w:t>4.76</w:t>
      </w:r>
      <w:r>
        <w:rPr>
          <w:lang w:eastAsia="zh-CN"/>
        </w:rPr>
        <w:t>M operations</w:t>
      </w:r>
      <w:bookmarkEnd w:id="146"/>
    </w:p>
    <w:p>
      <w:pPr>
        <w:pStyle w:val="52"/>
        <w:numPr>
          <w:ilvl w:val="0"/>
          <w:numId w:val="17"/>
        </w:numPr>
        <w:spacing w:before="120" w:after="120"/>
      </w:pPr>
      <w:bookmarkStart w:id="147" w:name="_Toc213435888"/>
      <w:r>
        <w:rPr>
          <w:rFonts w:hint="eastAsia"/>
          <w:lang w:eastAsia="zh-CN"/>
        </w:rPr>
        <w:t>C</w:t>
      </w:r>
      <w:r>
        <w:rPr>
          <w:lang w:eastAsia="zh-CN"/>
        </w:rPr>
        <w:t>omputational complexity of uniform QAM is ~</w:t>
      </w:r>
      <w:r>
        <w:rPr>
          <w:lang w:val="en-US" w:eastAsia="zh-CN"/>
        </w:rPr>
        <w:t>4.73</w:t>
      </w:r>
      <w:r>
        <w:rPr>
          <w:lang w:eastAsia="zh-CN"/>
        </w:rPr>
        <w:t>M operations</w:t>
      </w:r>
      <w:bookmarkEnd w:id="147"/>
    </w:p>
    <w:p>
      <w:pPr>
        <w:pStyle w:val="4"/>
        <w:spacing w:after="120"/>
        <w:ind w:right="210"/>
        <w:jc w:val="left"/>
        <w:rPr>
          <w:szCs w:val="24"/>
        </w:rPr>
      </w:pPr>
      <w:r>
        <w:rPr>
          <w:rFonts w:hint="eastAsia" w:eastAsiaTheme="minorEastAsia"/>
          <w:szCs w:val="24"/>
        </w:rPr>
        <w:t>P</w:t>
      </w:r>
      <w:r>
        <w:rPr>
          <w:rFonts w:eastAsiaTheme="minorEastAsia"/>
          <w:szCs w:val="24"/>
        </w:rPr>
        <w:t>robabilistic shaping modulation</w:t>
      </w:r>
    </w:p>
    <w:p>
      <w:pPr>
        <w:pStyle w:val="5"/>
        <w:spacing w:before="120" w:after="24"/>
      </w:pPr>
      <w:r>
        <w:t xml:space="preserve">3.2.2.1 General </w:t>
      </w:r>
    </w:p>
    <w:p>
      <w:pPr>
        <w:spacing w:before="120" w:after="120"/>
      </w:pPr>
      <w:r>
        <w:rPr>
          <w:rFonts w:hint="eastAsia"/>
        </w:rPr>
        <w:t>Probabilistic shaping</w:t>
      </w:r>
      <w:r>
        <w:t xml:space="preserve"> approximates the optimal Gaussian distribution by transmitting different QAM symbols at different probabilities</w:t>
      </w:r>
      <w:r>
        <w:rPr>
          <w:rFonts w:hint="eastAsia"/>
        </w:rPr>
        <w:t xml:space="preserve"> </w:t>
      </w:r>
      <w:r>
        <w:rPr>
          <w:rFonts w:hint="eastAsia"/>
        </w:rPr>
        <w:fldChar w:fldCharType="begin"/>
      </w:r>
      <w:r>
        <w:rPr>
          <w:rFonts w:hint="eastAsia"/>
        </w:rPr>
        <w:instrText xml:space="preserve"> REF _Ref23228 \r \h </w:instrText>
      </w:r>
      <w:r>
        <w:rPr>
          <w:rFonts w:hint="eastAsia"/>
        </w:rPr>
        <w:fldChar w:fldCharType="end"/>
      </w:r>
      <w:r>
        <w:t>[10]</w:t>
      </w:r>
      <w:r>
        <w:rPr>
          <w:rFonts w:hint="eastAsia"/>
        </w:rPr>
        <w:t xml:space="preserve">. One typical method is probabilistic amplitude shaping (PAS) </w:t>
      </w:r>
      <w:r>
        <w:rPr>
          <w:rFonts w:hint="eastAsia"/>
        </w:rPr>
        <w:fldChar w:fldCharType="begin"/>
      </w:r>
      <w:r>
        <w:rPr>
          <w:rFonts w:hint="eastAsia"/>
        </w:rPr>
        <w:instrText xml:space="preserve"> REF _Ref23228 \r \h </w:instrText>
      </w:r>
      <w:r>
        <w:rPr>
          <w:rFonts w:hint="eastAsia"/>
        </w:rPr>
        <w:fldChar w:fldCharType="end"/>
      </w:r>
      <w:r>
        <w:t>[10]</w:t>
      </w:r>
      <w:r>
        <w:rPr>
          <w:rFonts w:hint="eastAsia"/>
        </w:rPr>
        <w:t>. Figure 8 gives an example of PAS 64QAM. Figure 9 shows the coding and modulation chain for PAS modulation.</w:t>
      </w:r>
    </w:p>
    <w:p>
      <w:pPr>
        <w:numPr>
          <w:ilvl w:val="255"/>
          <w:numId w:val="0"/>
        </w:numPr>
        <w:spacing w:before="120" w:after="120"/>
        <w:jc w:val="center"/>
      </w:pPr>
      <w:r>
        <w:drawing>
          <wp:inline distT="0" distB="0" distL="114300" distR="114300">
            <wp:extent cx="3599815" cy="2533650"/>
            <wp:effectExtent l="0" t="0" r="635" b="0"/>
            <wp:docPr id="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pic:cNvPicPr>
                      <a:picLocks noChangeAspect="1"/>
                    </pic:cNvPicPr>
                  </pic:nvPicPr>
                  <pic:blipFill>
                    <a:blip r:embed="rId25"/>
                    <a:stretch>
                      <a:fillRect/>
                    </a:stretch>
                  </pic:blipFill>
                  <pic:spPr>
                    <a:xfrm>
                      <a:off x="0" y="0"/>
                      <a:ext cx="3599815" cy="2533650"/>
                    </a:xfrm>
                    <a:prstGeom prst="rect">
                      <a:avLst/>
                    </a:prstGeom>
                    <a:noFill/>
                    <a:ln>
                      <a:noFill/>
                    </a:ln>
                  </pic:spPr>
                </pic:pic>
              </a:graphicData>
            </a:graphic>
          </wp:inline>
        </w:drawing>
      </w:r>
    </w:p>
    <w:p>
      <w:pPr>
        <w:spacing w:before="120" w:after="120"/>
        <w:jc w:val="center"/>
      </w:pPr>
      <w:r>
        <w:rPr>
          <w:rFonts w:hint="eastAsia"/>
        </w:rPr>
        <w:t>Figure 8 Diagram for PAS 64QAM</w:t>
      </w:r>
      <w:r>
        <w:t>.</w:t>
      </w:r>
      <w:r>
        <w:rPr>
          <w:rFonts w:hint="eastAsia"/>
        </w:rPr>
        <w:t xml:space="preserve"> Each column represents the coordinates of a constellation point, and the height of the column indicates the probability of the constellation point's occurrence.</w:t>
      </w:r>
    </w:p>
    <w:p>
      <w:pPr>
        <w:spacing w:before="120" w:after="120"/>
      </w:pPr>
      <w:r>
        <w:t>Based on our study, we think the following technical issues should be addressed.</w:t>
      </w:r>
    </w:p>
    <w:p>
      <w:pPr>
        <w:pStyle w:val="32"/>
        <w:numPr>
          <w:ilvl w:val="0"/>
          <w:numId w:val="18"/>
        </w:numPr>
        <w:spacing w:before="120" w:after="120"/>
        <w:rPr>
          <w:b/>
          <w:szCs w:val="21"/>
        </w:rPr>
      </w:pPr>
      <w:r>
        <w:rPr>
          <w:b/>
          <w:sz w:val="21"/>
          <w:szCs w:val="21"/>
        </w:rPr>
        <w:t>Impact on coding chain</w:t>
      </w:r>
    </w:p>
    <w:p>
      <w:pPr>
        <w:spacing w:before="120" w:after="120"/>
      </w:pPr>
      <w:r>
        <w:rPr>
          <w:rFonts w:hint="eastAsia"/>
        </w:rPr>
        <w:t xml:space="preserve">PAS is a serial concatenation architecture of a distribution matcher (DM) and a channel </w:t>
      </w:r>
      <w:r>
        <w:t>en</w:t>
      </w:r>
      <w:r>
        <w:rPr>
          <w:rFonts w:hint="eastAsia"/>
        </w:rPr>
        <w:t>coder</w:t>
      </w:r>
      <w:r>
        <w:t xml:space="preserve"> [7]</w:t>
      </w:r>
      <w:r>
        <w:rPr>
          <w:rFonts w:hint="eastAsia"/>
        </w:rPr>
        <w:t>, where the DM is applied prior to the channel encoder.</w:t>
      </w:r>
    </w:p>
    <w:p>
      <w:pPr>
        <w:spacing w:before="120" w:after="120"/>
      </w:pPr>
      <w:r>
        <w:rPr>
          <w:rFonts w:hint="eastAsia"/>
        </w:rPr>
        <w:t xml:space="preserve">In Figure 9, equiprobable </w:t>
      </w:r>
      <w:r>
        <w:t>information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 and transformed into non-equiprobable amplitude levels of amplitude shift keying (ASK) symbols.</w:t>
      </w:r>
    </w:p>
    <w:p>
      <w:pPr>
        <w:spacing w:before="120" w:after="120"/>
        <w:jc w:val="center"/>
      </w:pPr>
      <w:r>
        <w:object>
          <v:shape id="_x0000_i1025" o:spt="75" type="#_x0000_t75" style="height:89.75pt;width:308.95pt;" o:ole="t" filled="f" o:preferrelative="t" stroked="f" coordsize="21600,21600">
            <v:path/>
            <v:fill on="f" focussize="0,0"/>
            <v:stroke on="f" joinstyle="miter"/>
            <v:imagedata r:id="rId27" cropleft="10834f" croptop="16339f" cropright="12481f" cropbottom="27231f" o:title=""/>
            <o:lock v:ext="edit" aspectratio="t"/>
            <w10:wrap type="none"/>
            <w10:anchorlock/>
          </v:shape>
          <o:OLEObject Type="Embed" ProgID="PowerPoint.Show.12" ShapeID="_x0000_i1025" DrawAspect="Content" ObjectID="_1468075725" r:id="rId26">
            <o:LockedField>false</o:LockedField>
          </o:OLEObject>
        </w:object>
      </w:r>
    </w:p>
    <w:p>
      <w:pPr>
        <w:spacing w:before="120" w:after="120"/>
        <w:jc w:val="center"/>
      </w:pPr>
      <w:r>
        <w:rPr>
          <w:rFonts w:hint="eastAsia"/>
        </w:rPr>
        <w:t>Figure 9 Coding and modulation chain for PAS modulation.</w:t>
      </w:r>
    </w:p>
    <w:p>
      <w:pPr>
        <w:spacing w:before="120" w:after="120"/>
      </w:pPr>
      <w:r>
        <w:rPr>
          <w:rFonts w:hint="eastAsia"/>
        </w:rPr>
        <w:t>The shaped bits, the bits for non-shaping as well as the parity bits generated by channel coding are combined and used for QAM modulation, where the shaped bits converted from the non-equiprobable amplitude levels by a pre-defined amplitude-to-bit mapping of ASK. Specifically, the shaped bits are mapped to amplitudes of the ASK symbols, the bits for non-shaping and the parity bits are mapped to the equally probable phase components of the ASK symbols. Finally, every two ASK symbols are combined into a QAM symbol and transmitted over the channel.</w:t>
      </w:r>
      <w:r>
        <w:t xml:space="preserve"> </w:t>
      </w:r>
      <w:r>
        <w:rPr>
          <w:rFonts w:hint="eastAsia"/>
        </w:rPr>
        <w:t xml:space="preserve">Thus, PAS inherently has an interleaver on the coded bits of channel coding output, which is different from the bit interleaving after 5G NR LDPC coding. </w:t>
      </w:r>
      <w:r>
        <w:t>To this end, we need to evaluate the impact of PAS on bit interleav</w:t>
      </w:r>
      <w:r>
        <w:rPr>
          <w:rFonts w:hint="eastAsia"/>
        </w:rPr>
        <w:t>ing</w:t>
      </w:r>
      <w:r>
        <w:t xml:space="preserve"> after LDPC coding.</w:t>
      </w:r>
    </w:p>
    <w:p>
      <w:pPr>
        <w:pStyle w:val="52"/>
        <w:spacing w:before="120" w:after="120"/>
        <w:jc w:val="both"/>
      </w:pPr>
      <w:bookmarkStart w:id="148" w:name="_Toc213435889"/>
      <w:bookmarkStart w:id="149" w:name="_Toc210086365"/>
      <w:bookmarkStart w:id="150" w:name="_Toc206178984"/>
      <w:r>
        <w:rPr>
          <w:lang w:val="en-US" w:eastAsia="zh-CN"/>
        </w:rPr>
        <w:t>PAS modulation has impacts on coding chain in terms of:</w:t>
      </w:r>
      <w:bookmarkEnd w:id="148"/>
      <w:bookmarkEnd w:id="149"/>
      <w:bookmarkEnd w:id="150"/>
    </w:p>
    <w:p>
      <w:pPr>
        <w:pStyle w:val="52"/>
        <w:numPr>
          <w:ilvl w:val="0"/>
          <w:numId w:val="19"/>
        </w:numPr>
        <w:spacing w:before="120" w:after="120"/>
        <w:jc w:val="both"/>
      </w:pPr>
      <w:bookmarkStart w:id="151" w:name="_Toc206178985"/>
      <w:bookmarkStart w:id="152" w:name="_Toc210086366"/>
      <w:bookmarkStart w:id="153" w:name="_Toc213435890"/>
      <w:r>
        <w:rPr>
          <w:lang w:val="en-US" w:eastAsia="zh-CN"/>
        </w:rPr>
        <w:t>Additional procedures before or after channel coding</w:t>
      </w:r>
      <w:bookmarkEnd w:id="151"/>
      <w:bookmarkEnd w:id="152"/>
      <w:bookmarkEnd w:id="153"/>
      <w:r>
        <w:rPr>
          <w:lang w:val="en-US" w:eastAsia="zh-CN"/>
        </w:rPr>
        <w:t xml:space="preserve"> </w:t>
      </w:r>
    </w:p>
    <w:p>
      <w:pPr>
        <w:pStyle w:val="52"/>
        <w:numPr>
          <w:ilvl w:val="0"/>
          <w:numId w:val="19"/>
        </w:numPr>
        <w:spacing w:before="120" w:after="120"/>
        <w:jc w:val="both"/>
      </w:pPr>
      <w:bookmarkStart w:id="154" w:name="_Toc206178986"/>
      <w:bookmarkStart w:id="155" w:name="_Toc210086367"/>
      <w:bookmarkStart w:id="156" w:name="_Toc213435891"/>
      <w:r>
        <w:rPr>
          <w:lang w:val="en-US" w:eastAsia="zh-CN"/>
        </w:rPr>
        <w:t>Bit interleaving</w:t>
      </w:r>
      <w:bookmarkEnd w:id="154"/>
      <w:bookmarkEnd w:id="155"/>
      <w:bookmarkEnd w:id="156"/>
    </w:p>
    <w:p>
      <w:pPr>
        <w:pStyle w:val="32"/>
        <w:numPr>
          <w:ilvl w:val="0"/>
          <w:numId w:val="18"/>
        </w:numPr>
        <w:spacing w:before="120" w:after="120"/>
        <w:rPr>
          <w:b/>
          <w:sz w:val="21"/>
          <w:szCs w:val="21"/>
        </w:rPr>
      </w:pPr>
      <w:r>
        <w:rPr>
          <w:rFonts w:hint="eastAsia"/>
          <w:b/>
          <w:sz w:val="21"/>
          <w:szCs w:val="21"/>
        </w:rPr>
        <w:t>I</w:t>
      </w:r>
      <w:r>
        <w:rPr>
          <w:b/>
          <w:sz w:val="21"/>
          <w:szCs w:val="21"/>
        </w:rPr>
        <w:t>mpact of DM algorithm</w:t>
      </w:r>
    </w:p>
    <w:p>
      <w:pPr>
        <w:spacing w:before="120" w:after="120"/>
      </w:pPr>
      <w:r>
        <w:rPr>
          <w:rFonts w:hint="eastAsia"/>
        </w:rPr>
        <w:t>There are many DM algorithms in the literature, such as shell mapping</w:t>
      </w:r>
      <w:r>
        <w:t xml:space="preserve"> [11]</w:t>
      </w:r>
      <w:r>
        <w:rPr>
          <w:rFonts w:hint="eastAsia"/>
        </w:rPr>
        <w:t>, constant composition distribution matching (CCDM)</w:t>
      </w:r>
      <w:r>
        <w:t xml:space="preserve"> [12]</w:t>
      </w:r>
      <w:r>
        <w:rPr>
          <w:rFonts w:hint="eastAsia"/>
        </w:rPr>
        <w:t xml:space="preserve">, (approximate) enumerative sphere shaping ((A)ESS) </w:t>
      </w:r>
      <w:r>
        <w:t>[13]</w:t>
      </w:r>
      <w:r>
        <w:rPr>
          <w:rFonts w:hint="eastAsia"/>
        </w:rPr>
        <w:fldChar w:fldCharType="begin"/>
      </w:r>
      <w:r>
        <w:rPr>
          <w:rFonts w:hint="eastAsia"/>
        </w:rPr>
        <w:instrText xml:space="preserve"> REF _Ref26526 \r \h </w:instrText>
      </w:r>
      <w:r>
        <w:rPr>
          <w:rFonts w:hint="eastAsia"/>
        </w:rPr>
        <w:fldChar w:fldCharType="end"/>
      </w:r>
      <w:r>
        <w:rPr>
          <w:rFonts w:hint="eastAsia"/>
        </w:rPr>
        <w:t>.</w:t>
      </w:r>
    </w:p>
    <w:p>
      <w:pPr>
        <w:spacing w:before="120" w:after="120"/>
        <w:rPr>
          <w:highlight w:val="yellow"/>
        </w:rPr>
      </w:pPr>
      <w:r>
        <w:rPr>
          <w:rFonts w:hint="eastAsia"/>
        </w:rPr>
        <w:t>The most popular DM is CCDM, which is based on the arithmetic coding algorithm</w:t>
      </w:r>
      <w:r>
        <w:rPr>
          <w:rFonts w:hint="eastAsia"/>
        </w:rPr>
        <w:fldChar w:fldCharType="begin"/>
      </w:r>
      <w:r>
        <w:rPr>
          <w:rFonts w:hint="eastAsia"/>
        </w:rPr>
        <w:instrText xml:space="preserve"> REF _Ref26526 \r \h </w:instrText>
      </w:r>
      <w:r>
        <w:rPr>
          <w:rFonts w:hint="eastAsia"/>
        </w:rPr>
        <w:fldChar w:fldCharType="end"/>
      </w:r>
      <w:r>
        <w:rPr>
          <w:rFonts w:hint="eastAsia"/>
        </w:rPr>
        <w:t>. Specifically, arithmetic decoding is used at the transmitter for DM encoding, while arithmetic encoding is used at the receiver for DM decoding. In other words, the encoding and decoding operations for DM are the reverse of those used in conventional arithmetic coding.</w:t>
      </w:r>
    </w:p>
    <w:p>
      <w:pPr>
        <w:spacing w:before="120" w:after="120"/>
      </w:pPr>
      <w:r>
        <w:rPr>
          <w:rFonts w:hint="eastAsia"/>
        </w:rPr>
        <w:t>CCDM needs an amplitude distribution as input to generate non-uniform amplitude levels</w:t>
      </w:r>
      <w:r>
        <w:t xml:space="preserve"> [12]</w:t>
      </w:r>
      <w:r>
        <w:rPr>
          <w:rFonts w:hint="eastAsia"/>
        </w:rPr>
        <w:t>. The non-uniform amplitude distribution is the Maxwell-Boltzmann distribution defined as:</w:t>
      </w:r>
    </w:p>
    <w:p>
      <w:pPr>
        <w:spacing w:before="120" w:after="120"/>
        <w:jc w:val="center"/>
      </w:pPr>
      <w:r>
        <w:t>Pr(</w:t>
      </w:r>
      <w:r>
        <w:rPr>
          <w:i/>
          <w:iCs/>
        </w:rPr>
        <w:t>A</w:t>
      </w:r>
      <w:r>
        <w:t xml:space="preserve">) = </w:t>
      </w:r>
      <w:r>
        <w:rPr>
          <w:i/>
          <w:iCs/>
        </w:rPr>
        <w:t>β</w:t>
      </w:r>
      <w:r>
        <w:t>·</w:t>
      </w:r>
      <w:r>
        <w:rPr>
          <w:rFonts w:hint="eastAsia"/>
        </w:rPr>
        <w:t>exp(-</w:t>
      </w:r>
      <w:r>
        <w:rPr>
          <w:rFonts w:hint="eastAsia"/>
          <w:i/>
          <w:iCs/>
        </w:rPr>
        <w:t>v</w:t>
      </w:r>
      <w:r>
        <w:t>·</w:t>
      </w:r>
      <w:r>
        <w:rPr>
          <w:rFonts w:hint="eastAsia"/>
        </w:rPr>
        <w:t>|</w:t>
      </w:r>
      <w:r>
        <w:rPr>
          <w:rFonts w:hint="eastAsia"/>
          <w:i/>
          <w:iCs/>
        </w:rPr>
        <w:t>A</w:t>
      </w:r>
      <w:r>
        <w:rPr>
          <w:rFonts w:hint="eastAsia"/>
        </w:rPr>
        <w:t>|</w:t>
      </w:r>
      <w:r>
        <w:rPr>
          <w:rFonts w:hint="eastAsia"/>
          <w:vertAlign w:val="superscript"/>
        </w:rPr>
        <w:t>2</w:t>
      </w:r>
      <w:r>
        <w:rPr>
          <w:rFonts w:hint="eastAsia"/>
        </w:rPr>
        <w:t>)</w:t>
      </w:r>
    </w:p>
    <w:p>
      <w:pPr>
        <w:tabs>
          <w:tab w:val="left" w:pos="0"/>
          <w:tab w:val="left" w:pos="420"/>
        </w:tabs>
        <w:spacing w:before="120" w:after="120"/>
      </w:pPr>
      <w:r>
        <w:rPr>
          <w:rFonts w:hint="eastAsia"/>
        </w:rPr>
        <w:t xml:space="preserve">where </w:t>
      </w:r>
      <w:r>
        <w:rPr>
          <w:rFonts w:hint="eastAsia"/>
          <w:i/>
          <w:iCs/>
        </w:rPr>
        <w:t>A</w:t>
      </w:r>
      <w:r>
        <w:rPr>
          <w:rFonts w:hint="eastAsia"/>
        </w:rPr>
        <w:t xml:space="preserve"> represents an ASK amplitude in the set {1, 3, ..., 2^</w:t>
      </w:r>
      <w:r>
        <w:rPr>
          <w:rFonts w:hint="eastAsia"/>
          <w:i/>
          <w:iCs/>
        </w:rPr>
        <w:t>m</w:t>
      </w:r>
      <w:r>
        <w:rPr>
          <w:rFonts w:hint="eastAsia"/>
        </w:rPr>
        <w:t xml:space="preserve">-1} and </w:t>
      </w:r>
      <w:r>
        <w:rPr>
          <w:rFonts w:hint="eastAsia"/>
          <w:i/>
          <w:iCs/>
        </w:rPr>
        <w:t xml:space="preserve">m </w:t>
      </w:r>
      <w:r>
        <w:rPr>
          <w:rFonts w:hint="eastAsia"/>
        </w:rPr>
        <w:t xml:space="preserve">is the modulation order of ASK, </w:t>
      </w:r>
      <w:r>
        <w:rPr>
          <w:i/>
          <w:iCs/>
        </w:rPr>
        <w:t>β</w:t>
      </w:r>
      <w:r>
        <w:rPr>
          <w:rFonts w:hint="eastAsia"/>
          <w:i/>
          <w:iCs/>
        </w:rPr>
        <w:t xml:space="preserve"> </w:t>
      </w:r>
      <w:r>
        <w:rPr>
          <w:rFonts w:hint="eastAsia"/>
        </w:rPr>
        <w:t xml:space="preserve">is a normalization factor, and </w:t>
      </w:r>
      <w:r>
        <w:rPr>
          <w:rFonts w:hint="eastAsia"/>
          <w:i/>
          <w:iCs/>
        </w:rPr>
        <w:t>v</w:t>
      </w:r>
      <w:r>
        <w:rPr>
          <w:rFonts w:hint="eastAsia"/>
        </w:rPr>
        <w:t xml:space="preserve"> is a non-negative parameter to adjust the probability distribution and need be optimized. The optimal value of </w:t>
      </w:r>
      <w:r>
        <w:rPr>
          <w:rFonts w:hint="eastAsia"/>
          <w:i/>
          <w:iCs/>
        </w:rPr>
        <w:t>v</w:t>
      </w:r>
      <w:r>
        <w:rPr>
          <w:rFonts w:hint="eastAsia"/>
        </w:rPr>
        <w:t xml:space="preserve"> depends on the target SE and the channel state.</w:t>
      </w:r>
    </w:p>
    <w:p>
      <w:pPr>
        <w:spacing w:before="120" w:after="120"/>
      </w:pPr>
      <w:r>
        <w:rPr>
          <w:rFonts w:hint="eastAsia"/>
        </w:rPr>
        <w:t>T</w:t>
      </w:r>
      <w:r>
        <w:t xml:space="preserve">here are </w:t>
      </w:r>
      <w:r>
        <w:rPr>
          <w:rFonts w:hint="eastAsia"/>
        </w:rPr>
        <w:t>three</w:t>
      </w:r>
      <w:r>
        <w:t xml:space="preserve"> aspects that need to be considered in using CCDM based on arithmetic coding for PAS schemes.</w:t>
      </w:r>
    </w:p>
    <w:p>
      <w:pPr>
        <w:spacing w:before="120" w:after="120"/>
      </w:pPr>
      <w:r>
        <w:rPr>
          <w:rFonts w:hint="eastAsia"/>
          <w:u w:val="single"/>
        </w:rPr>
        <w:t>The first aspect</w:t>
      </w:r>
      <w:r>
        <w:rPr>
          <w:rFonts w:hint="eastAsia"/>
        </w:rPr>
        <w:t xml:space="preserve"> is that the principle of arithmetic coding is based on probabilities with infinite floating-point precision. In practical, a finite precision for representing probabilities is used. If precision of probabilities is not matched between the transmitter and the receiver, data cannot be recovered correctly.</w:t>
      </w:r>
    </w:p>
    <w:p>
      <w:pPr>
        <w:spacing w:before="120" w:after="120"/>
      </w:pPr>
      <w:r>
        <w:rPr>
          <w:u w:val="single"/>
        </w:rPr>
        <w:t xml:space="preserve">The </w:t>
      </w:r>
      <w:r>
        <w:rPr>
          <w:rFonts w:hint="eastAsia"/>
          <w:u w:val="single"/>
        </w:rPr>
        <w:t>secon</w:t>
      </w:r>
      <w:r>
        <w:rPr>
          <w:rFonts w:hint="eastAsia"/>
          <w:u w:val="dotted"/>
        </w:rPr>
        <w:t>d</w:t>
      </w:r>
      <w:r>
        <w:rPr>
          <w:u w:val="single"/>
        </w:rPr>
        <w:t xml:space="preserve"> aspect</w:t>
      </w:r>
      <w:r>
        <w:t xml:space="preserve"> is that a</w:t>
      </w:r>
      <w:r>
        <w:rPr>
          <w:rFonts w:hint="eastAsia"/>
        </w:rPr>
        <w:t xml:space="preserve">rithmetic coding is inherently a serial process for both encoding and decoding. Thus, the CCDM </w:t>
      </w:r>
      <w:r>
        <w:t xml:space="preserve">algorithm </w:t>
      </w:r>
      <w:r>
        <w:rPr>
          <w:rFonts w:hint="eastAsia"/>
        </w:rPr>
        <w:t>is</w:t>
      </w:r>
      <w:r>
        <w:t xml:space="preserve"> a serial process.</w:t>
      </w:r>
      <w:r>
        <w:rPr>
          <w:rFonts w:hint="eastAsia"/>
        </w:rPr>
        <w:t xml:space="preserve"> Serial process is not good for high throughput applications. Support an integrated circuit with a clock </w:t>
      </w:r>
      <w:r>
        <w:t>frequency</w:t>
      </w:r>
      <w:r>
        <w:rPr>
          <w:rFonts w:hint="eastAsia"/>
        </w:rPr>
        <w:t xml:space="preserve"> of </w:t>
      </w:r>
      <w:r>
        <w:rPr>
          <w:rFonts w:hint="eastAsia"/>
          <w:i/>
          <w:iCs/>
        </w:rPr>
        <w:t>f</w:t>
      </w:r>
      <w:r>
        <w:rPr>
          <w:rFonts w:hint="eastAsia"/>
          <w:vertAlign w:val="subscript"/>
        </w:rPr>
        <w:t>clk</w:t>
      </w:r>
      <w:r>
        <w:rPr>
          <w:rFonts w:hint="eastAsia"/>
        </w:rPr>
        <w:t xml:space="preserve"> Hz and CCDM processes one ASK symbol in N</w:t>
      </w:r>
      <w:r>
        <w:rPr>
          <w:vertAlign w:val="subscript"/>
        </w:rPr>
        <w:t>clk</w:t>
      </w:r>
      <w:r>
        <w:rPr>
          <w:rFonts w:hint="eastAsia"/>
        </w:rPr>
        <w:t xml:space="preserve"> clock cycles for probability update in </w:t>
      </w:r>
      <w:r>
        <w:t>a</w:t>
      </w:r>
      <w:r>
        <w:rPr>
          <w:rFonts w:hint="eastAsia"/>
        </w:rPr>
        <w:t xml:space="preserve">rithmetic coding in a DM block. Thus, if QAM of modulation order </w:t>
      </w:r>
      <w:r>
        <w:rPr>
          <w:rFonts w:hint="eastAsia"/>
          <w:i/>
          <w:iCs/>
        </w:rPr>
        <w:t>Q</w:t>
      </w:r>
      <w:r>
        <w:rPr>
          <w:rFonts w:hint="eastAsia"/>
          <w:vertAlign w:val="subscript"/>
        </w:rPr>
        <w:t xml:space="preserve">m </w:t>
      </w:r>
      <w:r>
        <w:rPr>
          <w:rFonts w:hint="eastAsia"/>
        </w:rPr>
        <w:t>is used, the throughput for PAS is</w:t>
      </w:r>
    </w:p>
    <w:p>
      <w:pPr>
        <w:spacing w:before="120" w:after="120"/>
        <w:jc w:val="center"/>
      </w:pPr>
      <w:r>
        <w:rPr>
          <w:rFonts w:hint="eastAsia"/>
          <w:i/>
          <w:iCs/>
        </w:rPr>
        <w:t>T</w:t>
      </w:r>
      <w:r>
        <w:rPr>
          <w:rFonts w:hint="eastAsia"/>
          <w:vertAlign w:val="subscript"/>
        </w:rPr>
        <w:t>max</w:t>
      </w:r>
      <w:r>
        <w:rPr>
          <w:rFonts w:hint="eastAsia"/>
        </w:rPr>
        <w:t xml:space="preserve"> = </w:t>
      </w:r>
      <w:r>
        <w:rPr>
          <w:rFonts w:hint="eastAsia"/>
          <w:i/>
          <w:iCs/>
        </w:rPr>
        <w:t>B</w:t>
      </w:r>
      <w:r>
        <w:rPr>
          <w:rFonts w:hint="eastAsia"/>
          <w:vertAlign w:val="subscript"/>
        </w:rPr>
        <w:t>DM</w:t>
      </w:r>
      <w:r>
        <w:t>·</w:t>
      </w:r>
      <w:r>
        <w:rPr>
          <w:rFonts w:hint="eastAsia"/>
        </w:rPr>
        <w:t>(</w:t>
      </w:r>
      <w:r>
        <w:rPr>
          <w:rFonts w:hint="eastAsia"/>
          <w:i/>
          <w:iCs/>
        </w:rPr>
        <w:t>Q</w:t>
      </w:r>
      <w:r>
        <w:rPr>
          <w:rFonts w:hint="eastAsia"/>
          <w:vertAlign w:val="subscript"/>
        </w:rPr>
        <w:t>m</w:t>
      </w:r>
      <w:r>
        <w:rPr>
          <w:rFonts w:hint="eastAsia"/>
        </w:rPr>
        <w:t>/2 - 1)</w:t>
      </w:r>
      <w:r>
        <w:t>·</w:t>
      </w:r>
      <w:r>
        <w:rPr>
          <w:rFonts w:hint="eastAsia"/>
          <w:i/>
          <w:iCs/>
        </w:rPr>
        <w:t>f</w:t>
      </w:r>
      <w:r>
        <w:rPr>
          <w:rFonts w:hint="eastAsia"/>
          <w:vertAlign w:val="subscript"/>
        </w:rPr>
        <w:t>clk</w:t>
      </w:r>
      <w:r>
        <w:t>/</w:t>
      </w:r>
      <w:r>
        <w:rPr>
          <w:rFonts w:hint="eastAsia"/>
        </w:rPr>
        <w:t>N</w:t>
      </w:r>
      <w:r>
        <w:rPr>
          <w:rFonts w:hint="eastAsia"/>
          <w:vertAlign w:val="subscript"/>
        </w:rPr>
        <w:t>clk</w:t>
      </w:r>
      <w:r>
        <w:rPr>
          <w:rFonts w:hint="eastAsia"/>
        </w:rPr>
        <w:t>.</w:t>
      </w:r>
    </w:p>
    <w:p>
      <w:pPr>
        <w:spacing w:before="120" w:after="120"/>
      </w:pPr>
      <w:r>
        <w:rPr>
          <w:rFonts w:hint="eastAsia"/>
        </w:rPr>
        <w:t xml:space="preserve">where </w:t>
      </w:r>
      <w:r>
        <w:rPr>
          <w:rFonts w:hint="eastAsia"/>
          <w:i/>
          <w:iCs/>
        </w:rPr>
        <w:t>Q</w:t>
      </w:r>
      <w:r>
        <w:rPr>
          <w:rFonts w:hint="eastAsia"/>
          <w:vertAlign w:val="subscript"/>
        </w:rPr>
        <w:t>m</w:t>
      </w:r>
      <w:r>
        <w:rPr>
          <w:rFonts w:hint="eastAsia"/>
        </w:rPr>
        <w:t xml:space="preserve">/2 - 1 is the number of amplitude bits in an ASK symbol, </w:t>
      </w:r>
      <w:r>
        <w:rPr>
          <w:rFonts w:hint="eastAsia"/>
          <w:i/>
          <w:iCs/>
        </w:rPr>
        <w:t>B</w:t>
      </w:r>
      <w:r>
        <w:rPr>
          <w:rFonts w:hint="eastAsia"/>
          <w:vertAlign w:val="subscript"/>
        </w:rPr>
        <w:t xml:space="preserve">DM </w:t>
      </w:r>
      <w:r>
        <w:rPr>
          <w:rFonts w:hint="eastAsia"/>
        </w:rPr>
        <w:t>is the number of DM</w:t>
      </w:r>
      <w:r>
        <w:rPr>
          <w:rFonts w:hint="eastAsia"/>
          <w:vertAlign w:val="subscript"/>
        </w:rPr>
        <w:t xml:space="preserve"> </w:t>
      </w:r>
      <w:r>
        <w:rPr>
          <w:rFonts w:hint="eastAsia"/>
        </w:rPr>
        <w:t>blocks processed in parallel.</w:t>
      </w:r>
    </w:p>
    <w:p>
      <w:pPr>
        <w:spacing w:before="120" w:after="120"/>
      </w:pPr>
      <w:r>
        <w:rPr>
          <w:rFonts w:hint="eastAsia"/>
        </w:rPr>
        <w:t xml:space="preserve">In current 3GPP specification, the maximum modulation order is </w:t>
      </w:r>
      <w:r>
        <w:rPr>
          <w:rFonts w:hint="eastAsia"/>
          <w:i/>
          <w:iCs/>
        </w:rPr>
        <w:t>Q</w:t>
      </w:r>
      <w:r>
        <w:rPr>
          <w:rFonts w:hint="eastAsia"/>
          <w:vertAlign w:val="subscript"/>
        </w:rPr>
        <w:t>m</w:t>
      </w:r>
      <w:r>
        <w:rPr>
          <w:rFonts w:hint="eastAsia"/>
        </w:rPr>
        <w:t xml:space="preserve"> = 10 corresponding to 1024QAM. Nowadays, the typical clock </w:t>
      </w:r>
      <w:r>
        <w:t>frequency</w:t>
      </w:r>
      <w:r>
        <w:rPr>
          <w:rFonts w:hint="eastAsia"/>
        </w:rPr>
        <w:t xml:space="preserve"> for integrated circuits is around 1 GHz. Thus, ideally, if N</w:t>
      </w:r>
      <w:r>
        <w:rPr>
          <w:rFonts w:hint="eastAsia"/>
          <w:vertAlign w:val="subscript"/>
        </w:rPr>
        <w:t>clk</w:t>
      </w:r>
      <w:r>
        <w:t xml:space="preserve"> = </w:t>
      </w:r>
      <w:r>
        <w:rPr>
          <w:rFonts w:hint="eastAsia"/>
        </w:rPr>
        <w:t>1, the achievable throughput is at most 4 gigabits per second (Gbps), which is far away from the peak data rate</w:t>
      </w:r>
      <w:r>
        <w:t xml:space="preserve"> even for 5G</w:t>
      </w:r>
      <w:r>
        <w:rPr>
          <w:rFonts w:hint="eastAsia"/>
        </w:rPr>
        <w:t xml:space="preserve"> (</w:t>
      </w:r>
      <w:r>
        <w:t xml:space="preserve">e.g., </w:t>
      </w:r>
      <w:r>
        <w:rPr>
          <w:rFonts w:hint="eastAsia"/>
        </w:rPr>
        <w:t>20Gbps)</w:t>
      </w:r>
      <w:r>
        <w:t>.</w:t>
      </w:r>
      <w:r>
        <w:rPr>
          <w:rFonts w:hint="eastAsia"/>
        </w:rPr>
        <w:t xml:space="preserve"> However, in practical, N</w:t>
      </w:r>
      <w:r>
        <w:rPr>
          <w:rFonts w:hint="eastAsia"/>
          <w:vertAlign w:val="subscript"/>
        </w:rPr>
        <w:t xml:space="preserve">clk </w:t>
      </w:r>
      <w:r>
        <w:rPr>
          <w:rFonts w:hint="eastAsia"/>
        </w:rPr>
        <w:t>is greater than 1. For example, if N</w:t>
      </w:r>
      <w:r>
        <w:rPr>
          <w:rFonts w:hint="eastAsia"/>
          <w:vertAlign w:val="subscript"/>
        </w:rPr>
        <w:t>clk</w:t>
      </w:r>
      <w:r>
        <w:t xml:space="preserve"> = 5 and </w:t>
      </w:r>
      <w:r>
        <w:rPr>
          <w:rFonts w:hint="eastAsia"/>
          <w:i/>
          <w:iCs/>
        </w:rPr>
        <w:t>B</w:t>
      </w:r>
      <w:r>
        <w:rPr>
          <w:rFonts w:hint="eastAsia"/>
          <w:vertAlign w:val="subscript"/>
        </w:rPr>
        <w:t>DM</w:t>
      </w:r>
      <w:r>
        <w:t xml:space="preserve"> = 1</w:t>
      </w:r>
      <w:r>
        <w:rPr>
          <w:rFonts w:hint="eastAsia"/>
        </w:rPr>
        <w:t>, the achievable throughput is only 0.8 Gbps, which is only 1/25 of 20 Gbps.</w:t>
      </w:r>
    </w:p>
    <w:p>
      <w:pPr>
        <w:spacing w:before="120" w:after="120"/>
      </w:pPr>
      <w:bookmarkStart w:id="157" w:name="_Toc4127"/>
      <w:bookmarkEnd w:id="157"/>
      <w:r>
        <w:rPr>
          <w:u w:val="single"/>
        </w:rPr>
        <w:t xml:space="preserve">The </w:t>
      </w:r>
      <w:r>
        <w:rPr>
          <w:rFonts w:hint="eastAsia"/>
          <w:u w:val="single"/>
        </w:rPr>
        <w:t>third</w:t>
      </w:r>
      <w:r>
        <w:rPr>
          <w:u w:val="single"/>
        </w:rPr>
        <w:t xml:space="preserve"> aspect</w:t>
      </w:r>
      <w:r>
        <w:t xml:space="preserve"> is that the performance of PAS with CCDM degrades for small TBSs. We provide some evaluation for PAS schemes with CCDM and legacy QAM schemes for TBS = 24, 48, 104, 240 under MCS 20 of 256QAM </w:t>
      </w:r>
      <w:r>
        <w:rPr>
          <w:rFonts w:hAnsi="Cambria Math"/>
        </w:rPr>
        <w:t xml:space="preserve">MCS </w:t>
      </w:r>
      <w:r>
        <w:t>table [7] over AWGN channels. We observe that PAS schemes with CCDM is about 3.5 dB, 2.2 dB, 1.6 dB, and 0.25 dB worse than the legacy QAM schemes at BLER = 0.01 for TBS = 24, 48, 104, and 240, respectively.</w:t>
      </w:r>
    </w:p>
    <w:p>
      <w:pPr>
        <w:pStyle w:val="52"/>
        <w:spacing w:before="120" w:after="120"/>
        <w:jc w:val="both"/>
      </w:pPr>
      <w:bookmarkStart w:id="158" w:name="_Toc206178987"/>
      <w:bookmarkStart w:id="159" w:name="_Toc210086368"/>
      <w:bookmarkStart w:id="160" w:name="_Toc213435892"/>
      <w:r>
        <w:rPr>
          <w:lang w:val="en-US" w:eastAsia="zh-CN"/>
        </w:rPr>
        <w:t>The</w:t>
      </w:r>
      <w:r>
        <w:rPr>
          <w:rFonts w:hint="eastAsia"/>
          <w:lang w:val="en-US" w:eastAsia="zh-CN"/>
        </w:rPr>
        <w:t xml:space="preserve"> following</w:t>
      </w:r>
      <w:r>
        <w:rPr>
          <w:lang w:val="en-US" w:eastAsia="zh-CN"/>
        </w:rPr>
        <w:t xml:space="preserve"> three aspects need to</w:t>
      </w:r>
      <w:r>
        <w:rPr>
          <w:rFonts w:hint="eastAsia"/>
          <w:lang w:val="en-US" w:eastAsia="zh-CN"/>
        </w:rPr>
        <w:t xml:space="preserve"> be</w:t>
      </w:r>
      <w:r>
        <w:rPr>
          <w:lang w:val="en-US" w:eastAsia="zh-CN"/>
        </w:rPr>
        <w:t xml:space="preserve"> consider</w:t>
      </w:r>
      <w:r>
        <w:rPr>
          <w:rFonts w:hint="eastAsia"/>
          <w:lang w:val="en-US" w:eastAsia="zh-CN"/>
        </w:rPr>
        <w:t>ed</w:t>
      </w:r>
      <w:r>
        <w:rPr>
          <w:lang w:val="en-US" w:eastAsia="zh-CN"/>
        </w:rPr>
        <w:t xml:space="preserve"> for CCDM algorithm</w:t>
      </w:r>
      <w:r>
        <w:rPr>
          <w:rFonts w:hint="eastAsia"/>
          <w:lang w:val="en-US" w:eastAsia="zh-CN"/>
        </w:rPr>
        <w:t>s</w:t>
      </w:r>
      <w:r>
        <w:rPr>
          <w:lang w:val="en-US" w:eastAsia="zh-CN"/>
        </w:rPr>
        <w:t>:</w:t>
      </w:r>
      <w:bookmarkEnd w:id="158"/>
      <w:bookmarkEnd w:id="159"/>
      <w:bookmarkEnd w:id="160"/>
    </w:p>
    <w:p>
      <w:pPr>
        <w:pStyle w:val="52"/>
        <w:numPr>
          <w:ilvl w:val="0"/>
          <w:numId w:val="19"/>
        </w:numPr>
        <w:spacing w:before="120" w:after="120"/>
        <w:jc w:val="both"/>
      </w:pPr>
      <w:bookmarkStart w:id="161" w:name="_Toc213435893"/>
      <w:bookmarkStart w:id="162" w:name="_Toc206178988"/>
      <w:bookmarkStart w:id="163" w:name="_Toc210086369"/>
      <w:r>
        <w:rPr>
          <w:lang w:val="en-US" w:eastAsia="zh-CN"/>
        </w:rPr>
        <w:t>Precision mismatch between transmitter and receiver</w:t>
      </w:r>
      <w:bookmarkEnd w:id="161"/>
      <w:bookmarkEnd w:id="162"/>
      <w:bookmarkEnd w:id="163"/>
    </w:p>
    <w:p>
      <w:pPr>
        <w:pStyle w:val="52"/>
        <w:numPr>
          <w:ilvl w:val="0"/>
          <w:numId w:val="19"/>
        </w:numPr>
        <w:spacing w:before="120" w:after="120"/>
        <w:jc w:val="both"/>
      </w:pPr>
      <w:bookmarkStart w:id="164" w:name="_Toc206178989"/>
      <w:bookmarkStart w:id="165" w:name="_Toc210086370"/>
      <w:bookmarkStart w:id="166" w:name="_Toc213435894"/>
      <w:r>
        <w:rPr>
          <w:lang w:val="en-US" w:eastAsia="zh-CN"/>
        </w:rPr>
        <w:t>Serial process for encoding and decoding</w:t>
      </w:r>
      <w:bookmarkEnd w:id="164"/>
      <w:bookmarkEnd w:id="165"/>
      <w:bookmarkEnd w:id="166"/>
    </w:p>
    <w:p>
      <w:pPr>
        <w:pStyle w:val="52"/>
        <w:numPr>
          <w:ilvl w:val="0"/>
          <w:numId w:val="19"/>
        </w:numPr>
        <w:spacing w:before="120" w:after="120"/>
        <w:jc w:val="both"/>
      </w:pPr>
      <w:bookmarkStart w:id="167" w:name="_Toc210086371"/>
      <w:bookmarkStart w:id="168" w:name="_Toc206178990"/>
      <w:bookmarkStart w:id="169" w:name="_Toc213435895"/>
      <w:r>
        <w:rPr>
          <w:rFonts w:hint="eastAsia"/>
          <w:lang w:eastAsia="zh-CN"/>
        </w:rPr>
        <w:t>P</w:t>
      </w:r>
      <w:r>
        <w:rPr>
          <w:lang w:eastAsia="zh-CN"/>
        </w:rPr>
        <w:t>erformance loss in small TBSs</w:t>
      </w:r>
      <w:bookmarkEnd w:id="167"/>
      <w:bookmarkEnd w:id="168"/>
      <w:bookmarkEnd w:id="169"/>
    </w:p>
    <w:p>
      <w:pPr>
        <w:pStyle w:val="32"/>
        <w:numPr>
          <w:ilvl w:val="0"/>
          <w:numId w:val="20"/>
        </w:numPr>
        <w:spacing w:before="120" w:after="120"/>
        <w:rPr>
          <w:b/>
          <w:szCs w:val="21"/>
        </w:rPr>
      </w:pPr>
      <w:r>
        <w:rPr>
          <w:b/>
          <w:sz w:val="21"/>
          <w:szCs w:val="21"/>
        </w:rPr>
        <w:t>Impact on re</w:t>
      </w:r>
      <w:r>
        <w:rPr>
          <w:rFonts w:hint="eastAsia" w:eastAsia="宋体"/>
          <w:b/>
          <w:sz w:val="21"/>
          <w:szCs w:val="21"/>
        </w:rPr>
        <w:t>-</w:t>
      </w:r>
      <w:r>
        <w:rPr>
          <w:b/>
          <w:sz w:val="21"/>
          <w:szCs w:val="21"/>
        </w:rPr>
        <w:t>transmission</w:t>
      </w:r>
    </w:p>
    <w:p>
      <w:pPr>
        <w:spacing w:before="120" w:after="120"/>
        <w:rPr>
          <w:szCs w:val="21"/>
        </w:rPr>
      </w:pPr>
      <w:r>
        <w:rPr>
          <w:szCs w:val="21"/>
        </w:rPr>
        <w:t xml:space="preserve">Besides, the impact on re-transmission should be considered. The probability of amplitudes is chosen to match the </w:t>
      </w:r>
      <w:r>
        <w:rPr>
          <w:rFonts w:hint="eastAsia"/>
          <w:szCs w:val="21"/>
        </w:rPr>
        <w:t>MCS</w:t>
      </w:r>
      <w:r>
        <w:rPr>
          <w:szCs w:val="21"/>
        </w:rPr>
        <w:t xml:space="preserve"> of the initial transmission. If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pPr>
        <w:pStyle w:val="52"/>
        <w:spacing w:before="120" w:after="120"/>
      </w:pPr>
      <w:bookmarkStart w:id="170" w:name="_Toc1369"/>
      <w:bookmarkStart w:id="171" w:name="_Toc8880"/>
      <w:bookmarkStart w:id="172" w:name="_Toc18964"/>
      <w:bookmarkStart w:id="173" w:name="_Toc20446"/>
      <w:bookmarkStart w:id="174" w:name="_Toc15121"/>
      <w:bookmarkStart w:id="175" w:name="_Toc22086"/>
      <w:bookmarkStart w:id="176" w:name="_Toc24907"/>
      <w:bookmarkStart w:id="177" w:name="_Toc22037"/>
      <w:bookmarkStart w:id="178" w:name="_Toc206178992"/>
      <w:bookmarkStart w:id="179" w:name="_Toc4055"/>
      <w:bookmarkStart w:id="180" w:name="_Toc28974"/>
      <w:bookmarkStart w:id="181" w:name="_Toc4290"/>
      <w:bookmarkStart w:id="182" w:name="_Toc23732"/>
      <w:bookmarkStart w:id="183" w:name="_Toc6010"/>
      <w:bookmarkStart w:id="184" w:name="_Toc29065"/>
      <w:bookmarkStart w:id="185" w:name="_Toc32694"/>
      <w:bookmarkStart w:id="186" w:name="_Toc17593"/>
      <w:bookmarkStart w:id="187" w:name="_Toc25781"/>
      <w:bookmarkStart w:id="188" w:name="_Toc400"/>
      <w:bookmarkStart w:id="189" w:name="_Toc388"/>
      <w:bookmarkStart w:id="190" w:name="_Toc15371"/>
      <w:bookmarkStart w:id="191" w:name="_Toc3056"/>
      <w:bookmarkStart w:id="192" w:name="_Toc18324"/>
      <w:bookmarkStart w:id="193" w:name="_Toc30468"/>
      <w:bookmarkStart w:id="194" w:name="_Toc21014"/>
      <w:bookmarkStart w:id="195" w:name="_Toc30935"/>
      <w:bookmarkStart w:id="196" w:name="_Toc13071"/>
      <w:bookmarkStart w:id="197" w:name="_Toc30027"/>
      <w:bookmarkStart w:id="198" w:name="_Toc3487"/>
      <w:bookmarkStart w:id="199" w:name="_Toc213435896"/>
      <w:r>
        <w:t>IR-HARQ performance may degrade when PAS is used.</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pPr>
        <w:pStyle w:val="9"/>
        <w:spacing w:before="120"/>
      </w:pPr>
      <w:r>
        <w:rPr>
          <w:rFonts w:hint="eastAsia"/>
        </w:rPr>
        <w:t>B</w:t>
      </w:r>
      <w:r>
        <w:t>ased on analysis above, we think at least these technical issues should be addressed if we consider PAS for 6G modulation.</w:t>
      </w:r>
    </w:p>
    <w:p>
      <w:pPr>
        <w:pStyle w:val="55"/>
        <w:spacing w:before="120" w:after="120"/>
        <w:jc w:val="both"/>
        <w:rPr>
          <w:rFonts w:eastAsia="宋体"/>
          <w:lang w:val="en-US" w:eastAsia="zh-CN"/>
        </w:rPr>
      </w:pPr>
      <w:bookmarkStart w:id="200" w:name="_Toc28928"/>
      <w:bookmarkStart w:id="201" w:name="_Toc206179009"/>
      <w:bookmarkStart w:id="202" w:name="_Toc213435940"/>
      <w:r>
        <w:rPr>
          <w:lang w:val="en-US" w:eastAsia="zh-CN"/>
        </w:rPr>
        <w:t>The following issues for PAS can be studied and evaluated:</w:t>
      </w:r>
      <w:bookmarkEnd w:id="200"/>
      <w:bookmarkEnd w:id="201"/>
      <w:bookmarkEnd w:id="202"/>
    </w:p>
    <w:p>
      <w:pPr>
        <w:pStyle w:val="55"/>
        <w:numPr>
          <w:ilvl w:val="1"/>
          <w:numId w:val="4"/>
        </w:numPr>
        <w:spacing w:before="120" w:after="120"/>
        <w:jc w:val="both"/>
        <w:rPr>
          <w:rFonts w:eastAsia="宋体"/>
          <w:lang w:val="en-US" w:eastAsia="zh-CN"/>
        </w:rPr>
      </w:pPr>
      <w:bookmarkStart w:id="203" w:name="_Toc206179010"/>
      <w:bookmarkStart w:id="204" w:name="_Toc213435941"/>
      <w:bookmarkStart w:id="205" w:name="_Toc24367"/>
      <w:r>
        <w:rPr>
          <w:rFonts w:hint="eastAsia" w:eastAsia="宋体"/>
          <w:lang w:val="en-US" w:eastAsia="zh-CN"/>
        </w:rPr>
        <w:t>I</w:t>
      </w:r>
      <w:r>
        <w:rPr>
          <w:rFonts w:eastAsia="宋体"/>
          <w:lang w:val="en-US" w:eastAsia="zh-CN"/>
        </w:rPr>
        <w:t xml:space="preserve">mpact on </w:t>
      </w:r>
      <w:r>
        <w:rPr>
          <w:rFonts w:hint="eastAsia" w:eastAsia="宋体"/>
          <w:lang w:val="en-US" w:eastAsia="zh-CN"/>
        </w:rPr>
        <w:t>c</w:t>
      </w:r>
      <w:r>
        <w:rPr>
          <w:rFonts w:eastAsia="宋体"/>
          <w:lang w:val="en-US" w:eastAsia="zh-CN"/>
        </w:rPr>
        <w:t>hannel coding chain</w:t>
      </w:r>
      <w:bookmarkEnd w:id="203"/>
      <w:bookmarkEnd w:id="204"/>
      <w:bookmarkEnd w:id="205"/>
    </w:p>
    <w:p>
      <w:pPr>
        <w:pStyle w:val="55"/>
        <w:numPr>
          <w:ilvl w:val="1"/>
          <w:numId w:val="4"/>
        </w:numPr>
        <w:spacing w:before="120" w:after="120"/>
        <w:jc w:val="both"/>
        <w:rPr>
          <w:rFonts w:eastAsia="宋体"/>
          <w:lang w:val="en-US" w:eastAsia="zh-CN"/>
        </w:rPr>
      </w:pPr>
      <w:bookmarkStart w:id="206" w:name="_Toc206179011"/>
      <w:bookmarkStart w:id="207" w:name="_Toc213435942"/>
      <w:bookmarkStart w:id="208" w:name="_Toc19553"/>
      <w:r>
        <w:rPr>
          <w:rFonts w:eastAsia="宋体"/>
          <w:lang w:val="en-US" w:eastAsia="zh-CN"/>
        </w:rPr>
        <w:t>Serial process and storage caused by DM algorithms</w:t>
      </w:r>
      <w:bookmarkEnd w:id="206"/>
      <w:bookmarkEnd w:id="207"/>
      <w:bookmarkEnd w:id="208"/>
    </w:p>
    <w:p>
      <w:pPr>
        <w:pStyle w:val="55"/>
        <w:numPr>
          <w:ilvl w:val="1"/>
          <w:numId w:val="4"/>
        </w:numPr>
        <w:spacing w:before="120" w:after="120"/>
        <w:jc w:val="both"/>
        <w:rPr>
          <w:rFonts w:eastAsia="宋体"/>
          <w:lang w:val="en-US" w:eastAsia="zh-CN"/>
        </w:rPr>
      </w:pPr>
      <w:bookmarkStart w:id="209" w:name="_Toc511"/>
      <w:bookmarkStart w:id="210" w:name="_Toc213435943"/>
      <w:r>
        <w:rPr>
          <w:rFonts w:eastAsia="宋体"/>
          <w:lang w:val="en-US" w:eastAsia="zh-CN"/>
        </w:rPr>
        <w:t>Initial and retransmission performance</w:t>
      </w:r>
      <w:bookmarkEnd w:id="209"/>
      <w:bookmarkEnd w:id="210"/>
    </w:p>
    <w:p>
      <w:pPr>
        <w:pStyle w:val="5"/>
        <w:spacing w:before="120" w:after="24"/>
      </w:pPr>
      <w:r>
        <w:t xml:space="preserve">3.2.2.2 Simulation results </w:t>
      </w:r>
    </w:p>
    <w:p>
      <w:pPr>
        <w:tabs>
          <w:tab w:val="left" w:pos="0"/>
          <w:tab w:val="left" w:pos="420"/>
        </w:tabs>
        <w:spacing w:before="120" w:after="120"/>
      </w:pPr>
      <w:r>
        <w:rPr>
          <w:rFonts w:hint="eastAsia"/>
        </w:rPr>
        <w:t>Figure 10 gives BLER curves of legacy QAM schemes and CCDM-based PAS schemes for selected MCS indices in Table A-2 in the Appendix over AWGN channels, where a TBS of 8424 is used while other simulation settings are presented in Table A-1 in the Appendix.</w:t>
      </w:r>
    </w:p>
    <w:p>
      <w:pPr>
        <w:tabs>
          <w:tab w:val="left" w:pos="0"/>
          <w:tab w:val="left" w:pos="420"/>
        </w:tabs>
        <w:spacing w:before="120" w:after="120"/>
      </w:pPr>
      <w:r>
        <w:rPr>
          <w:rFonts w:hint="eastAsia"/>
        </w:rPr>
        <w:t>From Figure 10, it can be observed that</w:t>
      </w:r>
    </w:p>
    <w:p>
      <w:pPr>
        <w:numPr>
          <w:ilvl w:val="0"/>
          <w:numId w:val="21"/>
        </w:numPr>
        <w:tabs>
          <w:tab w:val="left" w:pos="0"/>
          <w:tab w:val="left" w:pos="420"/>
        </w:tabs>
        <w:spacing w:before="120" w:after="120"/>
      </w:pPr>
      <w:r>
        <w:rPr>
          <w:rFonts w:hint="eastAsia"/>
        </w:rPr>
        <w:t>For MCS 19, about 0.27 dB shaping gain is obtained at BLER = 0.1.</w:t>
      </w:r>
    </w:p>
    <w:p>
      <w:pPr>
        <w:numPr>
          <w:ilvl w:val="0"/>
          <w:numId w:val="21"/>
        </w:numPr>
        <w:tabs>
          <w:tab w:val="left" w:pos="0"/>
          <w:tab w:val="left" w:pos="420"/>
        </w:tabs>
        <w:spacing w:before="120" w:after="120"/>
      </w:pPr>
      <w:r>
        <w:rPr>
          <w:rFonts w:hint="eastAsia"/>
        </w:rPr>
        <w:t>For MCS 24, about 0.53 dB shaping gain is obtained at BLER = 0.1.</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51"/>
        <w:gridCol w:w="47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49" w:type="dxa"/>
            <w:vAlign w:val="center"/>
          </w:tcPr>
          <w:p>
            <w:pPr>
              <w:spacing w:beforeLines="0" w:after="0" w:afterLines="0" w:line="240" w:lineRule="auto"/>
              <w:jc w:val="center"/>
            </w:pPr>
            <w:r>
              <w:drawing>
                <wp:inline distT="0" distB="0" distL="0" distR="0">
                  <wp:extent cx="287972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78" w:type="dxa"/>
            <w:vAlign w:val="center"/>
          </w:tcPr>
          <w:p>
            <w:pPr>
              <w:spacing w:beforeLines="0" w:after="0" w:afterLines="0" w:line="240" w:lineRule="auto"/>
              <w:jc w:val="center"/>
            </w:pPr>
            <w:r>
              <w:drawing>
                <wp:inline distT="0" distB="0" distL="0" distR="0">
                  <wp:extent cx="2879725" cy="21596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49" w:type="dxa"/>
            <w:vAlign w:val="center"/>
          </w:tcPr>
          <w:p>
            <w:pPr>
              <w:spacing w:beforeLines="0" w:after="0" w:afterLines="0" w:line="240" w:lineRule="auto"/>
              <w:jc w:val="center"/>
            </w:pPr>
            <w:r>
              <w:rPr>
                <w:sz w:val="18"/>
                <w:szCs w:val="18"/>
              </w:rPr>
              <w:t>(a)</w:t>
            </w:r>
            <w:r>
              <w:rPr>
                <w:rFonts w:hint="eastAsia"/>
                <w:sz w:val="18"/>
                <w:szCs w:val="18"/>
              </w:rPr>
              <w:t xml:space="preserve">MCS </w:t>
            </w:r>
            <w:r>
              <w:rPr>
                <w:sz w:val="18"/>
                <w:szCs w:val="18"/>
              </w:rPr>
              <w:t>1</w:t>
            </w:r>
            <w:r>
              <w:rPr>
                <w:rFonts w:hint="eastAsia"/>
                <w:sz w:val="18"/>
                <w:szCs w:val="18"/>
              </w:rPr>
              <w:t>9, 1T1R, 1 layer</w:t>
            </w:r>
            <w:r>
              <w:rPr>
                <w:sz w:val="18"/>
                <w:szCs w:val="18"/>
              </w:rPr>
              <w:t>, AWGN</w:t>
            </w:r>
          </w:p>
        </w:tc>
        <w:tc>
          <w:tcPr>
            <w:tcW w:w="4678" w:type="dxa"/>
            <w:vAlign w:val="center"/>
          </w:tcPr>
          <w:p>
            <w:pPr>
              <w:spacing w:beforeLines="0" w:after="0" w:afterLines="0" w:line="240" w:lineRule="auto"/>
              <w:jc w:val="center"/>
            </w:pPr>
            <w:r>
              <w:rPr>
                <w:sz w:val="18"/>
                <w:szCs w:val="18"/>
              </w:rPr>
              <w:t>(b)</w:t>
            </w:r>
            <w:r>
              <w:rPr>
                <w:rFonts w:hint="eastAsia"/>
                <w:sz w:val="18"/>
                <w:szCs w:val="18"/>
              </w:rPr>
              <w:t>MCS 24, 1T1R, 1 layer</w:t>
            </w:r>
            <w:r>
              <w:rPr>
                <w:sz w:val="18"/>
                <w:szCs w:val="18"/>
              </w:rPr>
              <w:t xml:space="preserve">, </w:t>
            </w:r>
            <w:r>
              <w:rPr>
                <w:rFonts w:hint="eastAsia"/>
                <w:sz w:val="18"/>
                <w:szCs w:val="18"/>
              </w:rPr>
              <w:t>AWGN</w:t>
            </w:r>
          </w:p>
        </w:tc>
      </w:tr>
    </w:tbl>
    <w:p>
      <w:pPr>
        <w:tabs>
          <w:tab w:val="left" w:pos="0"/>
          <w:tab w:val="left" w:pos="420"/>
        </w:tabs>
        <w:spacing w:before="120" w:after="120"/>
        <w:jc w:val="center"/>
      </w:pPr>
      <w:r>
        <w:rPr>
          <w:rFonts w:hint="eastAsia"/>
        </w:rPr>
        <w:t>Figure 10 BLER curves of legacy QAM schemes and CCDM-based schemes under MCSs 19 and 24 over AWGN channels.</w:t>
      </w:r>
    </w:p>
    <w:p>
      <w:pPr>
        <w:spacing w:before="120" w:after="120"/>
      </w:pPr>
      <w:r>
        <w:rPr>
          <w:rFonts w:hint="eastAsia"/>
        </w:rPr>
        <w:t>Figure 11 gives BLER curves of legacy QAM schemes and CCDM-based PAS schemes for selected MCS indices in Table A-2 in the Appendix over fading channels, where 6 resource blocks are allocated for data transmission while other simulation settings are presented in Table A-3 in the Appendix</w:t>
      </w:r>
      <w:r>
        <w:t>.</w:t>
      </w:r>
    </w:p>
    <w:p>
      <w:pPr>
        <w:tabs>
          <w:tab w:val="left" w:pos="0"/>
          <w:tab w:val="left" w:pos="420"/>
        </w:tabs>
        <w:spacing w:before="120" w:after="120"/>
      </w:pPr>
      <w:r>
        <w:rPr>
          <w:rFonts w:hint="eastAsia"/>
        </w:rPr>
        <w:t>From Figure 11, it can be observed that</w:t>
      </w:r>
    </w:p>
    <w:p>
      <w:pPr>
        <w:numPr>
          <w:ilvl w:val="0"/>
          <w:numId w:val="22"/>
        </w:numPr>
        <w:tabs>
          <w:tab w:val="left" w:pos="0"/>
          <w:tab w:val="left" w:pos="420"/>
        </w:tabs>
        <w:spacing w:before="120" w:after="120"/>
      </w:pPr>
      <w:r>
        <w:rPr>
          <w:rFonts w:hint="eastAsia"/>
        </w:rPr>
        <w:t>For MCS 19, about</w:t>
      </w:r>
      <w:r>
        <w:t xml:space="preserve"> </w:t>
      </w:r>
      <w:r>
        <w:rPr>
          <w:rFonts w:hint="eastAsia"/>
        </w:rPr>
        <w:t>0.38 dB shaping gain is obtained at BLER = 0.1 in a setting with 1</w:t>
      </w:r>
      <w:r>
        <w:t>T1</w:t>
      </w:r>
      <w:r>
        <w:rPr>
          <w:rFonts w:hint="eastAsia"/>
        </w:rPr>
        <w:t>R</w:t>
      </w:r>
      <w:r>
        <w:t xml:space="preserve">, </w:t>
      </w:r>
      <w:r>
        <w:rPr>
          <w:rFonts w:hint="eastAsia"/>
        </w:rPr>
        <w:t>1 MIMO layer.</w:t>
      </w:r>
    </w:p>
    <w:p>
      <w:pPr>
        <w:numPr>
          <w:ilvl w:val="0"/>
          <w:numId w:val="22"/>
        </w:numPr>
        <w:tabs>
          <w:tab w:val="left" w:pos="0"/>
          <w:tab w:val="left" w:pos="420"/>
        </w:tabs>
        <w:spacing w:before="120" w:after="120"/>
      </w:pPr>
      <w:r>
        <w:rPr>
          <w:rFonts w:hint="eastAsia"/>
        </w:rPr>
        <w:t>F</w:t>
      </w:r>
      <w:r>
        <w:t>or MCS 2</w:t>
      </w:r>
      <w:r>
        <w:rPr>
          <w:rFonts w:hint="eastAsia"/>
        </w:rPr>
        <w:t>4</w:t>
      </w:r>
      <w:r>
        <w:t xml:space="preserve">, about </w:t>
      </w:r>
      <w:r>
        <w:rPr>
          <w:rFonts w:hint="eastAsia"/>
        </w:rPr>
        <w:t>0.71</w:t>
      </w:r>
      <w:r>
        <w:t xml:space="preserve"> dB shaping gain is obtained at BLER = 0.1 in a setting with </w:t>
      </w:r>
      <w:r>
        <w:rPr>
          <w:rFonts w:hint="eastAsia"/>
        </w:rPr>
        <w:t>1</w:t>
      </w:r>
      <w:r>
        <w:t>T1</w:t>
      </w:r>
      <w:r>
        <w:rPr>
          <w:rFonts w:hint="eastAsia"/>
        </w:rPr>
        <w:t>R</w:t>
      </w:r>
      <w:r>
        <w:t xml:space="preserve">, </w:t>
      </w:r>
      <w:r>
        <w:rPr>
          <w:rFonts w:hint="eastAsia"/>
        </w:rPr>
        <w:t>1 MIMO layer.</w:t>
      </w:r>
    </w:p>
    <w:tbl>
      <w:tblPr>
        <w:tblStyle w:val="17"/>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72"/>
        <w:gridCol w:w="46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72" w:type="dxa"/>
            <w:vAlign w:val="center"/>
          </w:tcPr>
          <w:p>
            <w:pPr>
              <w:spacing w:beforeLines="0" w:after="0" w:afterLines="0" w:line="240" w:lineRule="auto"/>
              <w:jc w:val="center"/>
            </w:pPr>
            <w:r>
              <w:drawing>
                <wp:inline distT="0" distB="0" distL="114300" distR="114300">
                  <wp:extent cx="2700020" cy="2045335"/>
                  <wp:effectExtent l="0" t="0" r="5080" b="12065"/>
                  <wp:docPr id="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
                          <pic:cNvPicPr>
                            <a:picLocks noChangeAspect="1"/>
                          </pic:cNvPicPr>
                        </pic:nvPicPr>
                        <pic:blipFill>
                          <a:blip r:embed="rId30"/>
                          <a:stretch>
                            <a:fillRect/>
                          </a:stretch>
                        </pic:blipFill>
                        <pic:spPr>
                          <a:xfrm>
                            <a:off x="0" y="0"/>
                            <a:ext cx="2700020" cy="2045335"/>
                          </a:xfrm>
                          <a:prstGeom prst="rect">
                            <a:avLst/>
                          </a:prstGeom>
                          <a:noFill/>
                          <a:ln>
                            <a:noFill/>
                          </a:ln>
                        </pic:spPr>
                      </pic:pic>
                    </a:graphicData>
                  </a:graphic>
                </wp:inline>
              </w:drawing>
            </w:r>
          </w:p>
        </w:tc>
        <w:tc>
          <w:tcPr>
            <w:tcW w:w="4679" w:type="dxa"/>
            <w:vAlign w:val="center"/>
          </w:tcPr>
          <w:p>
            <w:pPr>
              <w:spacing w:beforeLines="0" w:after="0" w:afterLines="0" w:line="240" w:lineRule="auto"/>
              <w:jc w:val="center"/>
            </w:pPr>
            <w:r>
              <w:drawing>
                <wp:inline distT="0" distB="0" distL="114300" distR="114300">
                  <wp:extent cx="2700020" cy="2045335"/>
                  <wp:effectExtent l="0" t="0" r="5080" b="12065"/>
                  <wp:docPr id="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3"/>
                          <pic:cNvPicPr>
                            <a:picLocks noChangeAspect="1"/>
                          </pic:cNvPicPr>
                        </pic:nvPicPr>
                        <pic:blipFill>
                          <a:blip r:embed="rId30"/>
                          <a:stretch>
                            <a:fillRect/>
                          </a:stretch>
                        </pic:blipFill>
                        <pic:spPr>
                          <a:xfrm>
                            <a:off x="0" y="0"/>
                            <a:ext cx="2700020" cy="20453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72" w:type="dxa"/>
            <w:vAlign w:val="center"/>
          </w:tcPr>
          <w:p>
            <w:pPr>
              <w:spacing w:beforeLines="0" w:after="0" w:afterLines="0" w:line="240" w:lineRule="auto"/>
              <w:jc w:val="center"/>
            </w:pPr>
            <w:r>
              <w:rPr>
                <w:sz w:val="18"/>
                <w:szCs w:val="18"/>
              </w:rPr>
              <w:t>(a)</w:t>
            </w:r>
            <w:r>
              <w:rPr>
                <w:rFonts w:hint="eastAsia"/>
                <w:sz w:val="18"/>
                <w:szCs w:val="18"/>
              </w:rPr>
              <w:t>MCS 19, 1T1R, 1 layer</w:t>
            </w:r>
            <w:r>
              <w:rPr>
                <w:sz w:val="18"/>
                <w:szCs w:val="18"/>
              </w:rPr>
              <w:t xml:space="preserve">, </w:t>
            </w:r>
            <w:r>
              <w:rPr>
                <w:rFonts w:hint="eastAsia"/>
                <w:sz w:val="18"/>
                <w:szCs w:val="18"/>
              </w:rPr>
              <w:t>CDL-A</w:t>
            </w:r>
          </w:p>
        </w:tc>
        <w:tc>
          <w:tcPr>
            <w:tcW w:w="4679" w:type="dxa"/>
            <w:vAlign w:val="center"/>
          </w:tcPr>
          <w:p>
            <w:pPr>
              <w:spacing w:beforeLines="0" w:after="0" w:afterLines="0" w:line="240" w:lineRule="auto"/>
              <w:jc w:val="center"/>
            </w:pPr>
            <w:r>
              <w:rPr>
                <w:sz w:val="18"/>
                <w:szCs w:val="18"/>
              </w:rPr>
              <w:t>(b)</w:t>
            </w:r>
            <w:r>
              <w:rPr>
                <w:rFonts w:hint="eastAsia"/>
                <w:sz w:val="18"/>
                <w:szCs w:val="18"/>
              </w:rPr>
              <w:t>MCS 24, 1T1R, 1 layer</w:t>
            </w:r>
            <w:r>
              <w:rPr>
                <w:sz w:val="18"/>
                <w:szCs w:val="18"/>
              </w:rPr>
              <w:t>, CDL-A</w:t>
            </w:r>
          </w:p>
        </w:tc>
      </w:tr>
    </w:tbl>
    <w:p>
      <w:pPr>
        <w:spacing w:before="120" w:after="120"/>
      </w:pPr>
      <w:r>
        <w:rPr>
          <w:rFonts w:hint="eastAsia"/>
        </w:rPr>
        <w:t>F</w:t>
      </w:r>
      <w:r>
        <w:t xml:space="preserve">igure 11 </w:t>
      </w:r>
      <w:r>
        <w:rPr>
          <w:rFonts w:hint="eastAsia"/>
        </w:rPr>
        <w:t xml:space="preserve">BLER curves of legacy QAM schemes and CCDM-based PAS schemes under MCSs 19 and </w:t>
      </w:r>
      <w:r>
        <w:t>2</w:t>
      </w:r>
      <w:r>
        <w:rPr>
          <w:rFonts w:hint="eastAsia"/>
        </w:rPr>
        <w:t>4 over CDL-A channels.</w:t>
      </w:r>
    </w:p>
    <w:p>
      <w:pPr>
        <w:spacing w:before="120" w:after="120"/>
      </w:pPr>
      <w:r>
        <w:t>Table 5 gives SNR in dB at BLER = 0.1 of legacy QAM schemes and CCDM-based PAS schemes for selected MCS indices in Table A-2 in the Appendix over MIMO fading channels under LMMSE receiver, and other simulation settings are presented in Table A-3 in the Appendix.</w:t>
      </w:r>
    </w:p>
    <w:p>
      <w:pPr>
        <w:pStyle w:val="52"/>
        <w:numPr>
          <w:ilvl w:val="0"/>
          <w:numId w:val="0"/>
        </w:numPr>
        <w:spacing w:before="120" w:after="120"/>
        <w:jc w:val="center"/>
        <w:rPr>
          <w:rFonts w:eastAsia="宋体"/>
          <w:b w:val="0"/>
          <w:bCs w:val="0"/>
          <w:i w:val="0"/>
          <w:iCs w:val="0"/>
          <w:sz w:val="21"/>
          <w:lang w:val="en-US" w:eastAsia="zh-CN"/>
        </w:rPr>
      </w:pPr>
      <w:bookmarkStart w:id="211" w:name="_Toc213435897"/>
      <w:r>
        <w:rPr>
          <w:rFonts w:hint="eastAsia" w:eastAsia="宋体"/>
          <w:b w:val="0"/>
          <w:bCs w:val="0"/>
          <w:i w:val="0"/>
          <w:iCs w:val="0"/>
          <w:sz w:val="21"/>
          <w:lang w:val="en-US" w:eastAsia="zh-CN"/>
        </w:rPr>
        <w:t>T</w:t>
      </w:r>
      <w:r>
        <w:rPr>
          <w:rFonts w:eastAsia="宋体"/>
          <w:b w:val="0"/>
          <w:bCs w:val="0"/>
          <w:i w:val="0"/>
          <w:iCs w:val="0"/>
          <w:sz w:val="21"/>
          <w:lang w:val="en-US" w:eastAsia="zh-CN"/>
        </w:rPr>
        <w:t xml:space="preserve">able 5: Performance comparison between legacy QAM and CCDM-based PAS under LMMSE receiver in </w:t>
      </w:r>
      <w:r>
        <w:rPr>
          <w:rFonts w:hint="eastAsia" w:eastAsia="宋体"/>
          <w:b w:val="0"/>
          <w:bCs w:val="0"/>
          <w:i w:val="0"/>
          <w:iCs w:val="0"/>
          <w:sz w:val="21"/>
          <w:lang w:val="en-US" w:eastAsia="zh-CN"/>
        </w:rPr>
        <w:t>C</w:t>
      </w:r>
      <w:r>
        <w:rPr>
          <w:rFonts w:eastAsia="宋体"/>
          <w:b w:val="0"/>
          <w:bCs w:val="0"/>
          <w:i w:val="0"/>
          <w:iCs w:val="0"/>
          <w:sz w:val="21"/>
          <w:lang w:val="en-US" w:eastAsia="zh-CN"/>
        </w:rPr>
        <w:t xml:space="preserve">DL-A 4T4R channel with </w:t>
      </w:r>
      <w:r>
        <w:rPr>
          <w:rFonts w:hint="eastAsia" w:eastAsia="宋体"/>
          <w:b w:val="0"/>
          <w:bCs w:val="0"/>
          <w:i w:val="0"/>
          <w:iCs w:val="0"/>
          <w:sz w:val="21"/>
          <w:lang w:val="en-US" w:eastAsia="zh-CN"/>
        </w:rPr>
        <w:t>6 RBs</w:t>
      </w:r>
      <w:bookmarkEnd w:id="211"/>
    </w:p>
    <w:tbl>
      <w:tblPr>
        <w:tblStyle w:val="17"/>
        <w:tblW w:w="0" w:type="auto"/>
        <w:tblInd w:w="124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048"/>
        <w:gridCol w:w="1748"/>
        <w:gridCol w:w="1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BEBEBE" w:themeFill="background1" w:themeFillShade="BF"/>
          </w:tcPr>
          <w:p>
            <w:pPr>
              <w:spacing w:beforeLines="0" w:after="0" w:afterLines="0" w:line="240" w:lineRule="auto"/>
              <w:jc w:val="center"/>
              <w:rPr>
                <w:b/>
              </w:rPr>
            </w:pPr>
            <w:r>
              <w:rPr>
                <w:b/>
              </w:rPr>
              <w:t>(</w:t>
            </w:r>
            <w:r>
              <w:rPr>
                <w:rFonts w:hint="eastAsia"/>
                <w:b/>
              </w:rPr>
              <w:t>Q</w:t>
            </w:r>
            <w:r>
              <w:rPr>
                <w:b/>
              </w:rPr>
              <w:t>m, SpecEff)</w:t>
            </w:r>
          </w:p>
        </w:tc>
        <w:tc>
          <w:tcPr>
            <w:tcW w:w="2048" w:type="dxa"/>
            <w:shd w:val="clear" w:color="auto" w:fill="BEBEBE" w:themeFill="background1" w:themeFillShade="BF"/>
          </w:tcPr>
          <w:p>
            <w:pPr>
              <w:spacing w:beforeLines="0" w:after="0" w:afterLines="0" w:line="240" w:lineRule="auto"/>
              <w:jc w:val="center"/>
              <w:rPr>
                <w:b/>
              </w:rPr>
            </w:pPr>
            <w:r>
              <w:rPr>
                <w:rFonts w:hint="eastAsia"/>
                <w:b/>
              </w:rPr>
              <w:t>S</w:t>
            </w:r>
            <w:r>
              <w:rPr>
                <w:b/>
              </w:rPr>
              <w:t>NR(Legacy) [dB]</w:t>
            </w:r>
          </w:p>
        </w:tc>
        <w:tc>
          <w:tcPr>
            <w:tcW w:w="1748" w:type="dxa"/>
            <w:shd w:val="clear" w:color="auto" w:fill="BEBEBE" w:themeFill="background1" w:themeFillShade="BF"/>
          </w:tcPr>
          <w:p>
            <w:pPr>
              <w:spacing w:beforeLines="0" w:after="0" w:afterLines="0" w:line="240" w:lineRule="auto"/>
              <w:jc w:val="center"/>
              <w:rPr>
                <w:b/>
              </w:rPr>
            </w:pPr>
            <w:r>
              <w:rPr>
                <w:b/>
              </w:rPr>
              <w:t>SNR(PAS) [dB]</w:t>
            </w:r>
          </w:p>
        </w:tc>
        <w:tc>
          <w:tcPr>
            <w:tcW w:w="1600" w:type="dxa"/>
            <w:shd w:val="clear" w:color="auto" w:fill="BEBEBE" w:themeFill="background1" w:themeFillShade="BF"/>
          </w:tcPr>
          <w:p>
            <w:pPr>
              <w:spacing w:beforeLines="0" w:after="0" w:afterLines="0" w:line="240" w:lineRule="auto"/>
              <w:jc w:val="center"/>
              <w:rPr>
                <w:b/>
              </w:rPr>
            </w:pPr>
            <w:r>
              <w:rPr>
                <w:rFonts w:hint="eastAsia"/>
                <w:b/>
              </w:rPr>
              <w:t>G</w:t>
            </w:r>
            <w:r>
              <w:rPr>
                <w:b/>
              </w:rPr>
              <w:t>ain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beforeLines="0" w:after="0" w:afterLines="0" w:line="240" w:lineRule="auto"/>
              <w:jc w:val="center"/>
            </w:pPr>
            <w:r>
              <w:rPr>
                <w:rFonts w:hint="eastAsia"/>
              </w:rPr>
              <w:t>(</w:t>
            </w:r>
            <w:r>
              <w:t>6, 5.1152)</w:t>
            </w:r>
          </w:p>
        </w:tc>
        <w:tc>
          <w:tcPr>
            <w:tcW w:w="2048" w:type="dxa"/>
          </w:tcPr>
          <w:p>
            <w:pPr>
              <w:spacing w:beforeLines="0" w:after="0" w:afterLines="0" w:line="240" w:lineRule="auto"/>
              <w:jc w:val="center"/>
            </w:pPr>
            <w:r>
              <w:rPr>
                <w:rFonts w:hint="eastAsia"/>
              </w:rPr>
              <w:t>46.3704</w:t>
            </w:r>
          </w:p>
        </w:tc>
        <w:tc>
          <w:tcPr>
            <w:tcW w:w="1748" w:type="dxa"/>
          </w:tcPr>
          <w:p>
            <w:pPr>
              <w:spacing w:beforeLines="0" w:after="0" w:afterLines="0" w:line="240" w:lineRule="auto"/>
              <w:jc w:val="center"/>
            </w:pPr>
            <w:r>
              <w:rPr>
                <w:rFonts w:hint="eastAsia"/>
              </w:rPr>
              <w:t>48.4811</w:t>
            </w:r>
          </w:p>
        </w:tc>
        <w:tc>
          <w:tcPr>
            <w:tcW w:w="1600" w:type="dxa"/>
          </w:tcPr>
          <w:p>
            <w:pPr>
              <w:spacing w:beforeLines="0" w:after="0" w:afterLines="0" w:line="240" w:lineRule="auto"/>
              <w:jc w:val="center"/>
            </w:pPr>
            <w:r>
              <w:rPr>
                <w:rFonts w:hint="eastAsia"/>
              </w:rPr>
              <w:t>-2.1107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tcPr>
          <w:p>
            <w:pPr>
              <w:spacing w:beforeLines="0" w:after="0" w:afterLines="0" w:line="240" w:lineRule="auto"/>
              <w:jc w:val="center"/>
            </w:pPr>
            <w:r>
              <w:rPr>
                <w:rFonts w:hint="eastAsia"/>
              </w:rPr>
              <w:t>(</w:t>
            </w:r>
            <w:r>
              <w:t>8, 6.5703)</w:t>
            </w:r>
          </w:p>
        </w:tc>
        <w:tc>
          <w:tcPr>
            <w:tcW w:w="2048" w:type="dxa"/>
          </w:tcPr>
          <w:p>
            <w:pPr>
              <w:spacing w:beforeLines="0" w:after="0" w:afterLines="0" w:line="240" w:lineRule="auto"/>
              <w:jc w:val="center"/>
            </w:pPr>
            <w:r>
              <w:rPr>
                <w:rFonts w:hint="eastAsia"/>
              </w:rPr>
              <w:t>4</w:t>
            </w:r>
            <w:r>
              <w:t>8.9101</w:t>
            </w:r>
          </w:p>
        </w:tc>
        <w:tc>
          <w:tcPr>
            <w:tcW w:w="1748" w:type="dxa"/>
          </w:tcPr>
          <w:p>
            <w:pPr>
              <w:spacing w:beforeLines="0" w:after="0" w:afterLines="0" w:line="240" w:lineRule="auto"/>
              <w:jc w:val="center"/>
            </w:pPr>
            <w:r>
              <w:rPr>
                <w:rFonts w:hint="eastAsia"/>
              </w:rPr>
              <w:t>5</w:t>
            </w:r>
            <w:r>
              <w:t>1.9243</w:t>
            </w:r>
          </w:p>
        </w:tc>
        <w:tc>
          <w:tcPr>
            <w:tcW w:w="1600" w:type="dxa"/>
          </w:tcPr>
          <w:p>
            <w:pPr>
              <w:spacing w:beforeLines="0" w:after="0" w:afterLines="0" w:line="240" w:lineRule="auto"/>
              <w:jc w:val="center"/>
            </w:pPr>
            <w:r>
              <w:rPr>
                <w:rFonts w:hint="eastAsia"/>
              </w:rPr>
              <w:t>-</w:t>
            </w:r>
            <w:r>
              <w:t>3.0142</w:t>
            </w:r>
          </w:p>
        </w:tc>
      </w:tr>
    </w:tbl>
    <w:p>
      <w:pPr>
        <w:pStyle w:val="52"/>
        <w:spacing w:before="120" w:after="120"/>
        <w:jc w:val="both"/>
        <w:rPr>
          <w:lang w:val="en-US" w:eastAsia="zh-CN"/>
        </w:rPr>
      </w:pPr>
      <w:bookmarkStart w:id="212" w:name="_Toc213435898"/>
      <w:r>
        <w:t xml:space="preserve">According to our simulation results,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performance</w:t>
      </w:r>
      <w:r>
        <w:rPr>
          <w:rFonts w:hint="eastAsia"/>
        </w:rPr>
        <w:t>.</w:t>
      </w:r>
      <w:bookmarkEnd w:id="212"/>
    </w:p>
    <w:p>
      <w:pPr>
        <w:pStyle w:val="52"/>
        <w:numPr>
          <w:ilvl w:val="0"/>
          <w:numId w:val="11"/>
        </w:numPr>
        <w:spacing w:before="120" w:after="120"/>
        <w:jc w:val="both"/>
        <w:rPr>
          <w:lang w:val="en-US" w:eastAsia="zh-CN"/>
        </w:rPr>
      </w:pPr>
      <w:bookmarkStart w:id="213" w:name="_Toc213435899"/>
      <w:r>
        <w:rPr>
          <w:lang w:val="en-US" w:eastAsia="zh-CN"/>
        </w:rPr>
        <w:t>~0.</w:t>
      </w:r>
      <w:r>
        <w:rPr>
          <w:rFonts w:hint="eastAsia"/>
          <w:lang w:val="en-US" w:eastAsia="zh-CN"/>
        </w:rPr>
        <w:t>27</w:t>
      </w:r>
      <w:r>
        <w:rPr>
          <w:lang w:val="en-US" w:eastAsia="zh-CN"/>
        </w:rPr>
        <w:t xml:space="preserve">dB shaping gain for MCS level </w:t>
      </w:r>
      <w:r>
        <w:rPr>
          <w:rFonts w:hint="eastAsia"/>
          <w:lang w:val="en-US" w:eastAsia="zh-CN"/>
        </w:rPr>
        <w:t>19</w:t>
      </w:r>
      <w:r>
        <w:rPr>
          <w:lang w:val="en-US" w:eastAsia="zh-CN"/>
        </w:rPr>
        <w:t xml:space="preserve"> in NR 256QAM table at BLER = 0.1 in the </w:t>
      </w:r>
      <w:r>
        <w:rPr>
          <w:rFonts w:hint="eastAsia"/>
          <w:lang w:val="en-US" w:eastAsia="zh-CN"/>
        </w:rPr>
        <w:t>AWGN</w:t>
      </w:r>
      <w:r>
        <w:rPr>
          <w:lang w:val="en-US" w:eastAsia="zh-CN"/>
        </w:rPr>
        <w:t xml:space="preserve"> channel.</w:t>
      </w:r>
      <w:bookmarkEnd w:id="213"/>
    </w:p>
    <w:p>
      <w:pPr>
        <w:pStyle w:val="52"/>
        <w:numPr>
          <w:ilvl w:val="0"/>
          <w:numId w:val="11"/>
        </w:numPr>
        <w:spacing w:before="120" w:after="120"/>
        <w:jc w:val="both"/>
        <w:rPr>
          <w:lang w:val="en-US" w:eastAsia="zh-CN"/>
        </w:rPr>
      </w:pPr>
      <w:bookmarkStart w:id="214" w:name="_Toc213435900"/>
      <w:r>
        <w:rPr>
          <w:rFonts w:hint="eastAsia"/>
          <w:lang w:val="en-US" w:eastAsia="zh-CN"/>
        </w:rPr>
        <w:t>~</w:t>
      </w:r>
      <w:r>
        <w:rPr>
          <w:lang w:val="en-US" w:eastAsia="zh-CN"/>
        </w:rPr>
        <w:t>0.</w:t>
      </w:r>
      <w:r>
        <w:rPr>
          <w:rFonts w:hint="eastAsia"/>
          <w:lang w:val="en-US" w:eastAsia="zh-CN"/>
        </w:rPr>
        <w:t>38</w:t>
      </w:r>
      <w:r>
        <w:rPr>
          <w:lang w:val="en-US" w:eastAsia="zh-CN"/>
        </w:rPr>
        <w:t>dB shaping gain for MCS level 1</w:t>
      </w:r>
      <w:r>
        <w:rPr>
          <w:rFonts w:hint="eastAsia"/>
          <w:lang w:val="en-US" w:eastAsia="zh-CN"/>
        </w:rPr>
        <w:t>9</w:t>
      </w:r>
      <w:r>
        <w:rPr>
          <w:lang w:val="en-US" w:eastAsia="zh-CN"/>
        </w:rPr>
        <w:t xml:space="preserve"> in NR 256QAM table at BLER = 0.1 in the CDL-A </w:t>
      </w:r>
      <w:r>
        <w:rPr>
          <w:rFonts w:hint="eastAsia"/>
          <w:lang w:val="en-US" w:eastAsia="zh-CN"/>
        </w:rPr>
        <w:t>1</w:t>
      </w:r>
      <w:r>
        <w:rPr>
          <w:lang w:val="en-US" w:eastAsia="zh-CN"/>
        </w:rPr>
        <w:t>T</w:t>
      </w:r>
      <w:r>
        <w:rPr>
          <w:rFonts w:hint="eastAsia"/>
          <w:lang w:val="en-US" w:eastAsia="zh-CN"/>
        </w:rPr>
        <w:t>1</w:t>
      </w:r>
      <w:r>
        <w:rPr>
          <w:lang w:val="en-US" w:eastAsia="zh-CN"/>
        </w:rPr>
        <w:t>R channel.</w:t>
      </w:r>
      <w:bookmarkEnd w:id="214"/>
    </w:p>
    <w:p>
      <w:pPr>
        <w:pStyle w:val="52"/>
        <w:numPr>
          <w:ilvl w:val="0"/>
          <w:numId w:val="11"/>
        </w:numPr>
        <w:spacing w:before="120" w:after="120"/>
        <w:jc w:val="both"/>
        <w:rPr>
          <w:lang w:val="en-US" w:eastAsia="zh-CN"/>
        </w:rPr>
      </w:pPr>
      <w:bookmarkStart w:id="215" w:name="_Toc213435901"/>
      <w:r>
        <w:rPr>
          <w:lang w:val="en-US" w:eastAsia="zh-CN"/>
        </w:rPr>
        <w:t>~</w:t>
      </w:r>
      <w:r>
        <w:rPr>
          <w:rFonts w:hint="eastAsia"/>
          <w:lang w:val="en-US" w:eastAsia="zh-CN"/>
        </w:rPr>
        <w:t>0.53</w:t>
      </w:r>
      <w:r>
        <w:rPr>
          <w:lang w:val="en-US" w:eastAsia="zh-CN"/>
        </w:rPr>
        <w:t>dB shaping gain for MCS level 2</w:t>
      </w:r>
      <w:r>
        <w:rPr>
          <w:rFonts w:hint="eastAsia"/>
          <w:lang w:val="en-US" w:eastAsia="zh-CN"/>
        </w:rPr>
        <w:t>4</w:t>
      </w:r>
      <w:r>
        <w:rPr>
          <w:lang w:val="en-US" w:eastAsia="zh-CN"/>
        </w:rPr>
        <w:t xml:space="preserve"> in NR 256QAM table at BLER = 0.1 in the </w:t>
      </w:r>
      <w:r>
        <w:rPr>
          <w:rFonts w:hint="eastAsia"/>
          <w:lang w:val="en-US" w:eastAsia="zh-CN"/>
        </w:rPr>
        <w:t>AWGN</w:t>
      </w:r>
      <w:r>
        <w:rPr>
          <w:lang w:val="en-US" w:eastAsia="zh-CN"/>
        </w:rPr>
        <w:t xml:space="preserve"> channel.</w:t>
      </w:r>
      <w:bookmarkEnd w:id="215"/>
    </w:p>
    <w:p>
      <w:pPr>
        <w:pStyle w:val="52"/>
        <w:numPr>
          <w:ilvl w:val="0"/>
          <w:numId w:val="11"/>
        </w:numPr>
        <w:spacing w:before="120" w:after="120"/>
      </w:pPr>
      <w:bookmarkStart w:id="216" w:name="_Toc213435902"/>
      <w:r>
        <w:rPr>
          <w:rFonts w:hint="eastAsia"/>
          <w:lang w:val="en-US" w:eastAsia="zh-CN"/>
        </w:rPr>
        <w:t>~0.71</w:t>
      </w:r>
      <w:r>
        <w:rPr>
          <w:lang w:val="en-US" w:eastAsia="zh-CN"/>
        </w:rPr>
        <w:t>dB shaping gain for MCS level 2</w:t>
      </w:r>
      <w:r>
        <w:rPr>
          <w:rFonts w:hint="eastAsia"/>
          <w:lang w:val="en-US" w:eastAsia="zh-CN"/>
        </w:rPr>
        <w:t>4</w:t>
      </w:r>
      <w:r>
        <w:rPr>
          <w:lang w:val="en-US" w:eastAsia="zh-CN"/>
        </w:rPr>
        <w:t xml:space="preserve"> in NR 256QAM table at BLER = 0.1 in the CDL-A </w:t>
      </w:r>
      <w:r>
        <w:rPr>
          <w:rFonts w:hint="eastAsia"/>
          <w:lang w:val="en-US" w:eastAsia="zh-CN"/>
        </w:rPr>
        <w:t>1</w:t>
      </w:r>
      <w:r>
        <w:rPr>
          <w:lang w:val="en-US" w:eastAsia="zh-CN"/>
        </w:rPr>
        <w:t>T</w:t>
      </w:r>
      <w:r>
        <w:rPr>
          <w:rFonts w:hint="eastAsia"/>
          <w:lang w:val="en-US" w:eastAsia="zh-CN"/>
        </w:rPr>
        <w:t>1</w:t>
      </w:r>
      <w:r>
        <w:rPr>
          <w:lang w:val="en-US" w:eastAsia="zh-CN"/>
        </w:rPr>
        <w:t>R channel.</w:t>
      </w:r>
      <w:bookmarkEnd w:id="216"/>
    </w:p>
    <w:p>
      <w:pPr>
        <w:pStyle w:val="52"/>
        <w:numPr>
          <w:ilvl w:val="0"/>
          <w:numId w:val="11"/>
        </w:numPr>
        <w:spacing w:before="120" w:after="120"/>
      </w:pPr>
      <w:bookmarkStart w:id="217" w:name="_Toc213435903"/>
      <w:r>
        <w:rPr>
          <w:lang w:eastAsia="zh-CN"/>
        </w:rPr>
        <w:t>~2.1 dB performance loss for MCS level 19 in NR 256QAM table at BLER = 0.1 in the TDL-A 4T4R channel under LMMSE receiver.</w:t>
      </w:r>
      <w:bookmarkEnd w:id="217"/>
    </w:p>
    <w:p>
      <w:pPr>
        <w:pStyle w:val="52"/>
        <w:numPr>
          <w:ilvl w:val="0"/>
          <w:numId w:val="11"/>
        </w:numPr>
        <w:spacing w:before="120" w:after="120"/>
      </w:pPr>
      <w:bookmarkStart w:id="218" w:name="_Toc213435904"/>
      <w:r>
        <w:rPr>
          <w:rFonts w:hint="eastAsia"/>
          <w:lang w:eastAsia="zh-CN"/>
        </w:rPr>
        <w:t>~</w:t>
      </w:r>
      <w:r>
        <w:rPr>
          <w:lang w:eastAsia="zh-CN"/>
        </w:rPr>
        <w:t>3.0 dB performance loss for MCS level 24 in NR 256QAM table at BLER = 0.1 in the TDL-A 4T4R channel under LMMSE receiver.</w:t>
      </w:r>
      <w:bookmarkEnd w:id="218"/>
    </w:p>
    <w:p>
      <w:pPr>
        <w:pStyle w:val="5"/>
        <w:spacing w:before="120" w:after="24"/>
      </w:pPr>
      <w:r>
        <w:t xml:space="preserve">3.2.2.3 Complexity analysis </w:t>
      </w:r>
    </w:p>
    <w:p>
      <w:pPr>
        <w:spacing w:before="120" w:after="120"/>
        <w:rPr>
          <w:b/>
          <w:u w:val="single"/>
        </w:rPr>
      </w:pPr>
      <w:bookmarkStart w:id="219" w:name="_Hlk212638691"/>
      <w:bookmarkStart w:id="220" w:name="_Hlk206180213"/>
      <w:r>
        <w:rPr>
          <w:rFonts w:hint="eastAsia"/>
          <w:b/>
          <w:u w:val="single"/>
        </w:rPr>
        <w:t>T</w:t>
      </w:r>
      <w:r>
        <w:rPr>
          <w:b/>
          <w:u w:val="single"/>
        </w:rPr>
        <w:t>ransmitter complexity</w:t>
      </w:r>
    </w:p>
    <w:bookmarkEnd w:id="219"/>
    <w:p>
      <w:pPr>
        <w:spacing w:before="120" w:after="120"/>
        <w:rPr>
          <w:szCs w:val="21"/>
        </w:rPr>
      </w:pPr>
      <w:r>
        <w:t xml:space="preserve">In our opinion, the transmitter complexity for </w:t>
      </w:r>
      <w:r>
        <w:rPr>
          <w:rFonts w:hint="eastAsia"/>
        </w:rPr>
        <w:t>PAS</w:t>
      </w:r>
      <w:r>
        <w:t xml:space="preserve"> modulation is on </w:t>
      </w:r>
      <w:r>
        <w:rPr>
          <w:rFonts w:hint="eastAsia"/>
        </w:rPr>
        <w:t>the complexity of DM encoding</w:t>
      </w:r>
      <w:r>
        <w:t>.</w:t>
      </w:r>
    </w:p>
    <w:p>
      <w:pPr>
        <w:spacing w:before="120" w:after="120"/>
        <w:rPr>
          <w:szCs w:val="21"/>
          <w:u w:val="single"/>
        </w:rPr>
      </w:pPr>
      <w:r>
        <w:rPr>
          <w:szCs w:val="21"/>
          <w:u w:val="single"/>
        </w:rPr>
        <w:t>DM algorithms: CCDM</w:t>
      </w:r>
    </w:p>
    <w:p>
      <w:pPr>
        <w:spacing w:before="120" w:after="120"/>
      </w:pPr>
      <w:r>
        <w:t>As mentioned above, CCDM has a</w:t>
      </w:r>
      <w:r>
        <w:rPr>
          <w:rFonts w:hint="eastAsia"/>
        </w:rPr>
        <w:t>n</w:t>
      </w:r>
      <w:r>
        <w:t xml:space="preserve"> impact on transmission throughput due to serial process.</w:t>
      </w:r>
      <w:r>
        <w:rPr>
          <w:rFonts w:hint="eastAsia"/>
        </w:rPr>
        <w:t xml:space="preserve"> In the following, computation complexity of CCDM is analyzed. Let N</w:t>
      </w:r>
      <w:r>
        <w:rPr>
          <w:rFonts w:hint="eastAsia"/>
          <w:vertAlign w:val="subscript"/>
        </w:rPr>
        <w:t>1</w:t>
      </w:r>
      <w:r>
        <w:rPr>
          <w:rFonts w:hint="eastAsia"/>
        </w:rPr>
        <w:t>, N</w:t>
      </w:r>
      <w:r>
        <w:rPr>
          <w:rFonts w:hint="eastAsia"/>
          <w:vertAlign w:val="subscript"/>
        </w:rPr>
        <w:t>3</w:t>
      </w:r>
      <w:r>
        <w:rPr>
          <w:rFonts w:hint="eastAsia"/>
        </w:rPr>
        <w:t>, ..., N</w:t>
      </w:r>
      <w:r>
        <w:rPr>
          <w:rFonts w:hint="eastAsia"/>
          <w:vertAlign w:val="subscript"/>
        </w:rPr>
        <w:t>2|</w:t>
      </w:r>
      <w:r>
        <w:rPr>
          <w:rFonts w:asciiTheme="majorHAnsi" w:hAnsiTheme="majorHAnsi"/>
          <w:vertAlign w:val="subscript"/>
        </w:rPr>
        <w:t>A</w:t>
      </w:r>
      <w:r>
        <w:rPr>
          <w:rFonts w:hint="eastAsia"/>
          <w:vertAlign w:val="subscript"/>
        </w:rPr>
        <w:t xml:space="preserve">|-1 </w:t>
      </w:r>
      <w:r>
        <w:rPr>
          <w:rFonts w:hint="eastAsia"/>
        </w:rPr>
        <w:t xml:space="preserve">being the number of amplitudes 1, 3, ..., 2|A|-1 with A = {1, 3, ..., 2|A|-1} is the amplitude set and </w:t>
      </w:r>
      <m:oMath>
        <m:d>
          <m:dPr>
            <m:begChr m:val="|"/>
            <m:endChr m:val="|"/>
            <m:ctrlPr>
              <w:rPr>
                <w:rFonts w:ascii="Cambria Math" w:hAnsi="Cambria Math"/>
                <w:i/>
              </w:rPr>
            </m:ctrlPr>
          </m:dPr>
          <m:e>
            <m:r>
              <m:rPr/>
              <w:rPr>
                <w:rFonts w:ascii="Cambria Math" w:hAnsi="Cambria Math"/>
              </w:rPr>
              <m:t>A</m:t>
            </m:r>
            <m:ctrlPr>
              <w:rPr>
                <w:rFonts w:ascii="Cambria Math" w:hAnsi="Cambria Math"/>
                <w:i/>
              </w:rPr>
            </m:ctrlPr>
          </m:e>
        </m:d>
        <m:r>
          <m:rPr/>
          <w:rPr>
            <w:rFonts w:hint="eastAsia" w:ascii="Cambria Math" w:hAnsi="Cambria Math"/>
          </w:rPr>
          <m:t>=</m:t>
        </m:r>
        <m:sSup>
          <m:sSupPr>
            <m:ctrlPr>
              <w:rPr>
                <w:rFonts w:ascii="Cambria Math" w:hAnsi="Cambria Math"/>
                <w:iCs/>
              </w:rPr>
            </m:ctrlPr>
          </m:sSupPr>
          <m:e>
            <m:r>
              <m:rPr>
                <m:sty m:val="p"/>
              </m:rPr>
              <w:rPr>
                <w:rFonts w:ascii="Cambria Math" w:hAnsi="Cambria Math"/>
              </w:rPr>
              <m:t>2</m:t>
            </m:r>
            <m:ctrlPr>
              <w:rPr>
                <w:rFonts w:ascii="Cambria Math" w:hAnsi="Cambria Math"/>
                <w:iCs/>
              </w:rPr>
            </m:ctrlPr>
          </m:e>
          <m:sup>
            <m:r>
              <m:rPr>
                <m:sty m:val="p"/>
              </m:rPr>
              <w:rPr>
                <w:rFonts w:ascii="Cambria Math" w:hAnsi="Cambria Math"/>
              </w:rPr>
              <m:t>Qm/2−1</m:t>
            </m:r>
            <m:ctrlPr>
              <w:rPr>
                <w:rFonts w:ascii="Cambria Math" w:hAnsi="Cambria Math"/>
                <w:iCs/>
              </w:rPr>
            </m:ctrlPr>
          </m:sup>
        </m:sSup>
      </m:oMath>
      <w:r>
        <w:rPr>
          <w:rFonts w:hint="eastAsia"/>
        </w:rPr>
        <w:t xml:space="preserve">.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(k)</w:t>
      </w:r>
      <w:r>
        <w:rPr>
          <w:rFonts w:hint="eastAsia"/>
          <w:vertAlign w:val="subscript"/>
        </w:rPr>
        <w:t xml:space="preserve"> </w:t>
      </w:r>
      <w:r>
        <w:rPr>
          <w:rFonts w:hint="eastAsia"/>
        </w:rPr>
        <w:t>being k bits for shaping. w being the processing bit width.</w:t>
      </w:r>
    </w:p>
    <w:p>
      <w:pPr>
        <w:spacing w:before="120" w:after="120"/>
      </w:pPr>
      <w:r>
        <w:rPr>
          <w:rFonts w:hint="eastAsia"/>
        </w:rPr>
        <w:t xml:space="preserve">Steps for arithmetic coding for CCDM to obtain an amplitude sequence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rPr>
        <w:t xml:space="preserve">) of block length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r>
          <m:rPr>
            <m:sty m:val="p"/>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1</m:t>
            </m:r>
            <m:ctrlPr>
              <w:rPr>
                <w:rFonts w:hint="eastAsia" w:ascii="Cambria Math" w:hAnsi="Cambria Math"/>
                <w:i/>
              </w:rPr>
            </m:ctrlPr>
          </m:sub>
        </m:sSub>
        <m:r>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3</m:t>
            </m:r>
            <m:ctrlPr>
              <w:rPr>
                <w:rFonts w:hint="eastAsia" w:ascii="Cambria Math" w:hAnsi="Cambria Math"/>
                <w:i/>
              </w:rPr>
            </m:ctrlPr>
          </m:sub>
        </m:sSub>
        <m:r>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2|A|−1</m:t>
            </m:r>
            <m:ctrlPr>
              <w:rPr>
                <w:rFonts w:hint="eastAsia" w:ascii="Cambria Math" w:hAnsi="Cambria Math"/>
                <w:i/>
              </w:rPr>
            </m:ctrlPr>
          </m:sub>
        </m:sSub>
      </m:oMath>
      <w:r>
        <w:rPr>
          <w:rFonts w:hint="eastAsia"/>
        </w:rPr>
        <w:t xml:space="preserve"> is as follows.</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5" w:type="dxa"/>
          </w:tcPr>
          <w:p>
            <w:pPr>
              <w:numPr>
                <w:ilvl w:val="0"/>
                <w:numId w:val="23"/>
              </w:numPr>
              <w:spacing w:before="120" w:after="120"/>
            </w:pPr>
            <w:r>
              <w:rPr>
                <w:rFonts w:hint="eastAsia"/>
              </w:rPr>
              <w:t>Initialize interval endpoint x = 0 and interval width y = 1, and bit count j = 0. Set number of amplitude</w:t>
            </w:r>
            <w:r>
              <w:t>s</w:t>
            </w:r>
            <w:r>
              <w:rPr>
                <w:rFonts w:hint="eastAsia"/>
              </w:rPr>
              <w:t xml:space="preserve"> left for output </w:t>
            </w:r>
            <m:oMath>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left</m:t>
                  </m:r>
                  <m:ctrlPr>
                    <w:rPr>
                      <w:rFonts w:hint="eastAsia" w:ascii="Cambria Math" w:hAnsi="Cambria Math"/>
                      <w:i/>
                    </w:rPr>
                  </m:ctrlPr>
                </m:sub>
              </m:sSub>
              <m:r>
                <m:rPr/>
                <w:rPr>
                  <w:rFonts w:ascii="Cambria Math" w:hAnsi="Cambria Math"/>
                </w:rPr>
                <m:t>=</m:t>
              </m:r>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w:t>
            </w:r>
          </w:p>
          <w:p>
            <w:pPr>
              <w:numPr>
                <w:ilvl w:val="0"/>
                <w:numId w:val="23"/>
              </w:numPr>
              <w:spacing w:before="120" w:after="120"/>
            </w:pPr>
            <w:r>
              <w:rPr>
                <w:rFonts w:hint="eastAsia"/>
              </w:rPr>
              <w:t xml:space="preserve">Compute cumulative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i</m:t>
                  </m:r>
                  <m:ctrlPr>
                    <w:rPr>
                      <w:rFonts w:ascii="Cambria Math" w:hAnsi="Cambria Math"/>
                      <w:i/>
                    </w:rPr>
                  </m:ctrlPr>
                </m:sub>
              </m:sSub>
              <m:r>
                <m:rPr/>
                <w:rPr>
                  <w:rFonts w:hint="eastAsia" w:ascii="Cambria Math" w:hAnsi="Cambria Math"/>
                </w:rPr>
                <m:t>=</m:t>
              </m:r>
              <m:sSub>
                <m:sSubPr>
                  <m:ctrlPr>
                    <w:rPr>
                      <w:rFonts w:hint="eastAsia" w:ascii="Cambria Math" w:hAnsi="Cambria Math"/>
                      <w:i/>
                    </w:rPr>
                  </m:ctrlPr>
                </m:sSubPr>
                <m:e>
                  <m:r>
                    <m:rPr/>
                    <w:rPr>
                      <w:rFonts w:ascii="Cambria Math" w:hAnsi="Cambria Math"/>
                    </w:rPr>
                    <m:t>F</m:t>
                  </m:r>
                  <m:ctrlPr>
                    <w:rPr>
                      <w:rFonts w:hint="eastAsia" w:ascii="Cambria Math" w:hAnsi="Cambria Math"/>
                      <w:i/>
                    </w:rPr>
                  </m:ctrlPr>
                </m:e>
                <m:sub>
                  <m:r>
                    <m:rPr/>
                    <w:rPr>
                      <w:rFonts w:ascii="Cambria Math" w:hAnsi="Cambria Math"/>
                    </w:rPr>
                    <m:t>i−1</m:t>
                  </m:r>
                  <m:ctrlPr>
                    <w:rPr>
                      <w:rFonts w:hint="eastAsia" w:ascii="Cambria Math" w:hAnsi="Cambria Math"/>
                      <w:i/>
                    </w:rPr>
                  </m:ctrlPr>
                </m:sub>
              </m:sSub>
              <m:r>
                <m:rPr/>
                <w:rPr>
                  <w:rFonts w:hint="eastAsia"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2i−1</m:t>
                  </m:r>
                  <m:ctrlPr>
                    <w:rPr>
                      <w:rFonts w:hint="eastAsia" w:ascii="Cambria Math" w:hAnsi="Cambria Math"/>
                      <w:i/>
                    </w:rPr>
                  </m:ctrlPr>
                </m:sub>
              </m:sSub>
            </m:oMath>
            <w:r>
              <w:rPr>
                <w:rFonts w:hint="eastAsia" w:hAnsi="Cambria Math"/>
              </w:rPr>
              <w:t xml:space="preserve"> with </w:t>
            </w:r>
            <m:oMath>
              <m:sSub>
                <m:sSubPr>
                  <m:ctrlPr>
                    <w:rPr>
                      <w:rFonts w:hint="eastAsia" w:ascii="Cambria Math" w:hAnsi="Cambria Math"/>
                      <w:i/>
                    </w:rPr>
                  </m:ctrlPr>
                </m:sSubPr>
                <m:e>
                  <m:r>
                    <m:rPr/>
                    <w:rPr>
                      <w:rFonts w:ascii="Cambria Math" w:hAnsi="Cambria Math"/>
                    </w:rPr>
                    <m:t>F</m:t>
                  </m:r>
                  <m:ctrlPr>
                    <w:rPr>
                      <w:rFonts w:hint="eastAsia" w:ascii="Cambria Math" w:hAnsi="Cambria Math"/>
                      <w:i/>
                    </w:rPr>
                  </m:ctrlPr>
                </m:e>
                <m:sub>
                  <m:r>
                    <m:rPr/>
                    <w:rPr>
                      <w:rFonts w:ascii="Cambria Math" w:hAnsi="Cambria Math"/>
                    </w:rPr>
                    <m:t>0</m:t>
                  </m:r>
                  <m:ctrlPr>
                    <w:rPr>
                      <w:rFonts w:hint="eastAsia" w:ascii="Cambria Math" w:hAnsi="Cambria Math"/>
                      <w:i/>
                    </w:rPr>
                  </m:ctrlPr>
                </m:sub>
              </m:sSub>
              <m:r>
                <m:rPr/>
                <w:rPr>
                  <w:rFonts w:hint="eastAsia" w:ascii="Cambria Math" w:hAnsi="Cambria Math"/>
                </w:rPr>
                <m:t>=</m:t>
              </m:r>
              <m:r>
                <m:rPr/>
                <w:rPr>
                  <w:rFonts w:ascii="Cambria Math" w:hAnsi="Cambria Math"/>
                </w:rPr>
                <m:t>0</m:t>
              </m:r>
            </m:oMath>
            <w:r>
              <w:rPr>
                <w:rFonts w:hint="eastAsia" w:hAnsi="Cambria Math"/>
              </w:rPr>
              <w:t xml:space="preserve"> for </w:t>
            </w:r>
            <m:oMath>
              <m:r>
                <m:rPr/>
                <w:rPr>
                  <w:rFonts w:ascii="Cambria Math" w:hAnsi="Cambria Math"/>
                </w:rPr>
                <m:t>i=1,2,⋯,</m:t>
              </m:r>
              <m:d>
                <m:dPr>
                  <m:begChr m:val="|"/>
                  <m:endChr m:val="|"/>
                  <m:ctrlPr>
                    <w:rPr>
                      <w:rFonts w:ascii="Cambria Math" w:hAnsi="Cambria Math"/>
                      <w:i/>
                    </w:rPr>
                  </m:ctrlPr>
                </m:dPr>
                <m:e>
                  <m:r>
                    <m:rPr/>
                    <w:rPr>
                      <w:rFonts w:ascii="Cambria Math" w:hAnsi="Cambria Math"/>
                    </w:rPr>
                    <m:t>A</m:t>
                  </m:r>
                  <m:ctrlPr>
                    <w:rPr>
                      <w:rFonts w:ascii="Cambria Math" w:hAnsi="Cambria Math"/>
                      <w:i/>
                    </w:rPr>
                  </m:ctrlPr>
                </m:e>
              </m:d>
            </m:oMath>
            <w:r>
              <w:rPr>
                <w:rFonts w:hint="eastAsia" w:hAnsi="Cambria Math"/>
              </w:rPr>
              <w:t>.</w:t>
            </w:r>
          </w:p>
          <w:p>
            <w:pPr>
              <w:numPr>
                <w:ilvl w:val="0"/>
                <w:numId w:val="23"/>
              </w:numPr>
              <w:spacing w:before="120" w:after="120"/>
            </w:pPr>
            <w:r>
              <w:rPr>
                <w:rFonts w:hint="eastAsia"/>
              </w:rPr>
              <w:t xml:space="preserve"> For </w:t>
            </w:r>
            <w:r>
              <w:rPr>
                <w:rFonts w:hint="eastAsia"/>
                <w:i/>
                <w:iCs/>
              </w:rPr>
              <w:t>n</w:t>
            </w:r>
            <w:r>
              <w:rPr>
                <w:rFonts w:hint="eastAsia"/>
              </w:rPr>
              <w:t xml:space="preserve"> = 1 to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rPr>
              <w:t>,</w:t>
            </w:r>
          </w:p>
          <w:p>
            <w:pPr>
              <w:spacing w:before="120" w:after="120"/>
              <w:ind w:left="420"/>
            </w:pPr>
            <w:r>
              <w:rPr>
                <w:rFonts w:hint="eastAsia"/>
              </w:rPr>
              <w:t>(3-1) Read u(j) into interval endpoint x and scale interval width y</w:t>
            </w:r>
            <w:r>
              <w:t xml:space="preserve"> to a value between 2</w:t>
            </w:r>
            <w:r>
              <w:rPr>
                <w:i/>
                <w:vertAlign w:val="superscript"/>
              </w:rPr>
              <w:t>w</w:t>
            </w:r>
            <w:r>
              <w:t xml:space="preserve"> and 2</w:t>
            </w:r>
            <w:r>
              <w:rPr>
                <w:i/>
                <w:vertAlign w:val="superscript"/>
              </w:rPr>
              <w:t>w+</w:t>
            </w:r>
            <w:r>
              <w:rPr>
                <w:vertAlign w:val="superscript"/>
              </w:rPr>
              <w:t>1</w:t>
            </w:r>
            <w:r>
              <w:rPr>
                <w:rFonts w:hint="eastAsia"/>
              </w:rPr>
              <w:t>.</w:t>
            </w:r>
          </w:p>
          <w:p>
            <w:pPr>
              <w:spacing w:before="120" w:after="120"/>
              <w:ind w:left="420"/>
            </w:pPr>
            <w:r>
              <w:rPr>
                <w:rFonts w:hint="eastAsia"/>
              </w:rPr>
              <w:t xml:space="preserve">(3-2) </w:t>
            </w:r>
            <w:r>
              <w:rPr>
                <w:rFonts w:hint="eastAsia" w:hAnsi="Cambria Math"/>
              </w:rPr>
              <w:t xml:space="preserve">Find the minimum interval index </w:t>
            </w:r>
            <m:oMath>
              <m:r>
                <m:rPr/>
                <w:rPr>
                  <w:rFonts w:ascii="Cambria Math" w:hAnsi="Cambria Math"/>
                </w:rPr>
                <m:t>c</m:t>
              </m:r>
            </m:oMath>
            <w:r>
              <w:rPr>
                <w:rFonts w:hint="eastAsia" w:hAnsi="Cambria Math"/>
              </w:rPr>
              <w:t xml:space="preserve"> such that </w:t>
            </w:r>
            <m:oMath>
              <m:r>
                <m:rPr/>
                <w:rPr>
                  <w:rFonts w:ascii="Cambria Math" w:hAnsi="Cambria Math"/>
                </w:rPr>
                <m:t>x&lt;</m:t>
              </m:r>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c</m:t>
                  </m:r>
                  <m:ctrlPr>
                    <w:rPr>
                      <w:rFonts w:ascii="Cambria Math" w:hAnsi="Cambria Math"/>
                      <w:i/>
                    </w:rPr>
                  </m:ctrlPr>
                </m:sub>
              </m:sSub>
            </m:oMath>
            <w:r>
              <w:rPr>
                <w:rFonts w:hint="eastAsia" w:hAnsi="Cambria Math"/>
              </w:rPr>
              <w:t xml:space="preserve"> for </w:t>
            </w:r>
            <w:r>
              <w:rPr>
                <w:rFonts w:hint="eastAsia" w:hAnsi="Cambria Math"/>
                <w:i/>
                <w:iCs/>
              </w:rPr>
              <w:t>c</w:t>
            </w:r>
            <w:r>
              <w:rPr>
                <w:rFonts w:hint="eastAsia" w:hAnsi="Cambria Math"/>
              </w:rPr>
              <w:t xml:space="preserve"> = 1, 2, ..., |A|.</w:t>
            </w:r>
          </w:p>
          <w:p>
            <w:pPr>
              <w:spacing w:before="120" w:after="120"/>
              <w:ind w:left="420"/>
            </w:pPr>
            <w:r>
              <w:rPr>
                <w:rFonts w:hint="eastAsia"/>
              </w:rPr>
              <w:t xml:space="preserve">(3-3) </w:t>
            </w:r>
            <w:r>
              <w:t>Set</w:t>
            </w:r>
            <w:r>
              <w:rPr>
                <w:rFonts w:hint="eastAsia"/>
              </w:rPr>
              <w:t xml:space="preserve"> output symbol </w:t>
            </w:r>
            <w:r>
              <w:rPr>
                <w:rFonts w:hint="eastAsia"/>
                <w:i/>
                <w:iCs/>
              </w:rPr>
              <w:t>v</w:t>
            </w:r>
            <w:r>
              <w:rPr>
                <w:rFonts w:hint="eastAsia"/>
              </w:rPr>
              <w:t>(</w:t>
            </w:r>
            <w:r>
              <w:rPr>
                <w:rFonts w:hint="eastAsia"/>
                <w:i/>
                <w:iCs/>
              </w:rPr>
              <w:t>n</w:t>
            </w:r>
            <w:r>
              <w:rPr>
                <w:rFonts w:hint="eastAsia"/>
              </w:rPr>
              <w:t>) and update interval width y and interval endpoint</w:t>
            </w:r>
            <w:r>
              <w:t xml:space="preserve"> </w:t>
            </w:r>
            <w:r>
              <w:rPr>
                <w:rFonts w:hint="eastAsia"/>
              </w:rPr>
              <w:t>x</w:t>
            </w:r>
          </w:p>
          <w:p>
            <w:pPr>
              <w:spacing w:before="120" w:after="120"/>
              <w:ind w:left="420"/>
            </w:pPr>
            <w:r>
              <w:rPr>
                <w:rFonts w:hint="eastAsia"/>
              </w:rPr>
              <w:t xml:space="preserve">(3-4) Update cumulative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i</m:t>
                  </m:r>
                  <m:ctrlPr>
                    <w:rPr>
                      <w:rFonts w:ascii="Cambria Math" w:hAnsi="Cambria Math"/>
                      <w:i/>
                    </w:rPr>
                  </m:ctrlPr>
                </m:sub>
              </m:sSub>
              <m:r>
                <m:rPr/>
                <w:rPr>
                  <w:rFonts w:hint="eastAsia" w:ascii="Cambria Math" w:hAnsi="Cambria Math"/>
                </w:rPr>
                <m:t>=</m:t>
              </m:r>
              <m:sSub>
                <m:sSubPr>
                  <m:ctrlPr>
                    <w:rPr>
                      <w:rFonts w:hint="eastAsia" w:ascii="Cambria Math" w:hAnsi="Cambria Math"/>
                      <w:i/>
                    </w:rPr>
                  </m:ctrlPr>
                </m:sSubPr>
                <m:e>
                  <m:r>
                    <m:rPr/>
                    <w:rPr>
                      <w:rFonts w:ascii="Cambria Math" w:hAnsi="Cambria Math"/>
                    </w:rPr>
                    <m:t>F</m:t>
                  </m:r>
                  <m:ctrlPr>
                    <w:rPr>
                      <w:rFonts w:hint="eastAsia" w:ascii="Cambria Math" w:hAnsi="Cambria Math"/>
                      <w:i/>
                    </w:rPr>
                  </m:ctrlPr>
                </m:e>
                <m:sub>
                  <m:r>
                    <m:rPr/>
                    <w:rPr>
                      <w:rFonts w:ascii="Cambria Math" w:hAnsi="Cambria Math"/>
                    </w:rPr>
                    <m:t>i</m:t>
                  </m:r>
                  <m:ctrlPr>
                    <w:rPr>
                      <w:rFonts w:hint="eastAsia" w:ascii="Cambria Math" w:hAnsi="Cambria Math"/>
                      <w:i/>
                    </w:rPr>
                  </m:ctrlPr>
                </m:sub>
              </m:sSub>
              <m:r>
                <m:rPr/>
                <w:rPr>
                  <w:rFonts w:ascii="Cambria Math" w:hAnsi="Cambria Math"/>
                </w:rPr>
                <m:t>−1</m:t>
              </m:r>
            </m:oMath>
            <w:r>
              <w:rPr>
                <w:rFonts w:hint="eastAsia" w:hAnsi="Cambria Math"/>
              </w:rPr>
              <w:t xml:space="preserve"> for </w:t>
            </w:r>
            <m:oMath>
              <m:r>
                <m:rPr/>
                <w:rPr>
                  <w:rFonts w:ascii="Cambria Math" w:hAnsi="Cambria Math"/>
                </w:rPr>
                <m:t>i=c,c+1,⋯,</m:t>
              </m:r>
              <m:d>
                <m:dPr>
                  <m:begChr m:val="|"/>
                  <m:endChr m:val="|"/>
                  <m:ctrlPr>
                    <w:rPr>
                      <w:rFonts w:ascii="Cambria Math" w:hAnsi="Cambria Math"/>
                      <w:i/>
                    </w:rPr>
                  </m:ctrlPr>
                </m:dPr>
                <m:e>
                  <m:r>
                    <m:rPr/>
                    <w:rPr>
                      <w:rFonts w:ascii="Cambria Math" w:hAnsi="Cambria Math"/>
                    </w:rPr>
                    <m:t>A</m:t>
                  </m:r>
                  <m:ctrlPr>
                    <w:rPr>
                      <w:rFonts w:ascii="Cambria Math" w:hAnsi="Cambria Math"/>
                      <w:i/>
                    </w:rPr>
                  </m:ctrlPr>
                </m:e>
              </m:d>
            </m:oMath>
            <w:r>
              <w:rPr>
                <w:rFonts w:hint="eastAsia" w:hAnsi="Cambria Math"/>
              </w:rPr>
              <w:t>.</w:t>
            </w:r>
          </w:p>
          <w:p>
            <w:pPr>
              <w:spacing w:before="120" w:after="120"/>
              <w:ind w:left="420"/>
              <w:rPr>
                <w:rFonts w:hAnsi="Cambria Math"/>
              </w:rPr>
            </w:pPr>
            <w:r>
              <w:rPr>
                <w:rFonts w:hint="eastAsia"/>
              </w:rPr>
              <w:t xml:space="preserve">(3-5) </w:t>
            </w:r>
            <w:r>
              <w:rPr>
                <w:rFonts w:hint="eastAsia" w:hAnsi="Cambria Math"/>
              </w:rPr>
              <w:t xml:space="preserve">Update left symbols: </w:t>
            </w:r>
            <m:oMath>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left</m:t>
                  </m:r>
                  <m:ctrlPr>
                    <w:rPr>
                      <w:rFonts w:hint="eastAsia" w:ascii="Cambria Math" w:hAnsi="Cambria Math"/>
                      <w:i/>
                    </w:rPr>
                  </m:ctrlPr>
                </m:sub>
              </m:sSub>
              <m:r>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left</m:t>
                  </m:r>
                  <m:ctrlPr>
                    <w:rPr>
                      <w:rFonts w:hint="eastAsia" w:ascii="Cambria Math" w:hAnsi="Cambria Math"/>
                      <w:i/>
                    </w:rPr>
                  </m:ctrlPr>
                </m:sub>
              </m:sSub>
              <m:r>
                <m:rPr/>
                <w:rPr>
                  <w:rFonts w:ascii="Cambria Math" w:hAnsi="Cambria Math"/>
                </w:rPr>
                <m:t>−1</m:t>
              </m:r>
            </m:oMath>
            <w:r>
              <w:rPr>
                <w:rFonts w:hint="eastAsia" w:hAnsi="Cambria Math"/>
              </w:rPr>
              <w:t>.</w:t>
            </w:r>
          </w:p>
        </w:tc>
      </w:tr>
    </w:tbl>
    <w:p>
      <w:pPr>
        <w:spacing w:before="120" w:after="120"/>
        <w:rPr>
          <w:szCs w:val="21"/>
        </w:rPr>
      </w:pPr>
      <w:r>
        <w:rPr>
          <w:szCs w:val="21"/>
        </w:rPr>
        <w:t xml:space="preserve">According to </w:t>
      </w:r>
      <w:r>
        <w:rPr>
          <w:rFonts w:hint="eastAsia"/>
          <w:szCs w:val="21"/>
        </w:rPr>
        <w:t xml:space="preserve">above steps, </w:t>
      </w:r>
      <w:r>
        <w:rPr>
          <w:szCs w:val="21"/>
        </w:rPr>
        <w:t>we list the operations for each step as follows:</w:t>
      </w:r>
    </w:p>
    <w:p>
      <w:pPr>
        <w:pStyle w:val="32"/>
        <w:numPr>
          <w:ilvl w:val="0"/>
          <w:numId w:val="24"/>
        </w:numPr>
        <w:spacing w:before="120" w:after="120"/>
        <w:rPr>
          <w:sz w:val="21"/>
          <w:szCs w:val="21"/>
        </w:rPr>
      </w:pPr>
      <w:r>
        <w:rPr>
          <w:rFonts w:hint="eastAsia"/>
          <w:sz w:val="21"/>
          <w:szCs w:val="21"/>
        </w:rPr>
        <w:t>Step (1) has no complexity.</w:t>
      </w:r>
    </w:p>
    <w:p>
      <w:pPr>
        <w:pStyle w:val="32"/>
        <w:numPr>
          <w:ilvl w:val="0"/>
          <w:numId w:val="24"/>
        </w:numPr>
        <w:spacing w:before="120" w:after="120"/>
        <w:rPr>
          <w:sz w:val="21"/>
          <w:szCs w:val="21"/>
        </w:rPr>
      </w:pPr>
      <w:r>
        <w:rPr>
          <w:rFonts w:hint="eastAsia"/>
          <w:sz w:val="21"/>
          <w:szCs w:val="21"/>
        </w:rPr>
        <w:t xml:space="preserve">Step (2) has </w:t>
      </w:r>
      <m:oMath>
        <m:r>
          <m:rPr/>
          <w:rPr>
            <w:rFonts w:ascii="Cambria Math" w:hAnsi="Cambria Math"/>
            <w:sz w:val="21"/>
            <w:szCs w:val="21"/>
          </w:rPr>
          <m:t>|A</m:t>
        </m:r>
        <m:r>
          <m:rPr/>
          <w:rPr>
            <w:rFonts w:hint="eastAsia" w:ascii="Cambria Math" w:hAnsi="Cambria Math"/>
            <w:sz w:val="21"/>
            <w:szCs w:val="21"/>
          </w:rPr>
          <m:t>|</m:t>
        </m:r>
        <m:r>
          <m:rPr/>
          <w:rPr>
            <w:rFonts w:ascii="Cambria Math" w:hAnsi="Cambria Math"/>
            <w:sz w:val="21"/>
            <w:szCs w:val="21"/>
          </w:rPr>
          <m:t>−1</m:t>
        </m:r>
      </m:oMath>
      <w:r>
        <w:rPr>
          <w:rFonts w:hint="eastAsia" w:hAnsi="Cambria Math"/>
          <w:sz w:val="21"/>
          <w:szCs w:val="21"/>
        </w:rPr>
        <w:t xml:space="preserve"> </w:t>
      </w:r>
      <w:r>
        <w:rPr>
          <w:rFonts w:hint="eastAsia"/>
          <w:sz w:val="21"/>
          <w:szCs w:val="21"/>
        </w:rPr>
        <w:t>addition.</w:t>
      </w:r>
    </w:p>
    <w:p>
      <w:pPr>
        <w:pStyle w:val="32"/>
        <w:numPr>
          <w:ilvl w:val="0"/>
          <w:numId w:val="24"/>
        </w:numPr>
        <w:spacing w:before="120" w:after="120"/>
        <w:rPr>
          <w:sz w:val="21"/>
          <w:szCs w:val="21"/>
        </w:rPr>
      </w:pPr>
      <w:r>
        <w:rPr>
          <w:rFonts w:hint="eastAsia"/>
          <w:sz w:val="21"/>
          <w:szCs w:val="21"/>
        </w:rPr>
        <w:t>Step</w:t>
      </w:r>
      <w:r>
        <w:rPr>
          <w:sz w:val="21"/>
          <w:szCs w:val="21"/>
        </w:rPr>
        <w:t xml:space="preserve"> </w:t>
      </w:r>
      <w:r>
        <w:rPr>
          <w:rFonts w:hint="eastAsia"/>
          <w:sz w:val="21"/>
          <w:szCs w:val="21"/>
        </w:rPr>
        <w:t>(3-1) only contains bit operation and is omitted.</w:t>
      </w:r>
    </w:p>
    <w:p>
      <w:pPr>
        <w:pStyle w:val="32"/>
        <w:numPr>
          <w:ilvl w:val="0"/>
          <w:numId w:val="24"/>
        </w:numPr>
        <w:spacing w:before="120" w:after="120"/>
        <w:rPr>
          <w:rFonts w:hAnsi="Cambria Math"/>
          <w:sz w:val="21"/>
          <w:szCs w:val="21"/>
        </w:rPr>
      </w:pPr>
      <w:r>
        <w:rPr>
          <w:rFonts w:hint="eastAsia"/>
          <w:sz w:val="21"/>
          <w:szCs w:val="21"/>
        </w:rPr>
        <w:t>Step (3-2) contains M</w:t>
      </w:r>
      <w:r>
        <w:rPr>
          <w:rFonts w:hint="eastAsia"/>
          <w:sz w:val="21"/>
          <w:szCs w:val="21"/>
          <w:vertAlign w:val="subscript"/>
        </w:rPr>
        <w:t>32</w:t>
      </w:r>
      <w:r>
        <w:rPr>
          <w:rFonts w:hint="eastAsia"/>
          <w:sz w:val="21"/>
          <w:szCs w:val="21"/>
        </w:rPr>
        <w:t xml:space="preserve"> </w:t>
      </w:r>
      <w:r>
        <w:rPr>
          <w:sz w:val="21"/>
          <w:szCs w:val="21"/>
        </w:rPr>
        <w:t>multiplications</w:t>
      </w:r>
      <w:r>
        <w:rPr>
          <w:rFonts w:hint="eastAsia"/>
          <w:sz w:val="21"/>
          <w:szCs w:val="21"/>
        </w:rPr>
        <w:t>, M</w:t>
      </w:r>
      <w:r>
        <w:rPr>
          <w:rFonts w:hint="eastAsia"/>
          <w:sz w:val="21"/>
          <w:szCs w:val="21"/>
          <w:vertAlign w:val="subscript"/>
        </w:rPr>
        <w:t>32</w:t>
      </w:r>
      <w:r>
        <w:rPr>
          <w:rFonts w:hint="eastAsia"/>
          <w:sz w:val="21"/>
          <w:szCs w:val="21"/>
        </w:rPr>
        <w:t xml:space="preserve"> additions, M</w:t>
      </w:r>
      <w:r>
        <w:rPr>
          <w:rFonts w:hint="eastAsia"/>
          <w:sz w:val="21"/>
          <w:szCs w:val="21"/>
          <w:vertAlign w:val="subscript"/>
        </w:rPr>
        <w:t>32</w:t>
      </w:r>
      <w:r>
        <w:rPr>
          <w:rFonts w:hint="eastAsia"/>
          <w:sz w:val="21"/>
          <w:szCs w:val="21"/>
        </w:rPr>
        <w:t xml:space="preserve"> divisions, M</w:t>
      </w:r>
      <w:r>
        <w:rPr>
          <w:rFonts w:hint="eastAsia"/>
          <w:sz w:val="21"/>
          <w:szCs w:val="21"/>
          <w:vertAlign w:val="subscript"/>
        </w:rPr>
        <w:t>32</w:t>
      </w:r>
      <w:r>
        <w:rPr>
          <w:rFonts w:hint="eastAsia"/>
          <w:sz w:val="21"/>
          <w:szCs w:val="21"/>
        </w:rPr>
        <w:t xml:space="preserve"> comparisons, where multiplication of 2 being shifting is omitted and </w:t>
      </w:r>
      <m:oMath>
        <m:sSub>
          <m:sSubPr>
            <m:ctrlPr>
              <w:rPr>
                <w:rFonts w:ascii="Cambria Math" w:hAnsi="Cambria Math"/>
                <w:sz w:val="21"/>
                <w:szCs w:val="21"/>
              </w:rPr>
            </m:ctrlPr>
          </m:sSubPr>
          <m:e>
            <m:r>
              <m:rPr>
                <m:sty m:val="p"/>
              </m:rPr>
              <w:rPr>
                <w:rFonts w:hint="eastAsia" w:ascii="Cambria Math"/>
                <w:sz w:val="21"/>
                <w:szCs w:val="21"/>
              </w:rPr>
              <m:t>M</m:t>
            </m:r>
            <m:ctrlPr>
              <w:rPr>
                <w:rFonts w:ascii="Cambria Math" w:hAnsi="Cambria Math"/>
                <w:sz w:val="21"/>
                <w:szCs w:val="21"/>
              </w:rPr>
            </m:ctrlPr>
          </m:e>
          <m:sub>
            <m:r>
              <m:rPr>
                <m:sty m:val="p"/>
              </m:rPr>
              <w:rPr>
                <w:rFonts w:ascii="Cambria Math"/>
                <w:sz w:val="21"/>
                <w:szCs w:val="21"/>
              </w:rPr>
              <m:t>3</m:t>
            </m:r>
            <m:r>
              <m:rPr>
                <m:sty m:val="p"/>
              </m:rPr>
              <w:rPr>
                <w:rFonts w:hint="eastAsia" w:ascii="Cambria Math"/>
                <w:sz w:val="21"/>
                <w:szCs w:val="21"/>
              </w:rPr>
              <m:t>2</m:t>
            </m:r>
            <m:ctrlPr>
              <w:rPr>
                <w:rFonts w:ascii="Cambria Math" w:hAnsi="Cambria Math"/>
                <w:sz w:val="21"/>
                <w:szCs w:val="21"/>
              </w:rPr>
            </m:ctrlPr>
          </m:sub>
        </m:sSub>
        <m:r>
          <m:rPr>
            <m:sty m:val="p"/>
          </m:rPr>
          <w:rPr>
            <w:rFonts w:ascii="Cambria Math"/>
            <w:sz w:val="21"/>
            <w:szCs w:val="21"/>
          </w:rPr>
          <m:t>=</m:t>
        </m:r>
        <m:nary>
          <m:naryPr>
            <m:chr m:val="∑"/>
            <m:limLoc m:val="undOvr"/>
            <m:ctrlPr>
              <w:rPr>
                <w:rFonts w:ascii="Cambria Math" w:hAnsi="Cambria Math"/>
                <w:i/>
                <w:sz w:val="21"/>
                <w:szCs w:val="21"/>
              </w:rPr>
            </m:ctrlPr>
          </m:naryPr>
          <m:sub>
            <m:r>
              <m:rPr/>
              <w:rPr>
                <w:rFonts w:ascii="Cambria Math" w:hAnsi="Cambria Math"/>
                <w:sz w:val="21"/>
                <w:szCs w:val="21"/>
              </w:rPr>
              <m:t>j=1</m:t>
            </m:r>
            <m:ctrlPr>
              <w:rPr>
                <w:rFonts w:ascii="Cambria Math" w:hAnsi="Cambria Math"/>
                <w:i/>
                <w:sz w:val="21"/>
                <w:szCs w:val="21"/>
              </w:rPr>
            </m:ctrlPr>
          </m:sub>
          <m:sup>
            <m:r>
              <m:rPr/>
              <w:rPr>
                <w:rFonts w:ascii="Cambria Math" w:hAnsi="Cambria Math"/>
                <w:sz w:val="21"/>
                <w:szCs w:val="21"/>
              </w:rPr>
              <m:t>|A|</m:t>
            </m:r>
            <m:ctrlPr>
              <w:rPr>
                <w:rFonts w:ascii="Cambria Math" w:hAnsi="Cambria Math"/>
                <w:i/>
                <w:sz w:val="21"/>
                <w:szCs w:val="21"/>
              </w:rPr>
            </m:ctrlPr>
          </m:sup>
          <m:e>
            <m:r>
              <m:rPr/>
              <w:rPr>
                <w:rFonts w:ascii="Cambria Math" w:hAnsi="Cambria Math"/>
                <w:sz w:val="21"/>
                <w:szCs w:val="21"/>
              </w:rPr>
              <m:t>j∙</m:t>
            </m:r>
            <m:sSub>
              <m:sSubPr>
                <m:ctrlPr>
                  <w:rPr>
                    <w:rFonts w:ascii="Cambria Math" w:hAnsi="Cambria Math"/>
                    <w:i/>
                    <w:sz w:val="21"/>
                    <w:szCs w:val="21"/>
                  </w:rPr>
                </m:ctrlPr>
              </m:sSubPr>
              <m:e>
                <m:r>
                  <m:rPr/>
                  <w:rPr>
                    <w:rFonts w:ascii="Cambria Math" w:hAnsi="Cambria Math"/>
                    <w:sz w:val="21"/>
                    <w:szCs w:val="21"/>
                  </w:rPr>
                  <m:t>N</m:t>
                </m:r>
                <m:ctrlPr>
                  <w:rPr>
                    <w:rFonts w:ascii="Cambria Math" w:hAnsi="Cambria Math"/>
                    <w:i/>
                    <w:sz w:val="21"/>
                    <w:szCs w:val="21"/>
                  </w:rPr>
                </m:ctrlPr>
              </m:e>
              <m:sub>
                <m:r>
                  <m:rPr/>
                  <w:rPr>
                    <w:rFonts w:ascii="Cambria Math" w:hAnsi="Cambria Math"/>
                    <w:sz w:val="21"/>
                    <w:szCs w:val="21"/>
                  </w:rPr>
                  <m:t>2j−1</m:t>
                </m:r>
                <m:ctrlPr>
                  <w:rPr>
                    <w:rFonts w:ascii="Cambria Math" w:hAnsi="Cambria Math"/>
                    <w:i/>
                    <w:sz w:val="21"/>
                    <w:szCs w:val="21"/>
                  </w:rPr>
                </m:ctrlPr>
              </m:sub>
            </m:sSub>
            <m:ctrlPr>
              <w:rPr>
                <w:rFonts w:ascii="Cambria Math" w:hAnsi="Cambria Math"/>
                <w:i/>
                <w:sz w:val="21"/>
                <w:szCs w:val="21"/>
              </w:rPr>
            </m:ctrlPr>
          </m:e>
        </m:nary>
      </m:oMath>
      <w:r>
        <w:rPr>
          <w:rFonts w:hint="eastAsia" w:hAnsi="Cambria Math"/>
          <w:sz w:val="21"/>
          <w:szCs w:val="21"/>
        </w:rPr>
        <w:t xml:space="preserve"> is at most </w:t>
      </w:r>
      <m:oMath>
        <m:r>
          <m:rPr/>
          <w:rPr>
            <w:rFonts w:ascii="Cambria Math" w:hAnsi="Cambria Math"/>
            <w:sz w:val="21"/>
            <w:szCs w:val="21"/>
          </w:rPr>
          <m:t>|A|∙</m:t>
        </m:r>
        <m:sSub>
          <m:sSubPr>
            <m:ctrlPr>
              <w:rPr>
                <w:rFonts w:hint="eastAsia" w:ascii="Cambria Math" w:hAnsi="Cambria Math"/>
                <w:sz w:val="21"/>
                <w:szCs w:val="21"/>
              </w:rPr>
            </m:ctrlPr>
          </m:sSubPr>
          <m:e>
            <m:r>
              <m:rPr/>
              <w:rPr>
                <w:rFonts w:ascii="Cambria Math" w:hAnsi="Cambria Math"/>
                <w:sz w:val="21"/>
                <w:szCs w:val="21"/>
              </w:rPr>
              <m:t>N</m:t>
            </m:r>
            <m:ctrlPr>
              <w:rPr>
                <w:rFonts w:hint="eastAsia" w:ascii="Cambria Math" w:hAnsi="Cambria Math"/>
                <w:sz w:val="21"/>
                <w:szCs w:val="21"/>
              </w:rPr>
            </m:ctrlPr>
          </m:e>
          <m:sub>
            <m:r>
              <m:rPr>
                <m:sty m:val="p"/>
              </m:rPr>
              <w:rPr>
                <w:rFonts w:hint="eastAsia" w:ascii="Cambria Math" w:hAnsi="Cambria Math"/>
                <w:sz w:val="21"/>
                <w:szCs w:val="21"/>
              </w:rPr>
              <m:t>DM</m:t>
            </m:r>
            <m:ctrlPr>
              <w:rPr>
                <w:rFonts w:hint="eastAsia" w:ascii="Cambria Math" w:hAnsi="Cambria Math"/>
                <w:sz w:val="21"/>
                <w:szCs w:val="21"/>
              </w:rPr>
            </m:ctrlPr>
          </m:sub>
        </m:sSub>
      </m:oMath>
      <w:r>
        <w:rPr>
          <w:rFonts w:hint="eastAsia" w:hAnsi="Cambria Math"/>
          <w:sz w:val="21"/>
          <w:szCs w:val="21"/>
        </w:rPr>
        <w:t>.</w:t>
      </w:r>
    </w:p>
    <w:p>
      <w:pPr>
        <w:pStyle w:val="32"/>
        <w:numPr>
          <w:ilvl w:val="0"/>
          <w:numId w:val="24"/>
        </w:numPr>
        <w:spacing w:before="120" w:after="120"/>
        <w:rPr>
          <w:rFonts w:hAnsi="Cambria Math"/>
          <w:sz w:val="21"/>
          <w:szCs w:val="21"/>
        </w:rPr>
      </w:pPr>
      <w:r>
        <w:rPr>
          <w:rFonts w:hint="eastAsia" w:hAnsi="Cambria Math"/>
          <w:sz w:val="21"/>
          <w:szCs w:val="21"/>
        </w:rPr>
        <w:t xml:space="preserve">Step (3-3) has </w:t>
      </w:r>
      <m:oMath>
        <m:sSub>
          <m:sSubPr>
            <m:ctrlPr>
              <w:rPr>
                <w:rFonts w:hint="eastAsia" w:ascii="Cambria Math" w:hAnsi="Cambria Math"/>
                <w:sz w:val="21"/>
                <w:szCs w:val="21"/>
              </w:rPr>
            </m:ctrlPr>
          </m:sSubPr>
          <m:e>
            <m:r>
              <m:rPr/>
              <w:rPr>
                <w:rFonts w:ascii="Cambria Math" w:hAnsi="Cambria Math"/>
                <w:sz w:val="21"/>
                <w:szCs w:val="21"/>
              </w:rPr>
              <m:t>N</m:t>
            </m:r>
            <m:ctrlPr>
              <w:rPr>
                <w:rFonts w:hint="eastAsia" w:ascii="Cambria Math" w:hAnsi="Cambria Math"/>
                <w:sz w:val="21"/>
                <w:szCs w:val="21"/>
              </w:rPr>
            </m:ctrlPr>
          </m:e>
          <m:sub>
            <m:r>
              <m:rPr>
                <m:sty m:val="p"/>
              </m:rPr>
              <w:rPr>
                <w:rFonts w:hint="eastAsia" w:ascii="Cambria Math" w:hAnsi="Cambria Math"/>
                <w:sz w:val="21"/>
                <w:szCs w:val="21"/>
              </w:rPr>
              <m:t>DM</m:t>
            </m:r>
            <m:ctrlPr>
              <w:rPr>
                <w:rFonts w:hint="eastAsia" w:ascii="Cambria Math" w:hAnsi="Cambria Math"/>
                <w:sz w:val="21"/>
                <w:szCs w:val="21"/>
              </w:rPr>
            </m:ctrlPr>
          </m:sub>
        </m:sSub>
        <m:r>
          <m:rPr/>
          <w:rPr>
            <w:rFonts w:ascii="Cambria Math" w:hAnsi="Cambria Math"/>
            <w:sz w:val="21"/>
            <w:szCs w:val="21"/>
          </w:rPr>
          <m:t>+</m:t>
        </m:r>
        <m:r>
          <m:rPr>
            <m:sty m:val="p"/>
          </m:rPr>
          <w:rPr>
            <w:rFonts w:ascii="Cambria Math" w:hAnsi="Cambria Math"/>
            <w:sz w:val="21"/>
            <w:szCs w:val="21"/>
          </w:rPr>
          <m:t>2</m:t>
        </m:r>
        <m:sSub>
          <m:sSubPr>
            <m:ctrlPr>
              <w:rPr>
                <w:rFonts w:ascii="Cambria Math" w:hAnsi="Cambria Math"/>
                <w:sz w:val="21"/>
                <w:szCs w:val="21"/>
              </w:rPr>
            </m:ctrlPr>
          </m:sSubPr>
          <m:e>
            <m:r>
              <m:rPr>
                <m:sty m:val="p"/>
              </m:rPr>
              <w:rPr>
                <w:rFonts w:hint="eastAsia" w:ascii="Cambria Math"/>
                <w:sz w:val="21"/>
                <w:szCs w:val="21"/>
              </w:rPr>
              <m:t>M</m:t>
            </m:r>
            <m:ctrlPr>
              <w:rPr>
                <w:rFonts w:ascii="Cambria Math" w:hAnsi="Cambria Math"/>
                <w:sz w:val="21"/>
                <w:szCs w:val="21"/>
              </w:rPr>
            </m:ctrlPr>
          </m:e>
          <m:sub>
            <m:r>
              <m:rPr>
                <m:sty m:val="p"/>
              </m:rPr>
              <w:rPr>
                <w:rFonts w:ascii="Cambria Math"/>
                <w:sz w:val="21"/>
                <w:szCs w:val="21"/>
              </w:rPr>
              <m:t>332</m:t>
            </m:r>
            <m:ctrlPr>
              <w:rPr>
                <w:rFonts w:ascii="Cambria Math" w:hAnsi="Cambria Math"/>
                <w:sz w:val="21"/>
                <w:szCs w:val="21"/>
              </w:rPr>
            </m:ctrlPr>
          </m:sub>
        </m:sSub>
      </m:oMath>
      <w:r>
        <w:rPr>
          <w:rFonts w:hint="eastAsia" w:hAnsi="Cambria Math"/>
          <w:sz w:val="21"/>
          <w:szCs w:val="21"/>
        </w:rPr>
        <w:t xml:space="preserve"> subtraction, </w:t>
      </w:r>
      <m:oMath>
        <m:sSub>
          <m:sSubPr>
            <m:ctrlPr>
              <w:rPr>
                <w:rFonts w:hint="eastAsia" w:ascii="Cambria Math" w:hAnsi="Cambria Math"/>
                <w:sz w:val="21"/>
                <w:szCs w:val="21"/>
              </w:rPr>
            </m:ctrlPr>
          </m:sSubPr>
          <m:e>
            <m:r>
              <m:rPr/>
              <w:rPr>
                <w:rFonts w:ascii="Cambria Math" w:hAnsi="Cambria Math"/>
                <w:sz w:val="21"/>
                <w:szCs w:val="21"/>
              </w:rPr>
              <m:t>N</m:t>
            </m:r>
            <m:ctrlPr>
              <w:rPr>
                <w:rFonts w:hint="eastAsia" w:ascii="Cambria Math" w:hAnsi="Cambria Math"/>
                <w:sz w:val="21"/>
                <w:szCs w:val="21"/>
              </w:rPr>
            </m:ctrlPr>
          </m:e>
          <m:sub>
            <m:r>
              <m:rPr>
                <m:sty m:val="p"/>
              </m:rPr>
              <w:rPr>
                <w:rFonts w:hint="eastAsia" w:ascii="Cambria Math" w:hAnsi="Cambria Math"/>
                <w:sz w:val="21"/>
                <w:szCs w:val="21"/>
              </w:rPr>
              <m:t>DM</m:t>
            </m:r>
            <m:ctrlPr>
              <w:rPr>
                <w:rFonts w:hint="eastAsia" w:ascii="Cambria Math" w:hAnsi="Cambria Math"/>
                <w:sz w:val="21"/>
                <w:szCs w:val="21"/>
              </w:rPr>
            </m:ctrlPr>
          </m:sub>
        </m:sSub>
      </m:oMath>
      <w:r>
        <w:rPr>
          <w:rFonts w:hint="eastAsia" w:hAnsi="Cambria Math"/>
          <w:sz w:val="21"/>
          <w:szCs w:val="21"/>
        </w:rPr>
        <w:t xml:space="preserve"> comparison, where </w:t>
      </w:r>
      <m:oMath>
        <m:sSub>
          <m:sSubPr>
            <m:ctrlPr>
              <w:rPr>
                <w:rFonts w:ascii="Cambria Math" w:hAnsi="Cambria Math"/>
                <w:sz w:val="21"/>
                <w:szCs w:val="21"/>
              </w:rPr>
            </m:ctrlPr>
          </m:sSubPr>
          <m:e>
            <m:r>
              <m:rPr>
                <m:sty m:val="p"/>
              </m:rPr>
              <w:rPr>
                <w:rFonts w:hint="eastAsia" w:ascii="Cambria Math"/>
                <w:sz w:val="21"/>
                <w:szCs w:val="21"/>
              </w:rPr>
              <m:t>M</m:t>
            </m:r>
            <m:ctrlPr>
              <w:rPr>
                <w:rFonts w:ascii="Cambria Math" w:hAnsi="Cambria Math"/>
                <w:sz w:val="21"/>
                <w:szCs w:val="21"/>
              </w:rPr>
            </m:ctrlPr>
          </m:e>
          <m:sub>
            <m:r>
              <m:rPr>
                <m:sty m:val="p"/>
              </m:rPr>
              <w:rPr>
                <w:rFonts w:ascii="Cambria Math"/>
                <w:sz w:val="21"/>
                <w:szCs w:val="21"/>
              </w:rPr>
              <m:t>332</m:t>
            </m:r>
            <m:ctrlPr>
              <w:rPr>
                <w:rFonts w:ascii="Cambria Math" w:hAnsi="Cambria Math"/>
                <w:sz w:val="21"/>
                <w:szCs w:val="21"/>
              </w:rPr>
            </m:ctrlPr>
          </m:sub>
        </m:sSub>
        <m:r>
          <m:rPr>
            <m:sty m:val="p"/>
          </m:rPr>
          <w:rPr>
            <w:rFonts w:ascii="Cambria Math"/>
            <w:sz w:val="21"/>
            <w:szCs w:val="21"/>
          </w:rPr>
          <m:t>=</m:t>
        </m:r>
        <m:nary>
          <m:naryPr>
            <m:chr m:val="∑"/>
            <m:limLoc m:val="undOvr"/>
            <m:ctrlPr>
              <w:rPr>
                <w:rFonts w:ascii="Cambria Math" w:hAnsi="Cambria Math"/>
                <w:i/>
                <w:sz w:val="21"/>
                <w:szCs w:val="21"/>
              </w:rPr>
            </m:ctrlPr>
          </m:naryPr>
          <m:sub>
            <m:r>
              <m:rPr/>
              <w:rPr>
                <w:rFonts w:ascii="Cambria Math" w:hAnsi="Cambria Math"/>
                <w:sz w:val="21"/>
                <w:szCs w:val="21"/>
              </w:rPr>
              <m:t>j=2</m:t>
            </m:r>
            <m:ctrlPr>
              <w:rPr>
                <w:rFonts w:ascii="Cambria Math" w:hAnsi="Cambria Math"/>
                <w:i/>
                <w:sz w:val="21"/>
                <w:szCs w:val="21"/>
              </w:rPr>
            </m:ctrlPr>
          </m:sub>
          <m:sup>
            <m:r>
              <m:rPr/>
              <w:rPr>
                <w:rFonts w:ascii="Cambria Math" w:hAnsi="Cambria Math"/>
                <w:sz w:val="21"/>
                <w:szCs w:val="21"/>
              </w:rPr>
              <m:t>|A|</m:t>
            </m:r>
            <m:ctrlPr>
              <w:rPr>
                <w:rFonts w:ascii="Cambria Math" w:hAnsi="Cambria Math"/>
                <w:i/>
                <w:sz w:val="21"/>
                <w:szCs w:val="21"/>
              </w:rPr>
            </m:ctrlPr>
          </m:sup>
          <m:e>
            <m:sSub>
              <m:sSubPr>
                <m:ctrlPr>
                  <w:rPr>
                    <w:rFonts w:ascii="Cambria Math" w:hAnsi="Cambria Math"/>
                    <w:i/>
                    <w:sz w:val="21"/>
                    <w:szCs w:val="21"/>
                  </w:rPr>
                </m:ctrlPr>
              </m:sSubPr>
              <m:e>
                <m:r>
                  <m:rPr/>
                  <w:rPr>
                    <w:rFonts w:ascii="Cambria Math" w:hAnsi="Cambria Math"/>
                    <w:sz w:val="21"/>
                    <w:szCs w:val="21"/>
                  </w:rPr>
                  <m:t>N</m:t>
                </m:r>
                <m:ctrlPr>
                  <w:rPr>
                    <w:rFonts w:ascii="Cambria Math" w:hAnsi="Cambria Math"/>
                    <w:i/>
                    <w:sz w:val="21"/>
                    <w:szCs w:val="21"/>
                  </w:rPr>
                </m:ctrlPr>
              </m:e>
              <m:sub>
                <m:r>
                  <m:rPr/>
                  <w:rPr>
                    <w:rFonts w:ascii="Cambria Math" w:hAnsi="Cambria Math"/>
                    <w:sz w:val="21"/>
                    <w:szCs w:val="21"/>
                  </w:rPr>
                  <m:t>2j−1</m:t>
                </m:r>
                <m:ctrlPr>
                  <w:rPr>
                    <w:rFonts w:ascii="Cambria Math" w:hAnsi="Cambria Math"/>
                    <w:i/>
                    <w:sz w:val="21"/>
                    <w:szCs w:val="21"/>
                  </w:rPr>
                </m:ctrlPr>
              </m:sub>
            </m:sSub>
            <m:ctrlPr>
              <w:rPr>
                <w:rFonts w:ascii="Cambria Math" w:hAnsi="Cambria Math"/>
                <w:i/>
                <w:sz w:val="21"/>
                <w:szCs w:val="21"/>
              </w:rPr>
            </m:ctrlPr>
          </m:e>
        </m:nary>
        <m:r>
          <m:rPr/>
          <w:rPr>
            <w:rFonts w:ascii="Cambria Math" w:hAnsi="Cambria Math"/>
            <w:sz w:val="21"/>
            <w:szCs w:val="21"/>
          </w:rPr>
          <m:t>=</m:t>
        </m:r>
        <m:sSub>
          <m:sSubPr>
            <m:ctrlPr>
              <w:rPr>
                <w:rFonts w:hint="eastAsia" w:ascii="Cambria Math" w:hAnsi="Cambria Math"/>
                <w:sz w:val="21"/>
                <w:szCs w:val="21"/>
              </w:rPr>
            </m:ctrlPr>
          </m:sSubPr>
          <m:e>
            <m:r>
              <m:rPr/>
              <w:rPr>
                <w:rFonts w:ascii="Cambria Math" w:hAnsi="Cambria Math"/>
                <w:sz w:val="21"/>
                <w:szCs w:val="21"/>
              </w:rPr>
              <m:t>N</m:t>
            </m:r>
            <m:ctrlPr>
              <w:rPr>
                <w:rFonts w:hint="eastAsia" w:ascii="Cambria Math" w:hAnsi="Cambria Math"/>
                <w:sz w:val="21"/>
                <w:szCs w:val="21"/>
              </w:rPr>
            </m:ctrlPr>
          </m:e>
          <m:sub>
            <m:r>
              <m:rPr>
                <m:sty m:val="p"/>
              </m:rPr>
              <w:rPr>
                <w:rFonts w:hint="eastAsia" w:ascii="Cambria Math" w:hAnsi="Cambria Math"/>
                <w:sz w:val="21"/>
                <w:szCs w:val="21"/>
              </w:rPr>
              <m:t>DM</m:t>
            </m:r>
            <m:ctrlPr>
              <w:rPr>
                <w:rFonts w:hint="eastAsia" w:ascii="Cambria Math" w:hAnsi="Cambria Math"/>
                <w:sz w:val="21"/>
                <w:szCs w:val="21"/>
              </w:rPr>
            </m:ctrlPr>
          </m:sub>
        </m:sSub>
        <m:r>
          <m:rPr/>
          <w:rPr>
            <w:rFonts w:ascii="Cambria Math" w:hAnsi="Cambria Math"/>
            <w:sz w:val="21"/>
            <w:szCs w:val="21"/>
          </w:rPr>
          <m:t>−</m:t>
        </m:r>
        <m:sSub>
          <m:sSubPr>
            <m:ctrlPr>
              <w:rPr>
                <w:rFonts w:ascii="Cambria Math" w:hAnsi="Cambria Math"/>
                <w:i/>
                <w:sz w:val="21"/>
                <w:szCs w:val="21"/>
              </w:rPr>
            </m:ctrlPr>
          </m:sSubPr>
          <m:e>
            <m:r>
              <m:rPr/>
              <w:rPr>
                <w:rFonts w:ascii="Cambria Math" w:hAnsi="Cambria Math"/>
                <w:sz w:val="21"/>
                <w:szCs w:val="21"/>
              </w:rPr>
              <m:t>N</m:t>
            </m:r>
            <m:ctrlPr>
              <w:rPr>
                <w:rFonts w:ascii="Cambria Math" w:hAnsi="Cambria Math"/>
                <w:i/>
                <w:sz w:val="21"/>
                <w:szCs w:val="21"/>
              </w:rPr>
            </m:ctrlPr>
          </m:e>
          <m:sub>
            <m:r>
              <m:rPr/>
              <w:rPr>
                <w:rFonts w:ascii="Cambria Math" w:hAnsi="Cambria Math"/>
                <w:sz w:val="21"/>
                <w:szCs w:val="21"/>
              </w:rPr>
              <m:t>1</m:t>
            </m:r>
            <m:ctrlPr>
              <w:rPr>
                <w:rFonts w:ascii="Cambria Math" w:hAnsi="Cambria Math"/>
                <w:i/>
                <w:sz w:val="21"/>
                <w:szCs w:val="21"/>
              </w:rPr>
            </m:ctrlPr>
          </m:sub>
        </m:sSub>
      </m:oMath>
      <w:r>
        <w:rPr>
          <w:rFonts w:hint="eastAsia" w:hAnsi="Cambria Math"/>
          <w:sz w:val="21"/>
          <w:szCs w:val="21"/>
        </w:rPr>
        <w:t>;</w:t>
      </w:r>
      <w:r>
        <w:rPr>
          <w:rFonts w:hint="eastAsia"/>
          <w:sz w:val="21"/>
          <w:szCs w:val="21"/>
        </w:rPr>
        <w:t>where multiplication of 2 being shifting is omitted.</w:t>
      </w:r>
    </w:p>
    <w:p>
      <w:pPr>
        <w:pStyle w:val="32"/>
        <w:numPr>
          <w:ilvl w:val="0"/>
          <w:numId w:val="24"/>
        </w:numPr>
        <w:spacing w:before="120" w:after="120"/>
        <w:rPr>
          <w:rFonts w:hAnsi="Cambria Math"/>
          <w:sz w:val="21"/>
          <w:szCs w:val="21"/>
        </w:rPr>
      </w:pPr>
      <w:r>
        <w:rPr>
          <w:rFonts w:hint="eastAsia" w:hAnsi="Cambria Math"/>
          <w:sz w:val="21"/>
          <w:szCs w:val="21"/>
        </w:rPr>
        <w:t xml:space="preserve">Step (3-4) has </w:t>
      </w:r>
      <w:r>
        <w:rPr>
          <w:rFonts w:hint="eastAsia"/>
          <w:sz w:val="21"/>
          <w:szCs w:val="21"/>
        </w:rPr>
        <w:t>M</w:t>
      </w:r>
      <w:r>
        <w:rPr>
          <w:rFonts w:hint="eastAsia"/>
          <w:sz w:val="21"/>
          <w:szCs w:val="21"/>
          <w:vertAlign w:val="subscript"/>
        </w:rPr>
        <w:t xml:space="preserve">34 </w:t>
      </w:r>
      <w:r>
        <w:rPr>
          <w:rFonts w:hint="eastAsia" w:hAnsi="Cambria Math"/>
          <w:sz w:val="21"/>
          <w:szCs w:val="21"/>
        </w:rPr>
        <w:t xml:space="preserve">subtractions, where </w:t>
      </w:r>
      <m:oMath>
        <m:sSub>
          <m:sSubPr>
            <m:ctrlPr>
              <w:rPr>
                <w:rFonts w:ascii="Cambria Math" w:hAnsi="Cambria Math"/>
                <w:sz w:val="21"/>
                <w:szCs w:val="21"/>
              </w:rPr>
            </m:ctrlPr>
          </m:sSubPr>
          <m:e>
            <m:r>
              <m:rPr>
                <m:sty m:val="p"/>
              </m:rPr>
              <w:rPr>
                <w:rFonts w:hint="eastAsia" w:ascii="Cambria Math"/>
                <w:sz w:val="21"/>
                <w:szCs w:val="21"/>
              </w:rPr>
              <m:t>M</m:t>
            </m:r>
            <m:ctrlPr>
              <w:rPr>
                <w:rFonts w:ascii="Cambria Math" w:hAnsi="Cambria Math"/>
                <w:sz w:val="21"/>
                <w:szCs w:val="21"/>
              </w:rPr>
            </m:ctrlPr>
          </m:e>
          <m:sub>
            <m:r>
              <m:rPr>
                <m:sty m:val="p"/>
              </m:rPr>
              <w:rPr>
                <w:rFonts w:ascii="Cambria Math"/>
                <w:sz w:val="21"/>
                <w:szCs w:val="21"/>
              </w:rPr>
              <m:t>34</m:t>
            </m:r>
            <m:ctrlPr>
              <w:rPr>
                <w:rFonts w:ascii="Cambria Math" w:hAnsi="Cambria Math"/>
                <w:sz w:val="21"/>
                <w:szCs w:val="21"/>
              </w:rPr>
            </m:ctrlPr>
          </m:sub>
        </m:sSub>
        <m:r>
          <m:rPr>
            <m:sty m:val="p"/>
          </m:rPr>
          <w:rPr>
            <w:rFonts w:ascii="Cambria Math"/>
            <w:sz w:val="21"/>
            <w:szCs w:val="21"/>
          </w:rPr>
          <m:t>=</m:t>
        </m:r>
        <m:nary>
          <m:naryPr>
            <m:chr m:val="∑"/>
            <m:limLoc m:val="undOvr"/>
            <m:ctrlPr>
              <w:rPr>
                <w:rFonts w:ascii="Cambria Math" w:hAnsi="Cambria Math"/>
                <w:i/>
                <w:sz w:val="21"/>
                <w:szCs w:val="21"/>
              </w:rPr>
            </m:ctrlPr>
          </m:naryPr>
          <m:sub>
            <m:r>
              <m:rPr/>
              <w:rPr>
                <w:rFonts w:ascii="Cambria Math" w:hAnsi="Cambria Math"/>
                <w:sz w:val="21"/>
                <w:szCs w:val="21"/>
              </w:rPr>
              <m:t>j=1</m:t>
            </m:r>
            <m:ctrlPr>
              <w:rPr>
                <w:rFonts w:ascii="Cambria Math" w:hAnsi="Cambria Math"/>
                <w:i/>
                <w:sz w:val="21"/>
                <w:szCs w:val="21"/>
              </w:rPr>
            </m:ctrlPr>
          </m:sub>
          <m:sup>
            <m:r>
              <m:rPr/>
              <w:rPr>
                <w:rFonts w:ascii="Cambria Math" w:hAnsi="Cambria Math"/>
                <w:sz w:val="21"/>
                <w:szCs w:val="21"/>
              </w:rPr>
              <m:t>|A|</m:t>
            </m:r>
            <m:ctrlPr>
              <w:rPr>
                <w:rFonts w:ascii="Cambria Math" w:hAnsi="Cambria Math"/>
                <w:i/>
                <w:sz w:val="21"/>
                <w:szCs w:val="21"/>
              </w:rPr>
            </m:ctrlPr>
          </m:sup>
          <m:e>
            <m:d>
              <m:dPr>
                <m:ctrlPr>
                  <w:rPr>
                    <w:rFonts w:ascii="Cambria Math" w:hAnsi="Cambria Math"/>
                    <w:i/>
                    <w:sz w:val="21"/>
                    <w:szCs w:val="21"/>
                  </w:rPr>
                </m:ctrlPr>
              </m:dPr>
              <m:e>
                <m:d>
                  <m:dPr>
                    <m:begChr m:val="|"/>
                    <m:endChr m:val="|"/>
                    <m:ctrlPr>
                      <w:rPr>
                        <w:rFonts w:ascii="Cambria Math" w:hAnsi="Cambria Math"/>
                        <w:i/>
                        <w:sz w:val="21"/>
                        <w:szCs w:val="21"/>
                      </w:rPr>
                    </m:ctrlPr>
                  </m:dPr>
                  <m:e>
                    <m:r>
                      <m:rPr/>
                      <w:rPr>
                        <w:rFonts w:ascii="Cambria Math" w:hAnsi="Cambria Math"/>
                        <w:sz w:val="21"/>
                        <w:szCs w:val="21"/>
                      </w:rPr>
                      <m:t>A</m:t>
                    </m:r>
                    <m:ctrlPr>
                      <w:rPr>
                        <w:rFonts w:ascii="Cambria Math" w:hAnsi="Cambria Math"/>
                        <w:i/>
                        <w:sz w:val="21"/>
                        <w:szCs w:val="21"/>
                      </w:rPr>
                    </m:ctrlPr>
                  </m:e>
                </m:d>
                <m:r>
                  <m:rPr/>
                  <w:rPr>
                    <w:rFonts w:ascii="Cambria Math" w:hAnsi="Cambria Math"/>
                    <w:sz w:val="21"/>
                    <w:szCs w:val="21"/>
                  </w:rPr>
                  <m:t>+1−j</m:t>
                </m:r>
                <m:ctrlPr>
                  <w:rPr>
                    <w:rFonts w:ascii="Cambria Math" w:hAnsi="Cambria Math"/>
                    <w:i/>
                    <w:sz w:val="21"/>
                    <w:szCs w:val="21"/>
                  </w:rPr>
                </m:ctrlPr>
              </m:e>
            </m:d>
            <m:r>
              <m:rPr/>
              <w:rPr>
                <w:rFonts w:ascii="Cambria Math" w:hAnsi="Cambria Math"/>
                <w:sz w:val="21"/>
                <w:szCs w:val="21"/>
              </w:rPr>
              <m:t>∙</m:t>
            </m:r>
            <m:sSub>
              <m:sSubPr>
                <m:ctrlPr>
                  <w:rPr>
                    <w:rFonts w:ascii="Cambria Math" w:hAnsi="Cambria Math"/>
                    <w:i/>
                    <w:sz w:val="21"/>
                    <w:szCs w:val="21"/>
                  </w:rPr>
                </m:ctrlPr>
              </m:sSubPr>
              <m:e>
                <m:r>
                  <m:rPr/>
                  <w:rPr>
                    <w:rFonts w:ascii="Cambria Math" w:hAnsi="Cambria Math"/>
                    <w:sz w:val="21"/>
                    <w:szCs w:val="21"/>
                  </w:rPr>
                  <m:t>N</m:t>
                </m:r>
                <m:ctrlPr>
                  <w:rPr>
                    <w:rFonts w:ascii="Cambria Math" w:hAnsi="Cambria Math"/>
                    <w:i/>
                    <w:sz w:val="21"/>
                    <w:szCs w:val="21"/>
                  </w:rPr>
                </m:ctrlPr>
              </m:e>
              <m:sub>
                <m:r>
                  <m:rPr/>
                  <w:rPr>
                    <w:rFonts w:ascii="Cambria Math" w:hAnsi="Cambria Math"/>
                    <w:sz w:val="21"/>
                    <w:szCs w:val="21"/>
                  </w:rPr>
                  <m:t>2j−1</m:t>
                </m:r>
                <m:ctrlPr>
                  <w:rPr>
                    <w:rFonts w:ascii="Cambria Math" w:hAnsi="Cambria Math"/>
                    <w:i/>
                    <w:sz w:val="21"/>
                    <w:szCs w:val="21"/>
                  </w:rPr>
                </m:ctrlPr>
              </m:sub>
            </m:sSub>
            <m:ctrlPr>
              <w:rPr>
                <w:rFonts w:ascii="Cambria Math" w:hAnsi="Cambria Math"/>
                <w:i/>
                <w:sz w:val="21"/>
                <w:szCs w:val="21"/>
              </w:rPr>
            </m:ctrlPr>
          </m:e>
        </m:nary>
      </m:oMath>
      <w:r>
        <w:rPr>
          <w:rFonts w:hint="eastAsia" w:hAnsi="Cambria Math"/>
          <w:sz w:val="21"/>
          <w:szCs w:val="21"/>
        </w:rPr>
        <w:t xml:space="preserve"> is at most </w:t>
      </w:r>
      <m:oMath>
        <m:r>
          <m:rPr/>
          <w:rPr>
            <w:rFonts w:ascii="Cambria Math" w:hAnsi="Cambria Math"/>
            <w:sz w:val="21"/>
            <w:szCs w:val="21"/>
          </w:rPr>
          <m:t>|A|∙</m:t>
        </m:r>
        <m:sSub>
          <m:sSubPr>
            <m:ctrlPr>
              <w:rPr>
                <w:rFonts w:hint="eastAsia" w:ascii="Cambria Math" w:hAnsi="Cambria Math"/>
                <w:sz w:val="21"/>
                <w:szCs w:val="21"/>
              </w:rPr>
            </m:ctrlPr>
          </m:sSubPr>
          <m:e>
            <m:r>
              <m:rPr/>
              <w:rPr>
                <w:rFonts w:ascii="Cambria Math" w:hAnsi="Cambria Math"/>
                <w:sz w:val="21"/>
                <w:szCs w:val="21"/>
              </w:rPr>
              <m:t>N</m:t>
            </m:r>
            <m:ctrlPr>
              <w:rPr>
                <w:rFonts w:hint="eastAsia" w:ascii="Cambria Math" w:hAnsi="Cambria Math"/>
                <w:sz w:val="21"/>
                <w:szCs w:val="21"/>
              </w:rPr>
            </m:ctrlPr>
          </m:e>
          <m:sub>
            <m:r>
              <m:rPr>
                <m:sty m:val="p"/>
              </m:rPr>
              <w:rPr>
                <w:rFonts w:hint="eastAsia" w:ascii="Cambria Math" w:hAnsi="Cambria Math"/>
                <w:sz w:val="21"/>
                <w:szCs w:val="21"/>
              </w:rPr>
              <m:t>DM</m:t>
            </m:r>
            <m:ctrlPr>
              <w:rPr>
                <w:rFonts w:hint="eastAsia" w:ascii="Cambria Math" w:hAnsi="Cambria Math"/>
                <w:sz w:val="21"/>
                <w:szCs w:val="21"/>
              </w:rPr>
            </m:ctrlPr>
          </m:sub>
        </m:sSub>
      </m:oMath>
      <w:r>
        <w:rPr>
          <w:rFonts w:hint="eastAsia" w:hAnsi="Cambria Math"/>
          <w:sz w:val="21"/>
          <w:szCs w:val="21"/>
        </w:rPr>
        <w:t>.</w:t>
      </w:r>
    </w:p>
    <w:p>
      <w:pPr>
        <w:pStyle w:val="32"/>
        <w:numPr>
          <w:ilvl w:val="0"/>
          <w:numId w:val="24"/>
        </w:numPr>
        <w:spacing w:before="120" w:after="120"/>
        <w:rPr>
          <w:rFonts w:hAnsi="Cambria Math"/>
          <w:sz w:val="21"/>
          <w:szCs w:val="21"/>
        </w:rPr>
      </w:pPr>
      <w:r>
        <w:rPr>
          <w:rFonts w:hint="eastAsia" w:hAnsi="Cambria Math"/>
          <w:sz w:val="21"/>
          <w:szCs w:val="21"/>
        </w:rPr>
        <w:t xml:space="preserve">Step (3-5) has </w:t>
      </w:r>
      <m:oMath>
        <m:sSub>
          <m:sSubPr>
            <m:ctrlPr>
              <w:rPr>
                <w:rFonts w:hint="eastAsia" w:ascii="Cambria Math" w:hAnsi="Cambria Math"/>
                <w:sz w:val="21"/>
                <w:szCs w:val="21"/>
              </w:rPr>
            </m:ctrlPr>
          </m:sSubPr>
          <m:e>
            <m:r>
              <m:rPr/>
              <w:rPr>
                <w:rFonts w:ascii="Cambria Math" w:hAnsi="Cambria Math"/>
                <w:sz w:val="21"/>
                <w:szCs w:val="21"/>
              </w:rPr>
              <m:t>N</m:t>
            </m:r>
            <m:ctrlPr>
              <w:rPr>
                <w:rFonts w:hint="eastAsia" w:ascii="Cambria Math" w:hAnsi="Cambria Math"/>
                <w:sz w:val="21"/>
                <w:szCs w:val="21"/>
              </w:rPr>
            </m:ctrlPr>
          </m:e>
          <m:sub>
            <m:r>
              <m:rPr>
                <m:sty m:val="p"/>
              </m:rPr>
              <w:rPr>
                <w:rFonts w:hint="eastAsia" w:ascii="Cambria Math" w:hAnsi="Cambria Math"/>
                <w:sz w:val="21"/>
                <w:szCs w:val="21"/>
              </w:rPr>
              <m:t>DM</m:t>
            </m:r>
            <m:ctrlPr>
              <w:rPr>
                <w:rFonts w:hint="eastAsia" w:ascii="Cambria Math" w:hAnsi="Cambria Math"/>
                <w:sz w:val="21"/>
                <w:szCs w:val="21"/>
              </w:rPr>
            </m:ctrlPr>
          </m:sub>
        </m:sSub>
      </m:oMath>
      <w:r>
        <w:rPr>
          <w:rFonts w:hint="eastAsia" w:hAnsi="Cambria Math"/>
          <w:sz w:val="21"/>
          <w:szCs w:val="21"/>
        </w:rPr>
        <w:t xml:space="preserve"> subtractions.</w:t>
      </w:r>
    </w:p>
    <w:p>
      <w:pPr>
        <w:spacing w:before="120" w:after="120"/>
        <w:rPr>
          <w:rFonts w:hAnsi="Cambria Math"/>
          <w:szCs w:val="21"/>
        </w:rPr>
      </w:pPr>
      <w:r>
        <w:rPr>
          <w:rFonts w:hint="eastAsia" w:hAnsi="Cambria Math"/>
          <w:szCs w:val="21"/>
        </w:rPr>
        <w:t xml:space="preserve">Table </w:t>
      </w:r>
      <w:r>
        <w:rPr>
          <w:rFonts w:hAnsi="Cambria Math"/>
          <w:szCs w:val="21"/>
        </w:rPr>
        <w:t>6</w:t>
      </w:r>
      <w:r>
        <w:rPr>
          <w:rFonts w:hint="eastAsia" w:hAnsi="Cambria Math"/>
          <w:szCs w:val="21"/>
        </w:rPr>
        <w:t xml:space="preserve"> summarizes the </w:t>
      </w:r>
      <w:r>
        <w:rPr>
          <w:rFonts w:hAnsi="Cambria Math"/>
          <w:szCs w:val="21"/>
        </w:rPr>
        <w:t xml:space="preserve">number </w:t>
      </w:r>
      <w:r>
        <w:rPr>
          <w:rFonts w:hint="eastAsia" w:hAnsi="Cambria Math"/>
          <w:szCs w:val="21"/>
        </w:rPr>
        <w:t>of operations for CCDM.</w:t>
      </w:r>
    </w:p>
    <w:p>
      <w:pPr>
        <w:spacing w:before="120" w:after="120"/>
        <w:jc w:val="center"/>
        <w:rPr>
          <w:vertAlign w:val="subscript"/>
        </w:rPr>
      </w:pPr>
      <w:r>
        <w:rPr>
          <w:rFonts w:hint="eastAsia"/>
        </w:rPr>
        <w:t xml:space="preserve">Table </w:t>
      </w:r>
      <w:r>
        <w:t>6</w:t>
      </w:r>
      <w:r>
        <w:rPr>
          <w:rFonts w:hint="eastAsia"/>
        </w:rPr>
        <w:t xml:space="preserve"> </w:t>
      </w:r>
      <w:r>
        <w:rPr>
          <w:rFonts w:hint="eastAsia" w:hAnsi="Cambria Math"/>
          <w:szCs w:val="21"/>
        </w:rPr>
        <w:t xml:space="preserve">Upper bound </w:t>
      </w:r>
      <w:r>
        <w:rPr>
          <w:rFonts w:hint="eastAsia"/>
        </w:rPr>
        <w:t xml:space="preserve">of operations of DM encoding with modulation order </w:t>
      </w:r>
      <w:r>
        <w:rPr>
          <w:rFonts w:hint="eastAsia"/>
          <w:i/>
          <w:iCs/>
        </w:rPr>
        <w:t>Q</w:t>
      </w:r>
      <w:r>
        <w:rPr>
          <w:rFonts w:hint="eastAsia"/>
          <w:vertAlign w:val="subscript"/>
        </w:rPr>
        <w:t>m</w:t>
      </w:r>
    </w:p>
    <w:tbl>
      <w:tblPr>
        <w:tblStyle w:val="17"/>
        <w:tblW w:w="0" w:type="auto"/>
        <w:tblInd w:w="3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3"/>
        <w:gridCol w:w="1764"/>
        <w:gridCol w:w="1880"/>
        <w:gridCol w:w="4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255" w:type="dxa"/>
            <w:shd w:val="clear" w:color="auto" w:fill="BEBEBE" w:themeFill="background1" w:themeFillShade="BF"/>
            <w:vAlign w:val="center"/>
          </w:tcPr>
          <w:p>
            <w:pPr>
              <w:spacing w:beforeLines="0" w:after="0" w:afterLines="0" w:line="240" w:lineRule="auto"/>
              <w:jc w:val="center"/>
              <w:rPr>
                <w:b/>
              </w:rPr>
            </w:pPr>
            <w:r>
              <w:rPr>
                <w:rFonts w:hint="eastAsia"/>
                <w:b/>
              </w:rPr>
              <w:t>D</w:t>
            </w:r>
            <w:r>
              <w:rPr>
                <w:b/>
              </w:rPr>
              <w:t>istribution matcher</w:t>
            </w:r>
          </w:p>
        </w:tc>
        <w:tc>
          <w:tcPr>
            <w:tcW w:w="1764" w:type="dxa"/>
            <w:shd w:val="clear" w:color="auto" w:fill="BEBEBE" w:themeFill="background1" w:themeFillShade="BF"/>
            <w:vAlign w:val="center"/>
          </w:tcPr>
          <w:p>
            <w:pPr>
              <w:spacing w:beforeLines="0" w:after="0" w:afterLines="0" w:line="240" w:lineRule="auto"/>
              <w:jc w:val="center"/>
              <w:rPr>
                <w:b/>
              </w:rPr>
            </w:pPr>
            <w:r>
              <w:rPr>
                <w:b/>
              </w:rPr>
              <w:t>Division</w:t>
            </w:r>
          </w:p>
        </w:tc>
        <w:tc>
          <w:tcPr>
            <w:tcW w:w="1880" w:type="dxa"/>
            <w:shd w:val="clear" w:color="auto" w:fill="BEBEBE" w:themeFill="background1" w:themeFillShade="BF"/>
            <w:vAlign w:val="center"/>
          </w:tcPr>
          <w:p>
            <w:pPr>
              <w:spacing w:beforeLines="0" w:after="0" w:afterLines="0" w:line="240" w:lineRule="auto"/>
              <w:jc w:val="center"/>
              <w:rPr>
                <w:b/>
              </w:rPr>
            </w:pPr>
            <w:r>
              <w:rPr>
                <w:b/>
              </w:rPr>
              <w:t>Multiplication</w:t>
            </w:r>
          </w:p>
        </w:tc>
        <w:tc>
          <w:tcPr>
            <w:tcW w:w="4037" w:type="dxa"/>
            <w:shd w:val="clear" w:color="auto" w:fill="BEBEBE" w:themeFill="background1" w:themeFillShade="BF"/>
            <w:vAlign w:val="center"/>
          </w:tcPr>
          <w:p>
            <w:pPr>
              <w:spacing w:beforeLines="0" w:after="0" w:afterLines="0" w:line="240" w:lineRule="auto"/>
              <w:jc w:val="center"/>
              <w:rPr>
                <w:b/>
              </w:rPr>
            </w:pPr>
            <w:r>
              <w:rPr>
                <w:b/>
                <w:iCs/>
              </w:rPr>
              <w:t>Addition, subtraction and comparison in total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5" w:type="dxa"/>
            <w:vAlign w:val="center"/>
          </w:tcPr>
          <w:p>
            <w:pPr>
              <w:spacing w:beforeLines="0" w:after="0" w:afterLines="0" w:line="240" w:lineRule="auto"/>
              <w:jc w:val="center"/>
              <w:rPr>
                <w:rFonts w:ascii="Cambria Math" w:hAnsi="Cambria Math"/>
                <w:szCs w:val="21"/>
                <w:oMath/>
              </w:rPr>
            </w:pPr>
            <w:r>
              <w:rPr>
                <w:rFonts w:hint="eastAsia" w:hAnsi="Cambria Math"/>
                <w:iCs/>
                <w:szCs w:val="21"/>
              </w:rPr>
              <w:t>CCDM</w:t>
            </w:r>
          </w:p>
        </w:tc>
        <w:tc>
          <w:tcPr>
            <w:tcW w:w="1764" w:type="dxa"/>
            <w:vAlign w:val="center"/>
          </w:tcPr>
          <w:p>
            <w:pPr>
              <w:spacing w:beforeLines="0" w:after="0" w:afterLines="0" w:line="240" w:lineRule="auto"/>
              <w:jc w:val="center"/>
              <w:rPr>
                <w:iCs/>
              </w:rPr>
            </w:pPr>
            <m:oMathPara>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ctrlPr>
                      <w:rPr>
                        <w:rFonts w:ascii="Cambria Math" w:hAnsi="Cambria Math"/>
                        <w:iCs/>
                      </w:rPr>
                    </m:ctrlPr>
                  </m:e>
                  <m:sup>
                    <m:r>
                      <m:rPr>
                        <m:sty m:val="p"/>
                      </m:rPr>
                      <w:rPr>
                        <w:rFonts w:ascii="Cambria Math" w:hAnsi="Cambria Math"/>
                      </w:rPr>
                      <m:t>Qm/2−1</m:t>
                    </m:r>
                    <m:ctrlPr>
                      <w:rPr>
                        <w:rFonts w:ascii="Cambria Math" w:hAnsi="Cambria Math"/>
                        <w:iCs/>
                      </w:rPr>
                    </m:ctrlPr>
                  </m:sup>
                </m:sSup>
              </m:oMath>
            </m:oMathPara>
          </w:p>
        </w:tc>
        <w:tc>
          <w:tcPr>
            <w:tcW w:w="1880" w:type="dxa"/>
            <w:vAlign w:val="center"/>
          </w:tcPr>
          <w:p>
            <w:pPr>
              <w:spacing w:beforeLines="0" w:after="0" w:afterLines="0" w:line="240" w:lineRule="auto"/>
              <w:jc w:val="center"/>
              <w:rPr>
                <w:iCs/>
              </w:rPr>
            </w:pPr>
            <m:oMathPara>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r>
                  <m:rPr>
                    <m:sty m:val="p"/>
                  </m:rPr>
                  <w:rPr>
                    <w:rFonts w:ascii="Cambria Math" w:hAnsi="Cambria Math"/>
                    <w:szCs w:val="21"/>
                  </w:rPr>
                  <m:t>∙</m:t>
                </m:r>
                <m:sSup>
                  <m:sSupPr>
                    <m:ctrlPr>
                      <w:rPr>
                        <w:rFonts w:ascii="Cambria Math" w:hAnsi="Cambria Math"/>
                        <w:iCs/>
                      </w:rPr>
                    </m:ctrlPr>
                  </m:sSupPr>
                  <m:e>
                    <m:r>
                      <m:rPr>
                        <m:sty m:val="p"/>
                      </m:rPr>
                      <w:rPr>
                        <w:rFonts w:ascii="Cambria Math" w:hAnsi="Cambria Math"/>
                      </w:rPr>
                      <m:t>2</m:t>
                    </m:r>
                    <m:ctrlPr>
                      <w:rPr>
                        <w:rFonts w:ascii="Cambria Math" w:hAnsi="Cambria Math"/>
                        <w:iCs/>
                      </w:rPr>
                    </m:ctrlPr>
                  </m:e>
                  <m:sup>
                    <m:r>
                      <m:rPr>
                        <m:sty m:val="p"/>
                      </m:rPr>
                      <w:rPr>
                        <w:rFonts w:ascii="Cambria Math" w:hAnsi="Cambria Math"/>
                      </w:rPr>
                      <m:t>Qm/2−1</m:t>
                    </m:r>
                    <m:ctrlPr>
                      <w:rPr>
                        <w:rFonts w:ascii="Cambria Math" w:hAnsi="Cambria Math"/>
                        <w:iCs/>
                      </w:rPr>
                    </m:ctrlPr>
                  </m:sup>
                </m:sSup>
              </m:oMath>
            </m:oMathPara>
          </w:p>
        </w:tc>
        <w:tc>
          <w:tcPr>
            <w:tcW w:w="4037" w:type="dxa"/>
            <w:vAlign w:val="center"/>
          </w:tcPr>
          <w:p>
            <w:pPr>
              <w:spacing w:beforeLines="0" w:after="0" w:afterLines="0" w:line="240" w:lineRule="auto"/>
              <w:jc w:val="center"/>
              <w:rPr>
                <w:iCs/>
              </w:rPr>
            </w:pPr>
            <m:oMathPara>
              <m:oMath>
                <m:d>
                  <m:dPr>
                    <m:ctrlPr>
                      <w:rPr>
                        <w:rFonts w:ascii="Cambria Math" w:hAnsi="Cambria Math"/>
                        <w:iCs/>
                      </w:rPr>
                    </m:ctrlPr>
                  </m:dPr>
                  <m:e>
                    <m:sSup>
                      <m:sSupPr>
                        <m:ctrlPr>
                          <w:rPr>
                            <w:rFonts w:ascii="Cambria Math" w:hAnsi="Cambria Math"/>
                            <w:iCs/>
                          </w:rPr>
                        </m:ctrlPr>
                      </m:sSupPr>
                      <m:e>
                        <m:r>
                          <m:rPr>
                            <m:sty m:val="p"/>
                          </m:rPr>
                          <w:rPr>
                            <w:rFonts w:ascii="Cambria Math" w:hAnsi="Cambria Math"/>
                          </w:rPr>
                          <m:t>2</m:t>
                        </m:r>
                        <m:ctrlPr>
                          <w:rPr>
                            <w:rFonts w:ascii="Cambria Math" w:hAnsi="Cambria Math"/>
                            <w:iCs/>
                          </w:rPr>
                        </m:ctrlPr>
                      </m:e>
                      <m:sup>
                        <m:r>
                          <m:rPr>
                            <m:sty m:val="p"/>
                          </m:rPr>
                          <w:rPr>
                            <w:rFonts w:ascii="Cambria Math" w:hAnsi="Cambria Math"/>
                          </w:rPr>
                          <m:t>Qm/2</m:t>
                        </m:r>
                        <m:ctrlPr>
                          <w:rPr>
                            <w:rFonts w:ascii="Cambria Math" w:hAnsi="Cambria Math"/>
                            <w:iCs/>
                          </w:rPr>
                        </m:ctrlPr>
                      </m:sup>
                    </m:sSup>
                    <m:r>
                      <m:rPr>
                        <m:sty m:val="p"/>
                      </m:rPr>
                      <w:rPr>
                        <w:rFonts w:ascii="Cambria Math" w:hAnsi="Cambria Math"/>
                        <w:szCs w:val="21"/>
                      </w:rPr>
                      <m:t>+5</m:t>
                    </m:r>
                    <m:ctrlPr>
                      <w:rPr>
                        <w:rFonts w:ascii="Cambria Math" w:hAnsi="Cambria Math"/>
                        <w:iCs/>
                      </w:rPr>
                    </m:ctrlPr>
                  </m:e>
                </m:d>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r>
                  <m:rPr>
                    <m:sty m:val="p"/>
                  </m:rPr>
                  <w:rPr>
                    <w:rFonts w:ascii="Cambria Math" w:hAnsi="Cambria Math"/>
                  </w:rPr>
                  <m:t>+</m:t>
                </m:r>
                <m:sSup>
                  <m:sSupPr>
                    <m:ctrlPr>
                      <w:rPr>
                        <w:rFonts w:ascii="Cambria Math" w:hAnsi="Cambria Math"/>
                        <w:iCs/>
                      </w:rPr>
                    </m:ctrlPr>
                  </m:sSupPr>
                  <m:e>
                    <m:r>
                      <m:rPr>
                        <m:sty m:val="p"/>
                      </m:rPr>
                      <w:rPr>
                        <w:rFonts w:ascii="Cambria Math" w:hAnsi="Cambria Math"/>
                      </w:rPr>
                      <m:t>2</m:t>
                    </m:r>
                    <m:ctrlPr>
                      <w:rPr>
                        <w:rFonts w:ascii="Cambria Math" w:hAnsi="Cambria Math"/>
                        <w:iCs/>
                      </w:rPr>
                    </m:ctrlPr>
                  </m:e>
                  <m:sup>
                    <m:r>
                      <m:rPr>
                        <m:sty m:val="p"/>
                      </m:rPr>
                      <w:rPr>
                        <w:rFonts w:ascii="Cambria Math" w:hAnsi="Cambria Math"/>
                      </w:rPr>
                      <m:t>Qm/2−1</m:t>
                    </m:r>
                    <m:ctrlPr>
                      <w:rPr>
                        <w:rFonts w:ascii="Cambria Math" w:hAnsi="Cambria Math"/>
                        <w:iCs/>
                      </w:rPr>
                    </m:ctrlPr>
                  </m:sup>
                </m:sSup>
                <m:r>
                  <m:rPr>
                    <m:sty m:val="p"/>
                  </m:rPr>
                  <w:rPr>
                    <w:rFonts w:ascii="Cambria Math" w:hAnsi="Cambria Math"/>
                    <w:szCs w:val="21"/>
                  </w:rPr>
                  <m:t>−</m:t>
                </m:r>
                <m:sSub>
                  <m:sSubPr>
                    <m:ctrlPr>
                      <w:rPr>
                        <w:rFonts w:ascii="Cambria Math" w:hAnsi="Cambria Math"/>
                        <w:iCs/>
                        <w:szCs w:val="21"/>
                      </w:rPr>
                    </m:ctrlPr>
                  </m:sSubPr>
                  <m:e>
                    <m:r>
                      <m:rPr>
                        <m:sty m:val="p"/>
                      </m:rPr>
                      <w:rPr>
                        <w:rFonts w:ascii="Cambria Math" w:hAnsi="Cambria Math"/>
                        <w:szCs w:val="21"/>
                      </w:rPr>
                      <m:t>2N</m:t>
                    </m:r>
                    <m:ctrlPr>
                      <w:rPr>
                        <w:rFonts w:ascii="Cambria Math" w:hAnsi="Cambria Math"/>
                        <w:iCs/>
                        <w:szCs w:val="21"/>
                      </w:rPr>
                    </m:ctrlPr>
                  </m:e>
                  <m:sub>
                    <m:r>
                      <m:rPr>
                        <m:sty m:val="p"/>
                      </m:rPr>
                      <w:rPr>
                        <w:rFonts w:ascii="Cambria Math" w:hAnsi="Cambria Math"/>
                        <w:szCs w:val="21"/>
                      </w:rPr>
                      <m:t>1</m:t>
                    </m:r>
                    <m:ctrlPr>
                      <w:rPr>
                        <w:rFonts w:ascii="Cambria Math" w:hAnsi="Cambria Math"/>
                        <w:iCs/>
                        <w:szCs w:val="21"/>
                      </w:rPr>
                    </m:ctrlPr>
                  </m:sub>
                </m:sSub>
                <m:r>
                  <m:rPr>
                    <m:sty m:val="p"/>
                  </m:rPr>
                  <w:rPr>
                    <w:rFonts w:ascii="Cambria Math" w:hAnsi="Cambria Math"/>
                  </w:rPr>
                  <m:t>−1</m:t>
                </m:r>
              </m:oMath>
            </m:oMathPara>
          </w:p>
        </w:tc>
      </w:tr>
    </w:tbl>
    <w:p>
      <w:pPr>
        <w:spacing w:before="120" w:after="120"/>
        <w:rPr>
          <w:szCs w:val="21"/>
          <w:u w:val="single"/>
        </w:rPr>
      </w:pPr>
      <w:r>
        <w:rPr>
          <w:szCs w:val="21"/>
          <w:u w:val="single"/>
        </w:rPr>
        <w:t xml:space="preserve">DM algorithms: </w:t>
      </w:r>
      <w:r>
        <w:rPr>
          <w:rFonts w:hint="eastAsia"/>
          <w:szCs w:val="21"/>
          <w:u w:val="single"/>
        </w:rPr>
        <w:t>(</w:t>
      </w:r>
      <w:r>
        <w:rPr>
          <w:szCs w:val="21"/>
          <w:u w:val="single"/>
        </w:rPr>
        <w:t>A)ESS or shell mapping</w:t>
      </w:r>
    </w:p>
    <w:p>
      <w:pPr>
        <w:spacing w:before="120" w:after="120"/>
      </w:pPr>
      <w:r>
        <w:rPr>
          <w:rFonts w:hint="eastAsia"/>
        </w:rPr>
        <w:t>The memory usage in bits for (A)ESS or shell mapping is computed as</w:t>
      </w:r>
    </w:p>
    <w:p>
      <w:pPr>
        <w:spacing w:before="120" w:after="120"/>
      </w:pPr>
      <m:oMathPara>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mem</m:t>
              </m:r>
              <m:ctrlPr>
                <w:rPr>
                  <w:rFonts w:ascii="Cambria Math" w:hAnsi="Cambria Math"/>
                </w:rPr>
              </m:ctrlPr>
            </m:sub>
          </m:sSub>
          <m:r>
            <m:rPr>
              <m:sty m:val="p"/>
            </m:rPr>
            <w:rPr>
              <w:rFonts w:ascii="Cambria Math" w:hAnsi="Cambria Math"/>
            </w:rPr>
            <m:t>=</m:t>
          </m:r>
          <m:r>
            <m:rPr/>
            <w:rPr>
              <w:rFonts w:ascii="Cambria Math" w:hAnsi="Cambria Math"/>
            </w:rPr>
            <m:t>L×</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r>
            <m:rPr>
              <m:sty m:val="p"/>
            </m:rPr>
            <w:rPr>
              <w:rFonts w:ascii="Cambria Math" w:hAnsi="Cambria Math"/>
            </w:rPr>
            <m:t>,</m:t>
          </m:r>
        </m:oMath>
      </m:oMathPara>
    </w:p>
    <w:p>
      <w:pPr>
        <w:spacing w:before="120" w:after="120"/>
        <w:rPr>
          <w:rFonts w:hAnsi="Cambria Math"/>
        </w:rPr>
      </w:pPr>
      <w:r>
        <w:rPr>
          <w:rFonts w:hint="eastAsia"/>
        </w:rPr>
        <w:t xml:space="preserve">where </w:t>
      </w:r>
      <m:oMath>
        <m:r>
          <m:rPr/>
          <w:rPr>
            <w:rFonts w:ascii="Cambria Math" w:hAnsi="Cambria Math"/>
          </w:rPr>
          <m:t>L</m:t>
        </m:r>
      </m:oMath>
      <w:r>
        <w:rPr>
          <w:rFonts w:hint="eastAsia" w:hAnsi="Cambria Math"/>
        </w:rPr>
        <w:t xml:space="preserve"> is the number of possible power levels of the amplitude sequence of the DM output,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is </w:t>
      </w:r>
      <w:r>
        <w:rPr>
          <w:rFonts w:hint="eastAsia"/>
        </w:rPr>
        <w:t xml:space="preserve">the DM block length,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is the computation precision in bits for encoding/decoding. For both </w:t>
      </w:r>
      <w:r>
        <w:rPr>
          <w:rFonts w:hint="eastAsia"/>
        </w:rPr>
        <w:t>(A)ESS and shell mapping</w:t>
      </w:r>
      <w:r>
        <w:rPr>
          <w:rFonts w:hint="eastAsia" w:hAnsi="Cambria Math"/>
        </w:rPr>
        <w:t xml:space="preserve"> combined with 2</w:t>
      </w:r>
      <w:r>
        <w:rPr>
          <w:rFonts w:hAnsi="Cambria Math"/>
          <w:i/>
          <w:iCs/>
          <w:vertAlign w:val="superscript"/>
        </w:rPr>
        <w:t>Q</w:t>
      </w:r>
      <w:r>
        <w:rPr>
          <w:rFonts w:hAnsi="Cambria Math"/>
          <w:vertAlign w:val="superscript"/>
        </w:rPr>
        <w:t>m</w:t>
      </w:r>
      <w:r>
        <w:rPr>
          <w:rFonts w:hint="eastAsia" w:hAnsi="Cambria Math"/>
        </w:rPr>
        <w:t>-QAM, the number of possible power levels</w:t>
      </w:r>
      <w:r>
        <w:rPr>
          <w:rFonts w:hint="eastAsia"/>
        </w:rPr>
        <w:t xml:space="preserve"> </w:t>
      </w:r>
      <m:oMath>
        <m:r>
          <m:rPr/>
          <w:rPr>
            <w:rFonts w:ascii="Cambria Math" w:hAnsi="Cambria Math"/>
          </w:rPr>
          <m:t>L</m:t>
        </m:r>
      </m:oMath>
      <w:r>
        <w:rPr>
          <w:rFonts w:hint="eastAsia" w:hAnsi="Cambria Math"/>
        </w:rPr>
        <w:t xml:space="preserve"> is computed as</w:t>
      </w:r>
    </w:p>
    <w:p>
      <w:pPr>
        <w:spacing w:before="120" w:after="120"/>
        <w:jc w:val="center"/>
        <w:rPr>
          <w:rFonts w:hAnsi="Cambria Math"/>
        </w:rPr>
      </w:pPr>
      <m:oMath>
        <m:r>
          <m:rPr/>
          <w:rPr>
            <w:rFonts w:ascii="Cambria Math" w:hAnsi="Cambria Math"/>
          </w:rPr>
          <m:t>L=</m:t>
        </m:r>
        <m:f>
          <m:fPr>
            <m:ctrlPr>
              <w:rPr>
                <w:rFonts w:ascii="Cambria Math" w:hAnsi="Cambria Math"/>
                <w:i/>
              </w:rPr>
            </m:ctrlPr>
          </m:fPr>
          <m:num>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bSup>
              <m:sSubSupPr>
                <m:ctrlPr>
                  <w:rPr>
                    <w:rFonts w:ascii="Cambria Math" w:hAnsi="Cambria Math"/>
                    <w:i/>
                    <w:iCs/>
                  </w:rPr>
                </m:ctrlPr>
              </m:sSubSupPr>
              <m:e>
                <m:r>
                  <m:rPr/>
                  <w:rPr>
                    <w:rFonts w:ascii="Cambria Math" w:hAnsi="Cambria Math"/>
                  </w:rPr>
                  <m:t>A</m:t>
                </m:r>
                <m:ctrlPr>
                  <w:rPr>
                    <w:rFonts w:ascii="Cambria Math" w:hAnsi="Cambria Math"/>
                    <w:i/>
                    <w:iCs/>
                  </w:rPr>
                </m:ctrlPr>
              </m:e>
              <m:sub>
                <m:r>
                  <m:rPr>
                    <m:sty m:val="p"/>
                  </m:rPr>
                  <w:rPr>
                    <w:rFonts w:ascii="Cambria Math" w:hAnsi="Cambria Math"/>
                  </w:rPr>
                  <m:t>max</m:t>
                </m:r>
                <m:ctrlPr>
                  <w:rPr>
                    <w:rFonts w:ascii="Cambria Math" w:hAnsi="Cambria Math"/>
                    <w:i/>
                    <w:iCs/>
                  </w:rPr>
                </m:ctrlPr>
              </m:sub>
              <m:sup>
                <m:r>
                  <m:rPr/>
                  <w:rPr>
                    <w:rFonts w:ascii="Cambria Math" w:hAnsi="Cambria Math"/>
                  </w:rPr>
                  <m:t>2</m:t>
                </m:r>
                <m:ctrlPr>
                  <w:rPr>
                    <w:rFonts w:ascii="Cambria Math" w:hAnsi="Cambria Math"/>
                    <w:i/>
                    <w:iCs/>
                  </w:rPr>
                </m:ctrlPr>
              </m:sup>
            </m:sSubSup>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bSup>
              <m:sSubSupPr>
                <m:ctrlPr>
                  <w:rPr>
                    <w:rFonts w:ascii="Cambria Math" w:hAnsi="Cambria Math"/>
                    <w:i/>
                    <w:iCs/>
                  </w:rPr>
                </m:ctrlPr>
              </m:sSubSupPr>
              <m:e>
                <m:r>
                  <m:rPr/>
                  <w:rPr>
                    <w:rFonts w:ascii="Cambria Math" w:hAnsi="Cambria Math"/>
                  </w:rPr>
                  <m:t>A</m:t>
                </m:r>
                <m:ctrlPr>
                  <w:rPr>
                    <w:rFonts w:ascii="Cambria Math" w:hAnsi="Cambria Math"/>
                    <w:i/>
                    <w:iCs/>
                  </w:rPr>
                </m:ctrlPr>
              </m:e>
              <m:sub>
                <m:r>
                  <m:rPr>
                    <m:sty m:val="p"/>
                  </m:rPr>
                  <w:rPr>
                    <w:rFonts w:ascii="Cambria Math" w:hAnsi="Cambria Math"/>
                  </w:rPr>
                  <m:t>min</m:t>
                </m:r>
                <m:ctrlPr>
                  <w:rPr>
                    <w:rFonts w:ascii="Cambria Math" w:hAnsi="Cambria Math"/>
                    <w:i/>
                    <w:iCs/>
                  </w:rPr>
                </m:ctrlPr>
              </m:sub>
              <m:sup>
                <m:r>
                  <m:rPr/>
                  <w:rPr>
                    <w:rFonts w:ascii="Cambria Math" w:hAnsi="Cambria Math"/>
                  </w:rPr>
                  <m:t>2</m:t>
                </m:r>
                <m:ctrlPr>
                  <w:rPr>
                    <w:rFonts w:ascii="Cambria Math" w:hAnsi="Cambria Math"/>
                    <w:i/>
                    <w:iCs/>
                  </w:rPr>
                </m:ctrlPr>
              </m:sup>
            </m:sSubSup>
            <m:ctrlPr>
              <w:rPr>
                <w:rFonts w:ascii="Cambria Math" w:hAnsi="Cambria Math"/>
                <w:i/>
              </w:rPr>
            </m:ctrlPr>
          </m:num>
          <m:den>
            <m:r>
              <m:rPr/>
              <w:rPr>
                <w:rFonts w:ascii="Cambria Math" w:hAnsi="Cambria Math"/>
              </w:rPr>
              <m:t>8</m:t>
            </m:r>
            <m:ctrlPr>
              <w:rPr>
                <w:rFonts w:ascii="Cambria Math" w:hAnsi="Cambria Math"/>
                <w:i/>
              </w:rPr>
            </m:ctrlPr>
          </m:den>
        </m:f>
        <m:r>
          <m:rPr/>
          <w:rPr>
            <w:rFonts w:ascii="Cambria Math" w:hAnsi="Cambria Math"/>
          </w:rPr>
          <m:t>=</m:t>
        </m:r>
        <m:f>
          <m:fPr>
            <m:ctrlPr>
              <w:rPr>
                <w:rFonts w:ascii="Cambria Math" w:hAnsi="Cambria Math"/>
              </w:rPr>
            </m:ctrlPr>
          </m:fPr>
          <m:num>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Q</m:t>
                </m:r>
                <m:r>
                  <m:rPr>
                    <m:sty m:val="p"/>
                  </m:rPr>
                  <w:rPr>
                    <w:rFonts w:hint="eastAsia" w:ascii="Cambria Math" w:hAnsi="Cambria Math"/>
                  </w:rPr>
                  <m:t>m/</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Q</m:t>
                    </m:r>
                    <m:r>
                      <m:rPr>
                        <m:sty m:val="p"/>
                      </m:rPr>
                      <w:rPr>
                        <w:rFonts w:hint="eastAsia" w:ascii="Cambria Math" w:hAnsi="Cambria Math"/>
                      </w:rPr>
                      <m:t>m/</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oMath>
      <w:r>
        <w:rPr>
          <w:rFonts w:hint="eastAsia" w:hAnsi="Cambria Math"/>
        </w:rPr>
        <w:t>,</w:t>
      </w:r>
    </w:p>
    <w:p>
      <w:pPr>
        <w:spacing w:before="120" w:after="120"/>
        <w:rPr>
          <w:rFonts w:hAnsi="Cambria Math"/>
        </w:rPr>
      </w:pPr>
      <w:r>
        <w:rPr>
          <w:rFonts w:hint="eastAsia" w:hAnsi="Cambria Math"/>
        </w:rPr>
        <w:t xml:space="preserve">where </w:t>
      </w:r>
      <m:oMath>
        <m:sSub>
          <m:sSubPr>
            <m:ctrlPr>
              <w:rPr>
                <w:rFonts w:ascii="Cambria Math" w:hAnsi="Cambria Math"/>
              </w:rPr>
            </m:ctrlPr>
          </m:sSubPr>
          <m:e>
            <m:r>
              <m:rPr/>
              <w:rPr>
                <w:rFonts w:ascii="Cambria Math" w:hAnsi="Cambria Math"/>
              </w:rPr>
              <m:t>A</m:t>
            </m:r>
            <m:ctrlPr>
              <w:rPr>
                <w:rFonts w:ascii="Cambria Math" w:hAnsi="Cambria Math"/>
              </w:rPr>
            </m:ctrlPr>
          </m:e>
          <m:sub>
            <m:r>
              <m:rPr>
                <m:sty m:val="p"/>
              </m:rPr>
              <w:rPr>
                <w:rFonts w:ascii="Cambria Math" w:hAnsi="Cambria Math"/>
              </w:rPr>
              <m:t>max</m:t>
            </m:r>
            <m:ctrlPr>
              <w:rPr>
                <w:rFonts w:ascii="Cambria Math" w:hAnsi="Cambria Math"/>
              </w:rPr>
            </m:ctrlP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Q</m:t>
            </m:r>
            <m:r>
              <m:rPr>
                <m:sty m:val="p"/>
              </m:rPr>
              <w:rPr>
                <w:rFonts w:hint="eastAsia" w:ascii="Cambria Math" w:hAnsi="Cambria Math"/>
              </w:rPr>
              <m:t>m/</m:t>
            </m:r>
            <m:r>
              <m:rPr>
                <m:sty m:val="p"/>
              </m:rPr>
              <w:rPr>
                <w:rFonts w:ascii="Cambria Math" w:hAnsi="Cambria Math"/>
              </w:rPr>
              <m:t>2</m:t>
            </m:r>
            <m:ctrlPr>
              <w:rPr>
                <w:rFonts w:ascii="Cambria Math" w:hAnsi="Cambria Math"/>
              </w:rPr>
            </m:ctrlPr>
          </m:sup>
        </m:sSup>
        <m:r>
          <m:rPr>
            <m:sty m:val="p"/>
          </m:rPr>
          <w:rPr>
            <w:rFonts w:ascii="Cambria Math" w:hAnsi="Cambria Math"/>
          </w:rPr>
          <m:t>−1</m:t>
        </m:r>
      </m:oMath>
      <w:r>
        <w:rPr>
          <w:rFonts w:hint="eastAsia" w:hAnsi="Cambria Math"/>
        </w:rPr>
        <w:t xml:space="preserve"> and </w:t>
      </w:r>
      <m:oMath>
        <m:sSub>
          <m:sSubPr>
            <m:ctrlPr>
              <w:rPr>
                <w:rFonts w:ascii="Cambria Math" w:hAnsi="Cambria Math"/>
              </w:rPr>
            </m:ctrlPr>
          </m:sSubPr>
          <m:e>
            <m:r>
              <m:rPr/>
              <w:rPr>
                <w:rFonts w:ascii="Cambria Math" w:hAnsi="Cambria Math"/>
              </w:rPr>
              <m:t>A</m:t>
            </m:r>
            <m:ctrlPr>
              <w:rPr>
                <w:rFonts w:ascii="Cambria Math" w:hAnsi="Cambria Math"/>
              </w:rPr>
            </m:ctrlPr>
          </m:e>
          <m:sub>
            <m:r>
              <m:rPr>
                <m:sty m:val="p"/>
              </m:rPr>
              <w:rPr>
                <w:rFonts w:ascii="Cambria Math" w:hAnsi="Cambria Math"/>
              </w:rPr>
              <m:t>min</m:t>
            </m:r>
            <m:ctrlPr>
              <w:rPr>
                <w:rFonts w:ascii="Cambria Math" w:hAnsi="Cambria Math"/>
              </w:rPr>
            </m:ctrlPr>
          </m:sub>
        </m:sSub>
        <m:r>
          <m:rPr>
            <m:sty m:val="p"/>
          </m:rPr>
          <w:rPr>
            <w:rFonts w:ascii="Cambria Math" w:hAnsi="Cambria Math"/>
          </w:rPr>
          <m:t>=1</m:t>
        </m:r>
      </m:oMath>
      <w:r>
        <w:rPr>
          <w:rFonts w:hint="eastAsia" w:hAnsi="Cambria Math"/>
        </w:rPr>
        <w:t xml:space="preserve"> are the maximum amplitude and the minimum amplitude in the DM output, re</w:t>
      </w:r>
      <w:r>
        <w:rPr>
          <w:rFonts w:hAnsi="Cambria Math"/>
        </w:rPr>
        <w:t>s</w:t>
      </w:r>
      <w:r>
        <w:rPr>
          <w:rFonts w:hint="eastAsia" w:hAnsi="Cambria Math"/>
        </w:rPr>
        <w:t xml:space="preserve">pectively. However, the computation precision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of (A)ESS</w:t>
      </w:r>
      <w:r>
        <w:rPr>
          <w:rFonts w:hint="eastAsia"/>
        </w:rPr>
        <w:t xml:space="preserve"> </w:t>
      </w:r>
      <w:r>
        <w:t>is</w:t>
      </w:r>
      <w:r>
        <w:rPr>
          <w:rFonts w:hint="eastAsia"/>
        </w:rPr>
        <w:t xml:space="preserve"> </w:t>
      </w:r>
      <w:r>
        <w:rPr>
          <w:rFonts w:hint="eastAsia" w:hAnsi="Cambria Math"/>
        </w:rPr>
        <w:t>different from that of</w:t>
      </w:r>
      <w:r>
        <w:rPr>
          <w:rFonts w:hint="eastAsia"/>
        </w:rPr>
        <w:t xml:space="preserve"> shell mapping. For (A)ESS, </w:t>
      </w:r>
      <w:r>
        <w:rPr>
          <w:rFonts w:hint="eastAsia" w:hAnsi="Cambria Math"/>
        </w:rPr>
        <w:t xml:space="preserve">the typical value for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is 20</w:t>
      </w:r>
      <w:r>
        <w:rPr>
          <w:rFonts w:hAnsi="Cambria Math"/>
        </w:rPr>
        <w:t xml:space="preserve"> [</w:t>
      </w:r>
      <w:r>
        <w:rPr>
          <w:rFonts w:hint="eastAsia" w:hAnsi="Cambria Math"/>
        </w:rPr>
        <w:t>1</w:t>
      </w:r>
      <w:r>
        <w:rPr>
          <w:rFonts w:hAnsi="Cambria Math"/>
        </w:rPr>
        <w:t>3]</w:t>
      </w:r>
      <w:r>
        <w:rPr>
          <w:rFonts w:hint="eastAsia"/>
        </w:rPr>
        <w:t xml:space="preserve">. For shell mapping, </w:t>
      </w:r>
      <w:r>
        <w:rPr>
          <w:rFonts w:hint="eastAsia" w:hAnsi="Cambria Math"/>
        </w:rPr>
        <w:t xml:space="preserve">the value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oMath>
      <w:r>
        <w:rPr>
          <w:rFonts w:hint="eastAsia" w:hAnsi="Cambria Math"/>
        </w:rPr>
        <w:t xml:space="preserve"> depends on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and </w:t>
      </w:r>
      <w:r>
        <w:rPr>
          <w:rFonts w:hAnsi="Cambria Math"/>
          <w:i/>
          <w:iCs/>
        </w:rPr>
        <w:t>Q</w:t>
      </w:r>
      <w:r>
        <w:rPr>
          <w:rFonts w:hAnsi="Cambria Math"/>
          <w:vertAlign w:val="subscript"/>
        </w:rPr>
        <w:t>m</w:t>
      </w:r>
      <w:r>
        <w:rPr>
          <w:rFonts w:hint="eastAsia" w:hAnsi="Cambria Math"/>
          <w:vertAlign w:val="subscript"/>
        </w:rPr>
        <w:t xml:space="preserve"> </w:t>
      </w:r>
      <w:r>
        <w:rPr>
          <w:rFonts w:hAnsi="Cambria Math"/>
        </w:rPr>
        <w:t>as</w:t>
      </w:r>
      <w:r>
        <w:rPr>
          <w:rFonts w:hint="eastAsia" w:hAnsi="Cambria Math"/>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precision</m:t>
            </m:r>
            <m:ctrlPr>
              <w:rPr>
                <w:rFonts w:ascii="Cambria Math" w:hAnsi="Cambria Math"/>
              </w:rPr>
            </m:ctrlPr>
          </m:sub>
        </m:sSub>
        <m:r>
          <m:rPr>
            <m:sty m:val="p"/>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/2−1</m:t>
            </m:r>
            <m:ctrlPr>
              <w:rPr>
                <w:rFonts w:ascii="Cambria Math" w:hAnsi="Cambria Math"/>
              </w:rPr>
            </m:ctrlPr>
          </m:e>
        </m:d>
      </m:oMath>
      <w:r>
        <w:rPr>
          <w:rFonts w:hint="eastAsia" w:hAnsi="Cambria Math"/>
        </w:rPr>
        <w:t xml:space="preserve">, where </w:t>
      </w:r>
      <m:oMath>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/2−1</m:t>
        </m:r>
      </m:oMath>
      <w:r>
        <w:rPr>
          <w:rFonts w:hint="eastAsia" w:hAnsi="Cambria Math"/>
        </w:rPr>
        <w:t xml:space="preserve"> is the number of bits corresponding to an amplitude and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DM</m:t>
            </m:r>
            <m:ctrlPr>
              <w:rPr>
                <w:rFonts w:ascii="Cambria Math" w:hAnsi="Cambria Math"/>
                <w:i/>
                <w:iCs/>
              </w:rPr>
            </m:ctrlP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w:rPr>
                    <w:rFonts w:ascii="Cambria Math" w:hAnsi="Cambria Math"/>
                  </w:rPr>
                  <m:t>Q</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/2−1</m:t>
            </m:r>
            <m:ctrlPr>
              <w:rPr>
                <w:rFonts w:ascii="Cambria Math" w:hAnsi="Cambria Math"/>
              </w:rPr>
            </m:ctrlPr>
          </m:e>
        </m:d>
      </m:oMath>
      <w:r>
        <w:rPr>
          <w:rFonts w:hint="eastAsia" w:hAnsi="Cambria Math"/>
        </w:rPr>
        <w:t xml:space="preserve"> is the maximum number of data bits input to a DM block.</w:t>
      </w:r>
    </w:p>
    <w:p>
      <w:pPr>
        <w:spacing w:before="120" w:after="120"/>
      </w:pPr>
      <w:r>
        <w:rPr>
          <w:rFonts w:hAnsi="Cambria Math"/>
        </w:rPr>
        <w:t>Assuming</w:t>
      </w:r>
      <w:r>
        <w:rPr>
          <w:rFonts w:hint="eastAsia" w:hAnsi="Cambria Math"/>
        </w:rPr>
        <w:t xml:space="preserve"> </w:t>
      </w:r>
      <w:r>
        <w:rPr>
          <w:rFonts w:hAnsi="Cambria Math"/>
        </w:rPr>
        <w:t>a transport block occupies</w:t>
      </w:r>
      <w:r>
        <w:rPr>
          <w:rFonts w:hint="eastAsia" w:hAnsi="Cambria Math"/>
        </w:rPr>
        <w:t xml:space="preserve"> </w:t>
      </w:r>
      <w:r>
        <w:rPr>
          <w:rFonts w:hAnsi="Cambria Math"/>
        </w:rPr>
        <w:t xml:space="preserve">certain </w:t>
      </w:r>
      <w:r>
        <w:rPr>
          <w:rFonts w:hint="eastAsia" w:hAnsi="Cambria Math"/>
        </w:rPr>
        <w:t>number of OFDM symbols (ranging from 2 to 14) in one slot using</w:t>
      </w:r>
      <w:r>
        <w:rPr>
          <w:rFonts w:hAnsi="Cambria Math"/>
        </w:rPr>
        <w:t xml:space="preserve"> </w:t>
      </w:r>
      <w:r>
        <w:rPr>
          <w:rFonts w:hint="eastAsia" w:hAnsi="Cambria Math"/>
        </w:rPr>
        <w:t>one resource block</w:t>
      </w:r>
      <w:r>
        <w:rPr>
          <w:rFonts w:hAnsi="Cambria Math"/>
        </w:rPr>
        <w:t xml:space="preserve">, </w:t>
      </w:r>
      <w:r>
        <w:rPr>
          <w:rFonts w:hint="eastAsia"/>
        </w:rPr>
        <w:t xml:space="preserve">the memory usage in bits is summed over all possible </w:t>
      </w:r>
      <w:r>
        <w:rPr>
          <w:rFonts w:hint="eastAsia" w:hAnsi="Cambria Math"/>
        </w:rPr>
        <w:t xml:space="preserve">modulation order </w:t>
      </w:r>
      <w:r>
        <w:rPr>
          <w:rFonts w:hAnsi="Cambria Math"/>
          <w:i/>
          <w:iCs/>
        </w:rPr>
        <w:t>Q</w:t>
      </w:r>
      <w:r>
        <w:rPr>
          <w:rFonts w:hAnsi="Cambria Math"/>
          <w:vertAlign w:val="subscript"/>
        </w:rPr>
        <w:t>m</w:t>
      </w:r>
      <w:r>
        <w:rPr>
          <w:rFonts w:hint="eastAsia" w:hAnsi="Cambria Math"/>
        </w:rPr>
        <w:t xml:space="preserve"> under the maximum DM block length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r>
              <m:rPr>
                <m:sty m:val="p"/>
              </m:rPr>
              <w:rPr>
                <w:rFonts w:ascii="Cambria Math" w:hAnsi="Cambria Math"/>
              </w:rPr>
              <m:t>,max</m:t>
            </m:r>
            <m:ctrlPr>
              <w:rPr>
                <w:rFonts w:hint="eastAsia" w:ascii="Cambria Math" w:hAnsi="Cambria Math"/>
              </w:rPr>
            </m:ctrlPr>
          </m:sub>
        </m:sSub>
        <m:r>
          <m:rPr>
            <m:sty m:val="p"/>
          </m:rPr>
          <w:rPr>
            <w:rFonts w:ascii="Cambria Math" w:hAnsi="Cambria Math"/>
          </w:rPr>
          <m:t>=2×12×14=336</m:t>
        </m:r>
      </m:oMath>
      <w:r>
        <w:rPr>
          <w:rFonts w:hint="eastAsia" w:hAnsi="Cambria Math"/>
        </w:rPr>
        <w:t>, where 2 is the number of amplitudes in one QAM symbol and 12 is the number of QAM symbol in one OFDM symbol of a resource block and 14 is the maximum number of OFDM symbols in a slot.</w:t>
      </w:r>
      <w:r>
        <w:rPr>
          <w:rFonts w:hAnsi="Cambria Math"/>
        </w:rPr>
        <w:t xml:space="preserve"> F</w:t>
      </w:r>
      <w:r>
        <w:rPr>
          <w:rFonts w:hint="eastAsia"/>
        </w:rPr>
        <w:t>or (A)ESS</w:t>
      </w:r>
      <w:r>
        <w:t xml:space="preserve">, </w:t>
      </w:r>
      <w:r>
        <w:rPr>
          <w:rFonts w:hint="eastAsia" w:hAnsi="Cambria Math"/>
        </w:rPr>
        <w:t xml:space="preserve">the total </w:t>
      </w:r>
      <w:r>
        <w:rPr>
          <w:rFonts w:hint="eastAsia"/>
        </w:rPr>
        <w:t>memory usage in bits</w:t>
      </w:r>
      <w:r>
        <w:t xml:space="preserve"> </w:t>
      </w:r>
      <w:r>
        <w:rPr>
          <w:rFonts w:hint="eastAsia"/>
        </w:rPr>
        <w:t>summed over modulation orders 4, 6, and 8</w:t>
      </w:r>
      <w:r>
        <w:rPr>
          <w:rFonts w:hint="eastAsia" w:hAnsi="Cambria Math"/>
        </w:rPr>
        <w:t xml:space="preserve"> </w:t>
      </w:r>
      <w:r>
        <w:rPr>
          <w:rFonts w:hint="eastAsia"/>
        </w:rPr>
        <w:t>is</w:t>
      </w:r>
    </w:p>
    <w:p>
      <w:pPr>
        <w:spacing w:before="120" w:after="120"/>
        <w:rPr>
          <w:rFonts w:hAnsi="Cambria Math"/>
        </w:rPr>
      </w:pPr>
      <m:oMathPara>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mem,(A)ESS</m:t>
              </m:r>
              <m:ctrlPr>
                <w:rPr>
                  <w:rFonts w:ascii="Cambria Math" w:hAnsi="Cambria Math"/>
                  <w:i/>
                </w:rPr>
              </m:ctrlPr>
            </m:sub>
            <m:sup>
              <m:r>
                <m:rPr>
                  <m:sty m:val="p"/>
                </m:rPr>
                <w:rPr>
                  <w:rFonts w:ascii="Cambria Math" w:hAnsi="Cambria Math"/>
                </w:rPr>
                <m:t>total</m:t>
              </m:r>
              <m:ctrlPr>
                <w:rPr>
                  <w:rFonts w:ascii="Cambria Math" w:hAnsi="Cambria Math"/>
                  <w:i/>
                </w:rPr>
              </m:ctrlPr>
            </m:sup>
          </m:sSubSup>
          <m:r>
            <m:rPr>
              <m:sty m:val="p"/>
            </m:rPr>
            <w:rPr>
              <w:rFonts w:ascii="Cambria Math" w:hAnsi="Cambria Math"/>
            </w:rPr>
            <m:t>=</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r>
            <m:rPr/>
            <w:rPr>
              <w:rFonts w:ascii="Cambria Math" w:hAnsi="Cambria Math"/>
            </w:rPr>
            <m:t>×</m:t>
          </m:r>
          <m:r>
            <m:rPr>
              <m:sty m:val="p"/>
            </m:rPr>
            <w:rPr>
              <w:rFonts w:ascii="Cambria Math" w:hAnsi="Cambria Math"/>
            </w:rPr>
            <m:t>20+</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r>
            <m:rPr/>
            <w:rPr>
              <w:rFonts w:ascii="Cambria Math" w:hAnsi="Cambria Math"/>
            </w:rPr>
            <m:t>×</m:t>
          </m:r>
          <m:r>
            <m:rPr>
              <m:sty m:val="p"/>
            </m:rPr>
            <w:rPr>
              <w:rFonts w:ascii="Cambria Math" w:hAnsi="Cambria Math"/>
            </w:rPr>
            <m:t>20+</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r>
            <m:rPr/>
            <w:rPr>
              <w:rFonts w:ascii="Cambria Math" w:hAnsi="Cambria Math"/>
            </w:rPr>
            <m:t>×</m:t>
          </m:r>
          <m:r>
            <m:rPr>
              <m:sty m:val="p"/>
            </m:rPr>
            <w:rPr>
              <w:rFonts w:ascii="Cambria Math" w:hAnsi="Cambria Math"/>
            </w:rPr>
            <m:t>20</m:t>
          </m:r>
          <m:r>
            <m:rPr/>
            <w:rPr>
              <w:rFonts w:ascii="Cambria Math" w:hAnsi="Cambria Math"/>
            </w:rPr>
            <m:t>=79,027,200,</m:t>
          </m:r>
        </m:oMath>
      </m:oMathPara>
    </w:p>
    <w:p>
      <w:pPr>
        <w:spacing w:before="120" w:after="120"/>
      </w:pPr>
      <w:r>
        <w:rPr>
          <w:rFonts w:hint="eastAsia"/>
        </w:rPr>
        <w:t xml:space="preserve">Thus, the total memory usage for (A)ESS is more than </w:t>
      </w:r>
      <w:r>
        <w:t>79</w:t>
      </w:r>
      <w:r>
        <w:rPr>
          <w:rFonts w:hint="eastAsia"/>
        </w:rPr>
        <w:t xml:space="preserve"> </w:t>
      </w:r>
      <w:r>
        <w:t>mega</w:t>
      </w:r>
      <w:r>
        <w:rPr>
          <w:rFonts w:hint="eastAsia"/>
        </w:rPr>
        <w:t xml:space="preserve">bits. For shell mapping, </w:t>
      </w:r>
      <w:r>
        <w:rPr>
          <w:rFonts w:hint="eastAsia" w:hAnsi="Cambria Math"/>
        </w:rPr>
        <w:t xml:space="preserve">the total </w:t>
      </w:r>
      <w:r>
        <w:rPr>
          <w:rFonts w:hint="eastAsia"/>
        </w:rPr>
        <w:t>memory usage in bits summed over modulation orders 4, 6, and 8 is</w:t>
      </w:r>
    </w:p>
    <w:p>
      <w:pPr>
        <w:spacing w:before="120" w:after="120"/>
        <w:jc w:val="center"/>
      </w:pP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m:sty m:val="p"/>
              </m:rPr>
              <w:rPr>
                <w:rFonts w:ascii="Cambria Math" w:hAnsi="Cambria Math"/>
              </w:rPr>
              <m:t>mem,SM</m:t>
            </m:r>
            <m:ctrlPr>
              <w:rPr>
                <w:rFonts w:ascii="Cambria Math" w:hAnsi="Cambria Math"/>
                <w:i/>
              </w:rPr>
            </m:ctrlPr>
          </m:sub>
          <m:sup>
            <m:r>
              <m:rPr>
                <m:sty m:val="p"/>
              </m:rPr>
              <w:rPr>
                <w:rFonts w:ascii="Cambria Math" w:hAnsi="Cambria Math"/>
              </w:rPr>
              <m:t>total</m:t>
            </m:r>
            <m:ctrlPr>
              <w:rPr>
                <w:rFonts w:ascii="Cambria Math" w:hAnsi="Cambria Math"/>
                <w:i/>
              </w:rPr>
            </m:ctrlPr>
          </m:sup>
        </m:sSubSup>
        <m:r>
          <m:rPr>
            <m:sty m:val="p"/>
          </m:rPr>
          <w:rPr>
            <w:rFonts w:ascii="Cambria Math" w:hAnsi="Cambria Math"/>
          </w:rPr>
          <m:t>=</m:t>
        </m:r>
        <m:f>
          <m:fPr>
            <m:ctrlPr>
              <w:rPr>
                <w:rFonts w:ascii="Cambria Math" w:hAnsi="Cambria Math"/>
              </w:rPr>
            </m:ctrlPr>
          </m:fPr>
          <m:num>
            <m:r>
              <m:rPr>
                <m:sty m:val="p"/>
              </m:rPr>
              <w:rPr>
                <w:rFonts w:ascii="Cambria Math" w:hAnsi="Cambria Math"/>
              </w:rPr>
              <m:t>336×</m:t>
            </m:r>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4</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4/2−1</m:t>
                </m:r>
                <m:ctrlPr>
                  <w:rPr>
                    <w:rFonts w:ascii="Cambria Math" w:hAnsi="Cambria Math"/>
                  </w:rPr>
                </m:ctrlPr>
              </m:e>
            </m:d>
            <m:ctrlPr>
              <w:rPr>
                <w:rFonts w:ascii="Cambria Math" w:hAnsi="Cambria Math"/>
              </w:rPr>
            </m:ctrlPr>
          </m:e>
        </m:d>
        <m:r>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336×2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6</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6/2−1</m:t>
                </m:r>
                <m:ctrlPr>
                  <w:rPr>
                    <w:rFonts w:ascii="Cambria Math" w:hAnsi="Cambria Math"/>
                  </w:rPr>
                </m:ctrlPr>
              </m:e>
            </m:d>
            <m:ctrlPr>
              <w:rPr>
                <w:rFonts w:ascii="Cambria Math" w:hAnsi="Cambria Math"/>
              </w:rPr>
            </m:ctrlPr>
          </m:e>
        </m:d>
        <m:r>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336×2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8</m:t>
                    </m:r>
                    <m:r>
                      <m:rPr>
                        <m:sty m:val="p"/>
                      </m:rPr>
                      <w:rPr>
                        <w:rFonts w:hint="eastAsia" w:ascii="Cambria Math" w:hAnsi="Cambria Math"/>
                      </w:rPr>
                      <m:t>/</m:t>
                    </m:r>
                    <m:r>
                      <m:rPr>
                        <m:sty m:val="p"/>
                      </m:rPr>
                      <w:rPr>
                        <w:rFonts w:ascii="Cambria Math" w:hAnsi="Cambria Math"/>
                      </w:rPr>
                      <m:t>2</m:t>
                    </m:r>
                    <m:ctrlPr>
                      <w:rPr>
                        <w:rFonts w:ascii="Cambria Math" w:hAnsi="Cambria Math"/>
                      </w:rPr>
                    </m:ctrlPr>
                  </m:sup>
                </m:sSup>
                <m:r>
                  <m:rPr>
                    <m:sty m:val="p"/>
                  </m:rPr>
                  <w:rPr>
                    <w:rFonts w:ascii="Cambria Math" w:hAnsi="Cambria Math"/>
                  </w:rPr>
                  <m:t>−2</m:t>
                </m:r>
                <m:ctrlPr>
                  <w:rPr>
                    <w:rFonts w:ascii="Cambria Math" w:hAnsi="Cambria Math"/>
                  </w:rPr>
                </m:ctrlPr>
              </m:e>
            </m:d>
            <m:ctrlPr>
              <w:rPr>
                <w:rFonts w:ascii="Cambria Math" w:hAnsi="Cambria Math"/>
              </w:rPr>
            </m:ctrlPr>
          </m:num>
          <m:den>
            <m:r>
              <m:rPr>
                <m:sty m:val="p"/>
              </m:rPr>
              <w:rPr>
                <w:rFonts w:ascii="Cambria Math" w:hAnsi="Cambria Math"/>
              </w:rPr>
              <m:t>8</m:t>
            </m:r>
            <m:ctrlPr>
              <w:rPr>
                <w:rFonts w:ascii="Cambria Math" w:hAnsi="Cambria Math"/>
              </w:rPr>
            </m:ctrlPr>
          </m:den>
        </m:f>
        <m:r>
          <m:rPr>
            <m:sty m:val="p"/>
          </m:rPr>
          <w:rPr>
            <w:rFonts w:ascii="Cambria Math" w:hAnsi="Cambria Math"/>
          </w:rPr>
          <m:t>×336×</m:t>
        </m:r>
        <m:d>
          <m:dPr>
            <m:ctrlPr>
              <w:rPr>
                <w:rFonts w:ascii="Cambria Math" w:hAnsi="Cambria Math"/>
              </w:rPr>
            </m:ctrlPr>
          </m:dPr>
          <m:e>
            <m:r>
              <m:rPr>
                <m:sty m:val="p"/>
              </m:rPr>
              <w:rPr>
                <w:rFonts w:ascii="Cambria Math" w:hAnsi="Cambria Math"/>
              </w:rPr>
              <m:t>336×</m:t>
            </m:r>
            <m:d>
              <m:dPr>
                <m:ctrlPr>
                  <w:rPr>
                    <w:rFonts w:ascii="Cambria Math" w:hAnsi="Cambria Math"/>
                  </w:rPr>
                </m:ctrlPr>
              </m:dPr>
              <m:e>
                <m:r>
                  <m:rPr>
                    <m:sty m:val="p"/>
                  </m:rPr>
                  <w:rPr>
                    <w:rFonts w:ascii="Cambria Math" w:hAnsi="Cambria Math"/>
                  </w:rPr>
                  <m:t>8/2−1</m:t>
                </m:r>
                <m:ctrlPr>
                  <w:rPr>
                    <w:rFonts w:ascii="Cambria Math" w:hAnsi="Cambria Math"/>
                  </w:rPr>
                </m:ctrlPr>
              </m:e>
            </m:d>
            <m:ctrlPr>
              <w:rPr>
                <w:rFonts w:ascii="Cambria Math" w:hAnsi="Cambria Math"/>
              </w:rPr>
            </m:ctrlPr>
          </m:e>
        </m:d>
        <m:r>
          <m:rPr/>
          <w:rPr>
            <w:rFonts w:ascii="Cambria Math" w:hAnsi="Cambria Math"/>
          </w:rPr>
          <m:t>=3,679,506,432</m:t>
        </m:r>
      </m:oMath>
      <w:r>
        <w:rPr>
          <w:rFonts w:hint="eastAsia" w:hAnsi="Cambria Math"/>
        </w:rPr>
        <w:t>.</w:t>
      </w:r>
    </w:p>
    <w:p>
      <w:pPr>
        <w:spacing w:before="120" w:after="120"/>
      </w:pPr>
      <w:r>
        <w:rPr>
          <w:rFonts w:hint="eastAsia"/>
        </w:rPr>
        <w:t>Thus, the total memory usage for shell mapping is more than 3.5 gigabits, which is too large for implementation.</w:t>
      </w:r>
    </w:p>
    <w:p>
      <w:pPr>
        <w:pStyle w:val="52"/>
        <w:spacing w:before="120" w:after="120"/>
        <w:jc w:val="both"/>
      </w:pPr>
      <w:bookmarkStart w:id="221" w:name="_Toc19099"/>
      <w:bookmarkStart w:id="222" w:name="_Toc28287"/>
      <w:bookmarkStart w:id="223" w:name="_Toc32567"/>
      <w:bookmarkStart w:id="224" w:name="_Toc14203"/>
      <w:bookmarkStart w:id="225" w:name="_Toc5989"/>
      <w:bookmarkStart w:id="226" w:name="_Toc27460"/>
      <w:bookmarkStart w:id="227" w:name="_Toc8501"/>
      <w:bookmarkStart w:id="228" w:name="_Toc28592"/>
      <w:bookmarkStart w:id="229" w:name="_Toc210086372"/>
      <w:bookmarkStart w:id="230" w:name="_Toc32604"/>
      <w:bookmarkStart w:id="231" w:name="_Toc213435905"/>
      <w:bookmarkStart w:id="232" w:name="_Toc7536"/>
      <w:bookmarkStart w:id="233" w:name="_Toc22408"/>
      <w:r>
        <w:rPr>
          <w:lang w:val="en-US" w:eastAsia="zh-CN"/>
        </w:rPr>
        <w:t>PAS schemes with (A)ESS/shell mapping have an ultra-high memory requirement for encoding/decoding.</w:t>
      </w:r>
      <w:bookmarkEnd w:id="221"/>
      <w:bookmarkEnd w:id="222"/>
      <w:bookmarkEnd w:id="223"/>
      <w:bookmarkEnd w:id="224"/>
      <w:bookmarkEnd w:id="225"/>
      <w:bookmarkEnd w:id="226"/>
      <w:bookmarkEnd w:id="227"/>
      <w:bookmarkEnd w:id="228"/>
      <w:bookmarkEnd w:id="229"/>
      <w:bookmarkEnd w:id="230"/>
      <w:bookmarkEnd w:id="231"/>
      <w:bookmarkEnd w:id="232"/>
      <w:bookmarkEnd w:id="233"/>
    </w:p>
    <w:p>
      <w:pPr>
        <w:spacing w:before="120" w:after="120"/>
        <w:rPr>
          <w:b/>
          <w:i/>
          <w:u w:val="single"/>
        </w:rPr>
      </w:pPr>
      <w:r>
        <w:rPr>
          <w:b/>
          <w:u w:val="single"/>
        </w:rPr>
        <w:t>Receiver complexity</w:t>
      </w:r>
    </w:p>
    <w:p>
      <w:pPr>
        <w:spacing w:before="120" w:after="120"/>
        <w:rPr>
          <w:u w:val="single"/>
        </w:rPr>
      </w:pPr>
      <w:r>
        <w:rPr>
          <w:u w:val="single"/>
        </w:rPr>
        <w:t>Demodulation complexity</w:t>
      </w:r>
    </w:p>
    <w:p>
      <w:pPr>
        <w:spacing w:before="120" w:after="120"/>
      </w:pPr>
      <w:r>
        <w:t xml:space="preserve">For PAS modulation, we think the receiver complexity mainly includes demodulation, </w:t>
      </w:r>
      <w:r>
        <w:rPr>
          <w:rFonts w:hint="eastAsia"/>
        </w:rPr>
        <w:t>de</w:t>
      </w:r>
      <w:r>
        <w:t>coding and distribution de</w:t>
      </w:r>
      <w:r>
        <w:rPr>
          <w:rFonts w:hint="eastAsia"/>
        </w:rPr>
        <w:t>-</w:t>
      </w:r>
      <w:r>
        <w:t>matcher in SISO scenarios, and it includes MIMO detector complexity, demodulation, decoding and distribution de-matcher in MIMO scenarios.</w:t>
      </w:r>
    </w:p>
    <w:p>
      <w:pPr>
        <w:spacing w:before="120" w:after="120"/>
        <w:rPr>
          <w:rFonts w:hAnsi="Cambria Math"/>
          <w:iCs/>
        </w:rPr>
      </w:pPr>
      <w:r>
        <w:rPr>
          <w:rFonts w:hint="eastAsia"/>
        </w:rPr>
        <w:t>For PAS demodulation, according to [</w:t>
      </w:r>
      <w:r>
        <w:t>14</w:t>
      </w:r>
      <w:r>
        <w:rPr>
          <w:rFonts w:hint="eastAsia"/>
        </w:rPr>
        <w:t xml:space="preserve">], with the introduction of a MB distribution with parameter </w:t>
      </w:r>
      <w:r>
        <w:rPr>
          <w:rFonts w:hint="eastAsia"/>
          <w:iCs/>
        </w:rPr>
        <w:t>v</w:t>
      </w:r>
      <w:r>
        <w:rPr>
          <w:rFonts w:hint="eastAsia"/>
        </w:rPr>
        <w:t xml:space="preserve">, LLR value for the </w:t>
      </w:r>
      <w:r>
        <w:rPr>
          <w:rFonts w:hint="eastAsia"/>
          <w:i/>
        </w:rPr>
        <w:t>j</w:t>
      </w:r>
      <w:r>
        <w:rPr>
          <w:rFonts w:hint="eastAsia"/>
        </w:rPr>
        <w:t xml:space="preserve">-th bit </w:t>
      </w:r>
      <w:r>
        <w:rPr>
          <w:rFonts w:hint="eastAsia" w:hAnsi="Cambria Math"/>
          <w:iCs/>
        </w:rPr>
        <w:t xml:space="preserve">in Max-Log MAP </w:t>
      </w:r>
      <w:r>
        <w:rPr>
          <w:rFonts w:hint="eastAsia"/>
        </w:rPr>
        <w:t xml:space="preserve">demodulation </w:t>
      </w:r>
      <w:r>
        <w:rPr>
          <w:rFonts w:hint="eastAsia" w:hAnsi="Cambria Math"/>
          <w:iCs/>
        </w:rPr>
        <w:t>is calculated as</w:t>
      </w:r>
    </w:p>
    <w:p>
      <w:pPr>
        <w:spacing w:before="120" w:after="120"/>
        <w:rPr>
          <w:rFonts w:hAnsi="Cambria Math"/>
          <w:i/>
          <w:iCs/>
        </w:rPr>
      </w:pPr>
      <m:oMathPara>
        <m:oMath>
          <m:sSub>
            <m:sSubPr>
              <m:ctrlPr>
                <w:rPr>
                  <w:rFonts w:ascii="Cambria Math" w:hAnsi="Cambria Math"/>
                  <w:i/>
                  <w:iCs/>
                </w:rPr>
              </m:ctrlPr>
            </m:sSubPr>
            <m:e>
              <m:r>
                <m:rPr/>
                <w:rPr>
                  <w:rFonts w:ascii="Cambria Math" w:hAnsi="Cambria Math"/>
                </w:rPr>
                <m:t>l</m:t>
              </m:r>
              <m:ctrlPr>
                <w:rPr>
                  <w:rFonts w:ascii="Cambria Math" w:hAnsi="Cambria Math"/>
                  <w:i/>
                  <w:iCs/>
                </w:rPr>
              </m:ctrlPr>
            </m:e>
            <m:sub>
              <m:r>
                <m:rPr/>
                <w:rPr>
                  <w:rFonts w:ascii="Cambria Math" w:hAnsi="Cambria Math"/>
                </w:rPr>
                <m:t>j</m:t>
              </m:r>
              <m:ctrlPr>
                <w:rPr>
                  <w:rFonts w:ascii="Cambria Math" w:hAnsi="Cambria Math"/>
                  <w:i/>
                  <w:iCs/>
                </w:rPr>
              </m:ctrlPr>
            </m:sub>
          </m:sSub>
          <m:r>
            <m:rPr>
              <m:sty m:val="p"/>
            </m:rPr>
            <w:rPr>
              <w:rFonts w:ascii="Cambria Math" w:hAnsi="Cambria Math"/>
            </w:rPr>
            <m:t>≈</m:t>
          </m:r>
          <m:func>
            <m:funcPr>
              <m:ctrlPr>
                <w:rPr>
                  <w:rFonts w:ascii="Cambria Math" w:hAnsi="Cambria Math"/>
                  <w:i/>
                  <w:iCs/>
                </w:rPr>
              </m:ctrlPr>
            </m:funcPr>
            <m:fName>
              <m:r>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max</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r>
                        <m:rPr/>
                        <w:rPr>
                          <w:rFonts w:ascii="Cambria Math" w:hAnsi="Cambria Math"/>
                        </w:rPr>
                        <m:t>p</m:t>
                      </m:r>
                      <m:d>
                        <m:dPr>
                          <m:ctrlPr>
                            <w:rPr>
                              <w:rFonts w:ascii="Cambria Math" w:hAnsi="Cambria Math"/>
                              <w:i/>
                              <w:iCs/>
                            </w:rPr>
                          </m:ctrlPr>
                        </m:dPr>
                        <m:e>
                          <m:sSub>
                            <m:sSubPr>
                              <m:ctrlPr>
                                <w:rPr>
                                  <w:rFonts w:ascii="Cambria Math" w:hAnsi="Cambria Math"/>
                                  <w:i/>
                                  <w:iCs/>
                                </w:rPr>
                              </m:ctrlPr>
                            </m:sSubPr>
                            <m:e>
                              <m:r>
                                <m:rPr/>
                                <w:rPr>
                                  <w:rFonts w:ascii="Cambria Math" w:hAnsi="Cambria Math"/>
                                </w:rPr>
                                <m:t>y</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|x</m:t>
                          </m:r>
                          <m:ctrlPr>
                            <w:rPr>
                              <w:rFonts w:ascii="Cambria Math" w:hAnsi="Cambria Math"/>
                              <w:i/>
                              <w:iCs/>
                            </w:rPr>
                          </m:ctrlPr>
                        </m:e>
                      </m:d>
                      <m:ctrlPr>
                        <w:rPr>
                          <w:rFonts w:ascii="Cambria Math" w:hAnsi="Cambria Math"/>
                          <w:i/>
                          <w:iCs/>
                        </w:rPr>
                      </m:ctrlPr>
                    </m:e>
                  </m:func>
                  <m:ctrlPr>
                    <w:rPr>
                      <w:rFonts w:ascii="Cambria Math" w:hAnsi="Cambria Math"/>
                      <w:i/>
                      <w:iCs/>
                    </w:rPr>
                  </m:ctrlPr>
                </m:num>
                <m:den>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max</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r>
                        <m:rPr/>
                        <w:rPr>
                          <w:rFonts w:ascii="Cambria Math" w:hAnsi="Cambria Math"/>
                        </w:rPr>
                        <m:t>p</m:t>
                      </m:r>
                      <m:d>
                        <m:dPr>
                          <m:ctrlPr>
                            <w:rPr>
                              <w:rFonts w:ascii="Cambria Math" w:hAnsi="Cambria Math"/>
                              <w:i/>
                              <w:iCs/>
                            </w:rPr>
                          </m:ctrlPr>
                        </m:dPr>
                        <m:e>
                          <m:sSub>
                            <m:sSubPr>
                              <m:ctrlPr>
                                <w:rPr>
                                  <w:rFonts w:ascii="Cambria Math" w:hAnsi="Cambria Math"/>
                                  <w:i/>
                                  <w:iCs/>
                                </w:rPr>
                              </m:ctrlPr>
                            </m:sSubPr>
                            <m:e>
                              <m:r>
                                <m:rPr/>
                                <w:rPr>
                                  <w:rFonts w:ascii="Cambria Math" w:hAnsi="Cambria Math"/>
                                </w:rPr>
                                <m:t>y</m:t>
                              </m:r>
                              <m:ctrlPr>
                                <w:rPr>
                                  <w:rFonts w:ascii="Cambria Math" w:hAnsi="Cambria Math"/>
                                  <w:i/>
                                  <w:iCs/>
                                </w:rPr>
                              </m:ctrlPr>
                            </m:e>
                            <m:sub>
                              <m:r>
                                <m:rPr/>
                                <w:rPr>
                                  <w:rFonts w:ascii="Cambria Math" w:hAnsi="Cambria Math"/>
                                </w:rPr>
                                <m:t>i</m:t>
                              </m:r>
                              <m:ctrlPr>
                                <w:rPr>
                                  <w:rFonts w:ascii="Cambria Math" w:hAnsi="Cambria Math"/>
                                  <w:i/>
                                  <w:iCs/>
                                </w:rPr>
                              </m:ctrlPr>
                            </m:sub>
                          </m:sSub>
                          <m:r>
                            <m:rPr/>
                            <w:rPr>
                              <w:rFonts w:ascii="Cambria Math" w:hAnsi="Cambria Math"/>
                            </w:rPr>
                            <m:t>|x</m:t>
                          </m:r>
                          <m:ctrlPr>
                            <w:rPr>
                              <w:rFonts w:ascii="Cambria Math" w:hAnsi="Cambria Math"/>
                              <w:i/>
                              <w:iCs/>
                            </w:rPr>
                          </m:ctrlPr>
                        </m:e>
                      </m:d>
                      <m:ctrlPr>
                        <w:rPr>
                          <w:rFonts w:ascii="Cambria Math" w:hAnsi="Cambria Math"/>
                          <w:i/>
                          <w:iCs/>
                        </w:rPr>
                      </m:ctrlPr>
                    </m:e>
                  </m:func>
                  <m:ctrlPr>
                    <w:rPr>
                      <w:rFonts w:ascii="Cambria Math" w:hAnsi="Cambria Math"/>
                      <w:i/>
                      <w:iCs/>
                    </w:rPr>
                  </m:ctrlPr>
                </m:den>
              </m:f>
              <m:ctrlPr>
                <w:rPr>
                  <w:rFonts w:ascii="Cambria Math" w:hAnsi="Cambria Math"/>
                  <w:i/>
                  <w:iCs/>
                </w:rPr>
              </m:ctrlPr>
            </m:e>
          </m:func>
          <m:r>
            <m:rPr/>
            <w:rPr>
              <w:rFonts w:ascii="Cambria Math" w:hAnsi="Cambria Math"/>
            </w:rPr>
            <m:t>=</m:t>
          </m:r>
          <m:f>
            <m:fPr>
              <m:ctrlPr>
                <w:rPr>
                  <w:rFonts w:ascii="Cambria Math" w:hAnsi="Cambria Math"/>
                  <w:i/>
                  <w:iCs/>
                </w:rPr>
              </m:ctrlPr>
            </m:fPr>
            <m:num>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δ∙y'−x</m:t>
                              </m:r>
                              <m:ctrlPr>
                                <w:rPr>
                                  <w:rFonts w:ascii="Cambria Math" w:hAnsi="Cambria Math"/>
                                  <w:i/>
                                  <w:iCs/>
                                </w:rPr>
                              </m:ctrlPr>
                            </m:e>
                          </m:d>
                          <m:ctrlPr>
                            <w:rPr>
                              <w:rFonts w:ascii="Cambria Math" w:hAnsi="Cambria Math"/>
                              <w:i/>
                              <w:iCs/>
                            </w:rPr>
                          </m:ctrlPr>
                        </m:e>
                      </m:func>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r>
                <m:rPr/>
                <w:rPr>
                  <w:rFonts w:ascii="Cambria Math" w:hAnsi="Cambria Math"/>
                </w:rPr>
                <m:t>−</m:t>
              </m:r>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δ∙y'−x</m:t>
                              </m:r>
                              <m:ctrlPr>
                                <w:rPr>
                                  <w:rFonts w:ascii="Cambria Math" w:hAnsi="Cambria Math"/>
                                  <w:i/>
                                  <w:iCs/>
                                </w:rPr>
                              </m:ctrlPr>
                            </m:e>
                          </m:d>
                          <m:ctrlPr>
                            <w:rPr>
                              <w:rFonts w:ascii="Cambria Math" w:hAnsi="Cambria Math"/>
                              <w:i/>
                              <w:iCs/>
                            </w:rPr>
                          </m:ctrlPr>
                        </m:e>
                      </m:func>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num>
            <m:den>
              <m:r>
                <m:rPr/>
                <w:rPr>
                  <w:rFonts w:ascii="Cambria Math" w:hAnsi="Cambria Math"/>
                </w:rPr>
                <m:t>δ∙</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oMath>
      </m:oMathPara>
    </w:p>
    <w:p>
      <w:pPr>
        <w:spacing w:before="120" w:after="120"/>
        <w:rPr>
          <w:rFonts w:hAnsi="Cambria Math"/>
          <w:iCs/>
        </w:rPr>
      </w:pPr>
      <m:oMathPara>
        <m:oMath>
          <m:r>
            <m:rPr/>
            <w:rPr>
              <w:rFonts w:hint="eastAsia" w:ascii="Cambria Math" w:hAnsi="Cambria Math"/>
            </w:rPr>
            <m:t>=</m:t>
          </m:r>
          <m:f>
            <m:fPr>
              <m:ctrlPr>
                <w:rPr>
                  <w:rFonts w:ascii="Cambria Math" w:hAnsi="Cambria Math"/>
                  <w:i/>
                  <w:iCs/>
                </w:rPr>
              </m:ctrlPr>
            </m:fPr>
            <m:num>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δ∙y'−x</m:t>
                          </m:r>
                          <m:ctrlPr>
                            <w:rPr>
                              <w:rFonts w:ascii="Cambria Math" w:hAnsi="Cambria Math"/>
                              <w:i/>
                              <w:iCs/>
                            </w:rPr>
                          </m:ctrlPr>
                        </m:e>
                      </m:d>
                      <m:ctrlPr>
                        <w:rPr>
                          <w:rFonts w:ascii="Cambria Math" w:hAnsi="Cambria Math"/>
                          <w:i/>
                          <w:iCs/>
                        </w:rPr>
                      </m:ctrlPr>
                    </m:e>
                  </m:func>
                  <m:r>
                    <m:rPr/>
                    <w:rPr>
                      <w:rFonts w:hint="eastAsia"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δ∙y'−x</m:t>
                          </m:r>
                          <m:ctrlPr>
                            <w:rPr>
                              <w:rFonts w:ascii="Cambria Math" w:hAnsi="Cambria Math"/>
                              <w:i/>
                              <w:iCs/>
                            </w:rPr>
                          </m:ctrlPr>
                        </m:e>
                      </m:d>
                      <m:ctrlPr>
                        <w:rPr>
                          <w:rFonts w:ascii="Cambria Math" w:hAnsi="Cambria Math"/>
                          <w:i/>
                          <w:iCs/>
                        </w:rPr>
                      </m:ctrlPr>
                    </m:e>
                  </m:func>
                  <m:ctrlPr>
                    <w:rPr>
                      <w:rFonts w:ascii="Cambria Math" w:hAnsi="Cambria Math"/>
                      <w:i/>
                      <w:iCs/>
                    </w:rPr>
                  </m:ctrlPr>
                </m:e>
              </m:d>
              <m:r>
                <m:rP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0</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δ∙y'−x</m:t>
                          </m:r>
                          <m:ctrlPr>
                            <w:rPr>
                              <w:rFonts w:ascii="Cambria Math" w:hAnsi="Cambria Math"/>
                              <w:i/>
                              <w:iCs/>
                            </w:rPr>
                          </m:ctrlPr>
                        </m:e>
                      </m:d>
                      <m:ctrlPr>
                        <w:rPr>
                          <w:rFonts w:ascii="Cambria Math" w:hAnsi="Cambria Math"/>
                          <w:i/>
                          <w:iCs/>
                        </w:rPr>
                      </m:ctrlPr>
                    </m:e>
                  </m:func>
                  <m:r>
                    <m:rP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m:rPr/>
                            <w:rPr>
                              <w:rFonts w:ascii="Cambria Math" w:hAnsi="Cambria Math"/>
                            </w:rPr>
                            <m:t>min</m:t>
                          </m:r>
                          <m:ctrlPr>
                            <w:rPr>
                              <w:rFonts w:ascii="Cambria Math" w:hAnsi="Cambria Math"/>
                              <w:i/>
                              <w:iCs/>
                            </w:rPr>
                          </m:ctrlPr>
                        </m:e>
                        <m:lim>
                          <m:r>
                            <m:rPr/>
                            <w:rPr>
                              <w:rFonts w:ascii="Cambria Math" w:hAnsi="Cambria Math"/>
                            </w:rPr>
                            <m:t>x∈</m:t>
                          </m:r>
                          <m:sSubSup>
                            <m:sSubSupPr>
                              <m:ctrlPr>
                                <w:rPr>
                                  <w:rFonts w:ascii="Cambria Math" w:hAnsi="Cambria Math"/>
                                  <w:i/>
                                  <w:iCs/>
                                </w:rPr>
                              </m:ctrlPr>
                            </m:sSubSupPr>
                            <m:e>
                              <m:r>
                                <m:rPr/>
                                <w:rPr>
                                  <w:rFonts w:ascii="Cambria Math" w:hAnsi="Cambria Math"/>
                                </w:rPr>
                                <m:t>χ</m:t>
                              </m:r>
                              <m:ctrlPr>
                                <w:rPr>
                                  <w:rFonts w:ascii="Cambria Math" w:hAnsi="Cambria Math"/>
                                  <w:i/>
                                  <w:iCs/>
                                </w:rPr>
                              </m:ctrlPr>
                            </m:e>
                            <m:sub>
                              <m:r>
                                <m:rPr/>
                                <w:rPr>
                                  <w:rFonts w:ascii="Cambria Math" w:hAnsi="Cambria Math"/>
                                </w:rPr>
                                <m:t>1</m:t>
                              </m:r>
                              <m:ctrlPr>
                                <w:rPr>
                                  <w:rFonts w:ascii="Cambria Math" w:hAnsi="Cambria Math"/>
                                  <w:i/>
                                  <w:iCs/>
                                </w:rPr>
                              </m:ctrlPr>
                            </m:sub>
                            <m:sup>
                              <m:r>
                                <m:rPr/>
                                <w:rPr>
                                  <w:rFonts w:ascii="Cambria Math" w:hAnsi="Cambria Math"/>
                                </w:rPr>
                                <m:t>j</m:t>
                              </m:r>
                              <m:ctrlPr>
                                <w:rPr>
                                  <w:rFonts w:ascii="Cambria Math" w:hAnsi="Cambria Math"/>
                                  <w:i/>
                                  <w:iCs/>
                                </w:rPr>
                              </m:ctrlPr>
                            </m:sup>
                          </m:sSubSup>
                          <m:ctrlPr>
                            <w:rPr>
                              <w:rFonts w:ascii="Cambria Math" w:hAnsi="Cambria Math"/>
                              <w:i/>
                              <w:iCs/>
                            </w:rPr>
                          </m:ctrlPr>
                        </m:lim>
                      </m:limLow>
                      <m:ctrlPr>
                        <w:rPr>
                          <w:rFonts w:ascii="Cambria Math" w:hAnsi="Cambria Math"/>
                          <w:i/>
                          <w:iCs/>
                        </w:rPr>
                      </m:ctrlPr>
                    </m:fName>
                    <m:e>
                      <m:d>
                        <m:dPr>
                          <m:begChr m:val="|"/>
                          <m:endChr m:val="|"/>
                          <m:ctrlPr>
                            <w:rPr>
                              <w:rFonts w:ascii="Cambria Math" w:hAnsi="Cambria Math"/>
                              <w:i/>
                              <w:iCs/>
                            </w:rPr>
                          </m:ctrlPr>
                        </m:dPr>
                        <m:e>
                          <m:r>
                            <m:rPr/>
                            <w:rPr>
                              <w:rFonts w:ascii="Cambria Math" w:hAnsi="Cambria Math"/>
                            </w:rPr>
                            <m:t>δ∙y'−x</m:t>
                          </m:r>
                          <m:ctrlPr>
                            <w:rPr>
                              <w:rFonts w:ascii="Cambria Math" w:hAnsi="Cambria Math"/>
                              <w:i/>
                              <w:iCs/>
                            </w:rPr>
                          </m:ctrlPr>
                        </m:e>
                      </m:d>
                      <m:ctrlPr>
                        <w:rPr>
                          <w:rFonts w:ascii="Cambria Math" w:hAnsi="Cambria Math"/>
                          <w:i/>
                          <w:iCs/>
                        </w:rPr>
                      </m:ctrlPr>
                    </m:e>
                  </m:func>
                  <m:ctrlPr>
                    <w:rPr>
                      <w:rFonts w:ascii="Cambria Math" w:hAnsi="Cambria Math"/>
                      <w:i/>
                      <w:iCs/>
                    </w:rPr>
                  </m:ctrlPr>
                </m:e>
              </m:d>
              <m:ctrlPr>
                <w:rPr>
                  <w:rFonts w:ascii="Cambria Math" w:hAnsi="Cambria Math"/>
                  <w:i/>
                  <w:iCs/>
                </w:rPr>
              </m:ctrlPr>
            </m:num>
            <m:den>
              <m:r>
                <m:rPr/>
                <w:rPr>
                  <w:rFonts w:ascii="Cambria Math" w:hAnsi="Cambria Math"/>
                </w:rPr>
                <m:t>δ∙</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0</m:t>
                  </m:r>
                  <m:ctrlPr>
                    <w:rPr>
                      <w:rFonts w:ascii="Cambria Math" w:hAnsi="Cambria Math"/>
                      <w:i/>
                      <w:iCs/>
                    </w:rPr>
                  </m:ctrlPr>
                </m:sub>
              </m:sSub>
              <m:ctrlPr>
                <w:rPr>
                  <w:rFonts w:ascii="Cambria Math" w:hAnsi="Cambria Math"/>
                  <w:i/>
                  <w:iCs/>
                </w:rPr>
              </m:ctrlPr>
            </m:den>
          </m:f>
          <m:r>
            <m:rPr>
              <m:sty m:val="p"/>
            </m:rPr>
            <w:rPr>
              <w:rFonts w:ascii="Cambria Math" w:hAnsi="Cambria Math"/>
            </w:rPr>
            <m:t>,</m:t>
          </m:r>
        </m:oMath>
      </m:oMathPara>
    </w:p>
    <w:p>
      <w:pPr>
        <w:spacing w:before="120" w:after="120"/>
        <w:rPr>
          <w:rFonts w:hAnsi="Cambria Math"/>
          <w:bCs/>
          <w:szCs w:val="21"/>
        </w:rPr>
      </w:pPr>
      <w:r>
        <w:rPr>
          <w:rFonts w:hint="eastAsia" w:hAnsi="Cambria Math"/>
          <w:bCs/>
          <w:szCs w:val="21"/>
        </w:rPr>
        <w:t xml:space="preserve">where </w:t>
      </w:r>
      <m:oMath>
        <m:sSubSup>
          <m:sSubSupPr>
            <m:ctrlPr>
              <w:rPr>
                <w:rFonts w:ascii="Cambria Math" w:hAnsi="Cambria Math"/>
                <w:bCs/>
                <w:i/>
                <w:szCs w:val="21"/>
              </w:rPr>
            </m:ctrlPr>
          </m:sSubSupPr>
          <m:e>
            <m:r>
              <m:rPr/>
              <w:rPr>
                <w:rFonts w:ascii="Cambria Math" w:hAnsi="Cambria Math"/>
                <w:szCs w:val="21"/>
              </w:rPr>
              <m:t>χ</m:t>
            </m:r>
            <m:ctrlPr>
              <w:rPr>
                <w:rFonts w:ascii="Cambria Math" w:hAnsi="Cambria Math"/>
                <w:bCs/>
                <w:i/>
                <w:szCs w:val="21"/>
              </w:rPr>
            </m:ctrlPr>
          </m:e>
          <m:sub>
            <m:r>
              <m:rPr/>
              <w:rPr>
                <w:rFonts w:ascii="Cambria Math" w:hAnsi="Cambria Math"/>
                <w:szCs w:val="21"/>
              </w:rPr>
              <m:t>b</m:t>
            </m:r>
            <m:ctrlPr>
              <w:rPr>
                <w:rFonts w:ascii="Cambria Math" w:hAnsi="Cambria Math"/>
                <w:bCs/>
                <w:i/>
                <w:szCs w:val="21"/>
              </w:rPr>
            </m:ctrlPr>
          </m:sub>
          <m:sup>
            <m:r>
              <m:rPr/>
              <w:rPr>
                <w:rFonts w:ascii="Cambria Math" w:hAnsi="Cambria Math"/>
                <w:szCs w:val="21"/>
              </w:rPr>
              <m:t>j</m:t>
            </m:r>
            <m:ctrlPr>
              <w:rPr>
                <w:rFonts w:ascii="Cambria Math" w:hAnsi="Cambria Math"/>
                <w:bCs/>
                <w:i/>
                <w:szCs w:val="21"/>
              </w:rPr>
            </m:ctrlPr>
          </m:sup>
        </m:sSubSup>
        <m:d>
          <m:dPr>
            <m:ctrlPr>
              <w:rPr>
                <w:rFonts w:ascii="Cambria Math" w:hAnsi="Cambria Math"/>
                <w:bCs/>
                <w:i/>
                <w:szCs w:val="21"/>
              </w:rPr>
            </m:ctrlPr>
          </m:dPr>
          <m:e>
            <m:r>
              <m:rPr/>
              <w:rPr>
                <w:rFonts w:ascii="Cambria Math" w:hAnsi="Cambria Math"/>
                <w:szCs w:val="21"/>
              </w:rPr>
              <m:t>b∈</m:t>
            </m:r>
            <m:d>
              <m:dPr>
                <m:begChr m:val="{"/>
                <m:endChr m:val="}"/>
                <m:ctrlPr>
                  <w:rPr>
                    <w:rFonts w:ascii="Cambria Math" w:hAnsi="Cambria Math"/>
                    <w:bCs/>
                    <w:i/>
                    <w:szCs w:val="21"/>
                  </w:rPr>
                </m:ctrlPr>
              </m:dPr>
              <m:e>
                <m:r>
                  <m:rPr/>
                  <w:rPr>
                    <w:rFonts w:ascii="Cambria Math" w:hAnsi="Cambria Math"/>
                    <w:szCs w:val="21"/>
                  </w:rPr>
                  <m:t>0,1</m:t>
                </m:r>
                <m:ctrlPr>
                  <w:rPr>
                    <w:rFonts w:ascii="Cambria Math" w:hAnsi="Cambria Math"/>
                    <w:bCs/>
                    <w:i/>
                    <w:szCs w:val="21"/>
                  </w:rPr>
                </m:ctrlPr>
              </m:e>
            </m:d>
            <m:ctrlPr>
              <w:rPr>
                <w:rFonts w:ascii="Cambria Math" w:hAnsi="Cambria Math"/>
                <w:bCs/>
                <w:i/>
                <w:szCs w:val="21"/>
              </w:rPr>
            </m:ctrlPr>
          </m:e>
        </m:d>
      </m:oMath>
      <w:r>
        <w:rPr>
          <w:rFonts w:hint="eastAsia" w:hAnsi="Cambria Math"/>
          <w:bCs/>
          <w:szCs w:val="21"/>
        </w:rPr>
        <w:t xml:space="preserve"> denotes the constellation subset with </w:t>
      </w:r>
      <w:r>
        <w:rPr>
          <w:rFonts w:hint="eastAsia" w:hAnsi="Cambria Math"/>
          <w:bCs/>
          <w:i/>
          <w:iCs/>
          <w:szCs w:val="21"/>
        </w:rPr>
        <w:t>j</w:t>
      </w:r>
      <w:r>
        <w:rPr>
          <w:rFonts w:hint="eastAsia" w:hAnsi="Cambria Math"/>
          <w:bCs/>
          <w:szCs w:val="21"/>
        </w:rPr>
        <w:t xml:space="preserve">-th bit being </w:t>
      </w:r>
      <w:r>
        <w:rPr>
          <w:rFonts w:hint="eastAsia" w:hAnsi="Cambria Math"/>
          <w:bCs/>
          <w:iCs/>
          <w:szCs w:val="21"/>
        </w:rPr>
        <w:t xml:space="preserve">b </w:t>
      </w:r>
      <w:r>
        <w:rPr>
          <w:rFonts w:hint="eastAsia" w:hAnsi="Cambria Math"/>
          <w:bCs/>
          <w:szCs w:val="21"/>
        </w:rPr>
        <w:t>in the constellation label</w:t>
      </w:r>
      <w:r>
        <w:rPr>
          <w:rFonts w:hint="eastAsia"/>
          <w:bCs/>
          <w:iCs/>
          <w:szCs w:val="21"/>
        </w:rPr>
        <w:t xml:space="preserve"> </w:t>
      </w:r>
      <w:r>
        <w:rPr>
          <w:rFonts w:hint="eastAsia" w:hAnsi="Cambria Math"/>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m:rPr/>
          <w:rPr>
            <w:rFonts w:hint="eastAsia" w:ascii="Cambria Math" w:hAnsi="Cambria Math"/>
            <w:szCs w:val="21"/>
          </w:rPr>
          <m:t>y</m:t>
        </m:r>
        <m:r>
          <m:rPr>
            <m:sty m:val="p"/>
          </m:rPr>
          <w:rPr>
            <w:rFonts w:ascii="Cambria Math" w:hAnsi="Cambria Math"/>
          </w:rPr>
          <m:t>'</m:t>
        </m:r>
      </m:oMath>
      <w:r>
        <w:rPr>
          <w:rFonts w:hAnsi="Cambria Math"/>
          <w:bCs/>
          <w:szCs w:val="21"/>
        </w:rPr>
        <w:t xml:space="preserve"> </w:t>
      </w:r>
      <w:r>
        <w:rPr>
          <w:rFonts w:hint="eastAsia" w:hAnsi="Cambria Math"/>
          <w:bCs/>
          <w:szCs w:val="21"/>
        </w:rPr>
        <w:t>is the real or imaginary part of</w:t>
      </w:r>
      <w:r>
        <w:rPr>
          <w:rFonts w:hAnsi="Cambria Math"/>
          <w:bCs/>
          <w:szCs w:val="21"/>
        </w:rPr>
        <w:t xml:space="preserve"> </w:t>
      </w:r>
      <m:oMath>
        <m:sSub>
          <m:sSubPr>
            <m:ctrlPr>
              <w:rPr>
                <w:rFonts w:ascii="Cambria Math" w:hAnsi="Cambria Math"/>
                <w:bCs/>
                <w:i/>
                <w:szCs w:val="21"/>
              </w:rPr>
            </m:ctrlPr>
          </m:sSubPr>
          <m:e>
            <m:r>
              <m:rPr/>
              <w:rPr>
                <w:rFonts w:ascii="Cambria Math" w:hAnsi="Cambria Math"/>
                <w:szCs w:val="21"/>
              </w:rPr>
              <m:t>y</m:t>
            </m:r>
            <m:ctrlPr>
              <w:rPr>
                <w:rFonts w:ascii="Cambria Math" w:hAnsi="Cambria Math"/>
                <w:bCs/>
                <w:i/>
                <w:szCs w:val="21"/>
              </w:rPr>
            </m:ctrlPr>
          </m:e>
          <m:sub>
            <m:r>
              <m:rPr/>
              <w:rPr>
                <w:rFonts w:ascii="Cambria Math" w:hAnsi="Cambria Math"/>
                <w:szCs w:val="21"/>
              </w:rPr>
              <m:t>i</m:t>
            </m:r>
            <m:ctrlPr>
              <w:rPr>
                <w:rFonts w:ascii="Cambria Math" w:hAnsi="Cambria Math"/>
                <w:bCs/>
                <w:i/>
                <w:szCs w:val="21"/>
              </w:rPr>
            </m:ctrlPr>
          </m:sub>
        </m:sSub>
      </m:oMath>
      <w:r>
        <w:rPr>
          <w:rFonts w:hint="eastAsia" w:hAnsi="Cambria Math"/>
          <w:bCs/>
          <w:szCs w:val="21"/>
        </w:rPr>
        <w:t>,</w:t>
      </w:r>
      <w:r>
        <w:rPr>
          <w:rFonts w:hint="eastAsia"/>
          <w:bCs/>
          <w:iCs/>
          <w:szCs w:val="21"/>
        </w:rPr>
        <w:t xml:space="preserve"> </w:t>
      </w:r>
      <m:oMath>
        <m:d>
          <m:dPr>
            <m:begChr m:val="|"/>
            <m:endChr m:val="|"/>
            <m:ctrlPr>
              <w:rPr>
                <w:rFonts w:hint="eastAsia" w:ascii="Cambria Math" w:hAnsi="Cambria Math"/>
                <w:bCs/>
                <w:iCs/>
                <w:szCs w:val="21"/>
              </w:rPr>
            </m:ctrlPr>
          </m:dPr>
          <m:e>
            <m:r>
              <m:rPr/>
              <w:rPr>
                <w:rFonts w:hint="eastAsia" w:ascii="Cambria Math" w:hAnsi="Cambria Math"/>
                <w:szCs w:val="21"/>
              </w:rPr>
              <m:t>y</m:t>
            </m:r>
            <m:r>
              <m:rPr>
                <m:sty m:val="p"/>
              </m:rPr>
              <w:rPr>
                <w:rFonts w:ascii="Cambria Math" w:hAnsi="Cambria Math"/>
              </w:rPr>
              <m:t>'</m:t>
            </m:r>
            <m:r>
              <m:rPr>
                <m:sty m:val="p"/>
              </m:rPr>
              <w:rPr>
                <w:rFonts w:ascii="Cambria Math" w:hAnsi="Cambria Math"/>
                <w:szCs w:val="21"/>
              </w:rPr>
              <m:t>−</m:t>
            </m:r>
            <m:r>
              <m:rPr/>
              <w:rPr>
                <w:rFonts w:ascii="Cambria Math" w:hAnsi="Cambria Math"/>
                <w:szCs w:val="21"/>
              </w:rPr>
              <m:t>x</m:t>
            </m:r>
            <m:ctrlPr>
              <w:rPr>
                <w:rFonts w:hint="eastAsia" w:ascii="Cambria Math" w:hAnsi="Cambria Math"/>
                <w:bCs/>
                <w:iCs/>
                <w:szCs w:val="21"/>
              </w:rPr>
            </m:ctrlPr>
          </m:e>
        </m:d>
      </m:oMath>
      <w:r>
        <w:rPr>
          <w:rFonts w:hint="eastAsia" w:hAnsi="Cambria Math"/>
          <w:bCs/>
          <w:szCs w:val="21"/>
        </w:rPr>
        <w:t xml:space="preserve"> is the absolute value of </w:t>
      </w:r>
      <m:oMath>
        <m:r>
          <m:rPr/>
          <w:rPr>
            <w:rFonts w:hint="eastAsia" w:ascii="Cambria Math" w:hAnsi="Cambria Math"/>
            <w:szCs w:val="21"/>
          </w:rPr>
          <m:t>y</m:t>
        </m:r>
        <m:r>
          <m:rPr>
            <m:sty m:val="p"/>
          </m:rPr>
          <w:rPr>
            <w:rFonts w:ascii="Cambria Math" w:hAnsi="Cambria Math"/>
          </w:rPr>
          <m:t>'</m:t>
        </m:r>
        <m:r>
          <m:rPr>
            <m:sty m:val="p"/>
          </m:rPr>
          <w:rPr>
            <w:rFonts w:ascii="Cambria Math" w:hAnsi="Cambria Math"/>
            <w:szCs w:val="21"/>
          </w:rPr>
          <m:t>−</m:t>
        </m:r>
        <m:r>
          <m:rPr/>
          <w:rPr>
            <w:rFonts w:ascii="Cambria Math" w:hAnsi="Cambria Math"/>
            <w:szCs w:val="21"/>
          </w:rPr>
          <m:t>x</m:t>
        </m:r>
      </m:oMath>
      <w:r>
        <w:rPr>
          <w:rFonts w:hint="eastAsia" w:hAnsi="Cambria Math"/>
          <w:bCs/>
          <w:szCs w:val="21"/>
        </w:rPr>
        <w:t xml:space="preserve">, </w:t>
      </w:r>
      <m:oMath>
        <m:r>
          <m:rPr/>
          <w:rPr>
            <w:rFonts w:ascii="Cambria Math" w:hAnsi="Cambria Math"/>
          </w:rPr>
          <m:t>δ=</m:t>
        </m:r>
        <m:f>
          <m:fPr>
            <m:ctrlPr>
              <w:rPr>
                <w:rFonts w:ascii="Cambria Math" w:hAnsi="Cambria Math"/>
                <w:bCs/>
                <w:i/>
              </w:rPr>
            </m:ctrlPr>
          </m:fPr>
          <m:num>
            <m:r>
              <m:rPr/>
              <w:rPr>
                <w:rFonts w:ascii="Cambria Math" w:hAnsi="Cambria Math"/>
              </w:rPr>
              <m:t>1</m:t>
            </m:r>
            <m:ctrlPr>
              <w:rPr>
                <w:rFonts w:ascii="Cambria Math" w:hAnsi="Cambria Math"/>
                <w:bCs/>
                <w:i/>
              </w:rPr>
            </m:ctrlPr>
          </m:num>
          <m:den>
            <m:r>
              <m:rPr>
                <m:sty m:val="bi"/>
              </m:rPr>
              <w:rPr>
                <w:rFonts w:ascii="Cambria Math" w:hAnsi="Cambria Math"/>
              </w:rPr>
              <m:t>v</m:t>
            </m:r>
            <m:r>
              <m:rPr/>
              <w:rPr>
                <w:rFonts w:ascii="Cambria Math" w:hAnsi="Cambria Math"/>
              </w:rPr>
              <m:t>∙</m:t>
            </m:r>
            <m:sSub>
              <m:sSubPr>
                <m:ctrlPr>
                  <w:rPr>
                    <w:rFonts w:ascii="Cambria Math" w:hAnsi="Cambria Math"/>
                    <w:bCs/>
                    <w:i/>
                  </w:rPr>
                </m:ctrlPr>
              </m:sSubPr>
              <m:e>
                <m:r>
                  <m:rPr>
                    <m:sty m:val="bi"/>
                  </m:rPr>
                  <w:rPr>
                    <w:rFonts w:ascii="Cambria Math" w:hAnsi="Cambria Math"/>
                  </w:rPr>
                  <m:t>N</m:t>
                </m:r>
                <m:ctrlPr>
                  <w:rPr>
                    <w:rFonts w:ascii="Cambria Math" w:hAnsi="Cambria Math"/>
                    <w:bCs/>
                    <w:i/>
                  </w:rPr>
                </m:ctrlPr>
              </m:e>
              <m:sub>
                <m:r>
                  <m:rPr/>
                  <w:rPr>
                    <w:rFonts w:ascii="Cambria Math" w:hAnsi="Cambria Math"/>
                  </w:rPr>
                  <m:t>0</m:t>
                </m:r>
                <m:ctrlPr>
                  <w:rPr>
                    <w:rFonts w:ascii="Cambria Math" w:hAnsi="Cambria Math"/>
                    <w:bCs/>
                    <w:i/>
                  </w:rPr>
                </m:ctrlPr>
              </m:sub>
            </m:sSub>
            <m:r>
              <m:rPr/>
              <w:rPr>
                <w:rFonts w:ascii="Cambria Math" w:hAnsi="Cambria Math"/>
              </w:rPr>
              <m:t>+1</m:t>
            </m:r>
            <m:ctrlPr>
              <w:rPr>
                <w:rFonts w:ascii="Cambria Math" w:hAnsi="Cambria Math"/>
                <w:bCs/>
                <w:i/>
              </w:rPr>
            </m:ctrlPr>
          </m:den>
        </m:f>
      </m:oMath>
      <w:r>
        <w:rPr>
          <w:rFonts w:hint="eastAsia" w:hAnsi="Cambria Math"/>
          <w:bCs/>
          <w:szCs w:val="21"/>
        </w:rPr>
        <w:t xml:space="preserve">, the simplification is due to </w:t>
      </w:r>
      <m:oMath>
        <m:sSubSup>
          <m:sSubSupPr>
            <m:ctrlPr>
              <w:rPr>
                <w:rFonts w:ascii="Cambria Math" w:hAnsi="Cambria Math"/>
                <w:bCs/>
                <w:i/>
                <w:szCs w:val="21"/>
              </w:rPr>
            </m:ctrlPr>
          </m:sSubSupPr>
          <m:e>
            <m:r>
              <m:rPr/>
              <w:rPr>
                <w:rFonts w:ascii="Cambria Math" w:hAnsi="Cambria Math"/>
                <w:szCs w:val="21"/>
              </w:rPr>
              <m:t>χ</m:t>
            </m:r>
            <m:ctrlPr>
              <w:rPr>
                <w:rFonts w:ascii="Cambria Math" w:hAnsi="Cambria Math"/>
                <w:bCs/>
                <w:i/>
                <w:szCs w:val="21"/>
              </w:rPr>
            </m:ctrlPr>
          </m:e>
          <m:sub>
            <m:r>
              <m:rPr/>
              <w:rPr>
                <w:rFonts w:ascii="Cambria Math" w:hAnsi="Cambria Math"/>
                <w:szCs w:val="21"/>
              </w:rPr>
              <m:t>0</m:t>
            </m:r>
            <m:ctrlPr>
              <w:rPr>
                <w:rFonts w:ascii="Cambria Math" w:hAnsi="Cambria Math"/>
                <w:bCs/>
                <w:i/>
                <w:szCs w:val="21"/>
              </w:rPr>
            </m:ctrlPr>
          </m:sub>
          <m:sup>
            <m:r>
              <m:rPr/>
              <w:rPr>
                <w:rFonts w:ascii="Cambria Math" w:hAnsi="Cambria Math"/>
                <w:szCs w:val="21"/>
              </w:rPr>
              <m:t>j</m:t>
            </m:r>
            <m:ctrlPr>
              <w:rPr>
                <w:rFonts w:ascii="Cambria Math" w:hAnsi="Cambria Math"/>
                <w:bCs/>
                <w:i/>
                <w:szCs w:val="21"/>
              </w:rPr>
            </m:ctrlPr>
          </m:sup>
        </m:sSubSup>
        <m:r>
          <m:rPr/>
          <w:rPr>
            <w:rFonts w:ascii="Cambria Math" w:hAnsi="Cambria Math"/>
            <w:szCs w:val="21"/>
          </w:rPr>
          <m:t>∪</m:t>
        </m:r>
        <m:sSubSup>
          <m:sSubSupPr>
            <m:ctrlPr>
              <w:rPr>
                <w:rFonts w:ascii="Cambria Math" w:hAnsi="Cambria Math"/>
                <w:bCs/>
                <w:i/>
                <w:szCs w:val="21"/>
              </w:rPr>
            </m:ctrlPr>
          </m:sSubSupPr>
          <m:e>
            <m:r>
              <m:rPr/>
              <w:rPr>
                <w:rFonts w:ascii="Cambria Math" w:hAnsi="Cambria Math"/>
                <w:szCs w:val="21"/>
              </w:rPr>
              <m:t>χ</m:t>
            </m:r>
            <m:ctrlPr>
              <w:rPr>
                <w:rFonts w:ascii="Cambria Math" w:hAnsi="Cambria Math"/>
                <w:bCs/>
                <w:i/>
                <w:szCs w:val="21"/>
              </w:rPr>
            </m:ctrlPr>
          </m:e>
          <m:sub>
            <m:r>
              <m:rPr/>
              <w:rPr>
                <w:rFonts w:ascii="Cambria Math" w:hAnsi="Cambria Math"/>
                <w:szCs w:val="21"/>
              </w:rPr>
              <m:t>1</m:t>
            </m:r>
            <m:ctrlPr>
              <w:rPr>
                <w:rFonts w:ascii="Cambria Math" w:hAnsi="Cambria Math"/>
                <w:bCs/>
                <w:i/>
                <w:szCs w:val="21"/>
              </w:rPr>
            </m:ctrlPr>
          </m:sub>
          <m:sup>
            <m:r>
              <m:rPr/>
              <w:rPr>
                <w:rFonts w:ascii="Cambria Math" w:hAnsi="Cambria Math"/>
                <w:szCs w:val="21"/>
              </w:rPr>
              <m:t>j</m:t>
            </m:r>
            <m:ctrlPr>
              <w:rPr>
                <w:rFonts w:ascii="Cambria Math" w:hAnsi="Cambria Math"/>
                <w:bCs/>
                <w:i/>
                <w:szCs w:val="21"/>
              </w:rPr>
            </m:ctrlPr>
          </m:sup>
        </m:sSubSup>
        <m:r>
          <m:rPr>
            <m:sty m:val="p"/>
          </m:rPr>
          <w:rPr>
            <w:rFonts w:ascii="Cambria Math" w:hAnsi="Cambria Math"/>
            <w:szCs w:val="21"/>
          </w:rPr>
          <m:t>=</m:t>
        </m:r>
        <m:d>
          <m:dPr>
            <m:begChr m:val="{"/>
            <m:endChr m:val="}"/>
            <m:ctrlPr>
              <w:rPr>
                <w:rFonts w:ascii="Cambria Math" w:hAnsi="Cambria Math"/>
                <w:bCs/>
                <w:szCs w:val="21"/>
              </w:rPr>
            </m:ctrlPr>
          </m:dPr>
          <m:e>
            <m:r>
              <m:rPr>
                <m:sty m:val="p"/>
              </m:rPr>
              <w:rPr>
                <w:rFonts w:ascii="Cambria Math" w:hAnsi="Cambria Math"/>
                <w:szCs w:val="21"/>
              </w:rPr>
              <m:t>±1,±3,⋯,±</m:t>
            </m:r>
            <m:d>
              <m:dPr>
                <m:ctrlPr>
                  <w:rPr>
                    <w:rFonts w:ascii="Cambria Math" w:hAnsi="Cambria Math"/>
                    <w:bCs/>
                    <w:szCs w:val="21"/>
                  </w:rPr>
                </m:ctrlPr>
              </m:dPr>
              <m:e>
                <m:sSup>
                  <m:sSupPr>
                    <m:ctrlPr>
                      <w:rPr>
                        <w:rFonts w:ascii="Cambria Math" w:hAnsi="Cambria Math"/>
                        <w:bCs/>
                        <w:szCs w:val="21"/>
                      </w:rPr>
                    </m:ctrlPr>
                  </m:sSupPr>
                  <m:e>
                    <m:r>
                      <m:rPr>
                        <m:sty m:val="p"/>
                      </m:rPr>
                      <w:rPr>
                        <w:rFonts w:ascii="Cambria Math" w:hAnsi="Cambria Math"/>
                        <w:szCs w:val="21"/>
                      </w:rPr>
                      <m:t>2</m:t>
                    </m:r>
                    <m:ctrlPr>
                      <w:rPr>
                        <w:rFonts w:ascii="Cambria Math" w:hAnsi="Cambria Math"/>
                        <w:bCs/>
                        <w:szCs w:val="21"/>
                      </w:rPr>
                    </m:ctrlPr>
                  </m:e>
                  <m:sup>
                    <m:sSub>
                      <m:sSubPr>
                        <m:ctrlPr>
                          <w:rPr>
                            <w:rFonts w:ascii="Cambria Math" w:hAnsi="Cambria Math"/>
                            <w:bCs/>
                            <w:szCs w:val="21"/>
                          </w:rPr>
                        </m:ctrlPr>
                      </m:sSubPr>
                      <m:e>
                        <m:r>
                          <m:rPr>
                            <m:sty m:val="p"/>
                          </m:rPr>
                          <w:rPr>
                            <w:rFonts w:ascii="Cambria Math" w:hAnsi="Cambria Math"/>
                            <w:szCs w:val="21"/>
                          </w:rPr>
                          <m:t>Q</m:t>
                        </m:r>
                        <m:ctrlPr>
                          <w:rPr>
                            <w:rFonts w:ascii="Cambria Math" w:hAnsi="Cambria Math"/>
                            <w:bCs/>
                            <w:szCs w:val="21"/>
                          </w:rPr>
                        </m:ctrlPr>
                      </m:e>
                      <m:sub>
                        <m:r>
                          <m:rPr>
                            <m:sty m:val="p"/>
                          </m:rPr>
                          <w:rPr>
                            <w:rFonts w:ascii="Cambria Math" w:hAnsi="Cambria Math"/>
                            <w:szCs w:val="21"/>
                          </w:rPr>
                          <m:t>m</m:t>
                        </m:r>
                        <m:ctrlPr>
                          <w:rPr>
                            <w:rFonts w:ascii="Cambria Math" w:hAnsi="Cambria Math"/>
                            <w:bCs/>
                            <w:szCs w:val="21"/>
                          </w:rPr>
                        </m:ctrlPr>
                      </m:sub>
                    </m:sSub>
                    <m:r>
                      <m:rPr>
                        <m:sty m:val="p"/>
                      </m:rPr>
                      <w:rPr>
                        <w:rFonts w:ascii="Cambria Math" w:hAnsi="Cambria Math"/>
                        <w:szCs w:val="21"/>
                      </w:rPr>
                      <m:t>/2</m:t>
                    </m:r>
                    <m:ctrlPr>
                      <w:rPr>
                        <w:rFonts w:ascii="Cambria Math" w:hAnsi="Cambria Math"/>
                        <w:bCs/>
                        <w:szCs w:val="21"/>
                      </w:rPr>
                    </m:ctrlPr>
                  </m:sup>
                </m:sSup>
                <m:r>
                  <m:rPr>
                    <m:sty m:val="p"/>
                  </m:rPr>
                  <w:rPr>
                    <w:rFonts w:ascii="Cambria Math" w:hAnsi="Cambria Math"/>
                    <w:szCs w:val="21"/>
                  </w:rPr>
                  <m:t>−1</m:t>
                </m:r>
                <m:ctrlPr>
                  <w:rPr>
                    <w:rFonts w:ascii="Cambria Math" w:hAnsi="Cambria Math"/>
                    <w:bCs/>
                    <w:szCs w:val="21"/>
                  </w:rPr>
                </m:ctrlPr>
              </m:e>
            </m:d>
            <m:ctrlPr>
              <w:rPr>
                <w:rFonts w:ascii="Cambria Math" w:hAnsi="Cambria Math"/>
                <w:bCs/>
                <w:szCs w:val="21"/>
              </w:rPr>
            </m:ctrlPr>
          </m:e>
        </m:d>
      </m:oMath>
      <w:r>
        <w:rPr>
          <w:rFonts w:hint="eastAsia" w:hAnsi="Cambria Math"/>
          <w:bCs/>
          <w:szCs w:val="21"/>
        </w:rPr>
        <w:t xml:space="preserve"> using 5G NR bit mapping, the </w:t>
      </w:r>
      <m:oMath>
        <m:r>
          <m:rPr/>
          <w:rPr>
            <w:rFonts w:ascii="Cambria Math" w:hAnsi="Cambria Math"/>
          </w:rPr>
          <m:t>min</m:t>
        </m:r>
      </m:oMath>
      <w:r>
        <w:rPr>
          <w:rFonts w:hint="eastAsia" w:hAnsi="Cambria Math"/>
        </w:rPr>
        <w:t xml:space="preserve"> operation can be computed in constant complexity as [</w:t>
      </w:r>
      <w:r>
        <w:rPr>
          <w:rFonts w:hAnsi="Cambria Math"/>
        </w:rPr>
        <w:t>15</w:t>
      </w:r>
      <w:r>
        <w:rPr>
          <w:rFonts w:hint="eastAsia" w:hAnsi="Cambria Math"/>
        </w:rPr>
        <w:t>]</w:t>
      </w:r>
      <w:r>
        <w:rPr>
          <w:rFonts w:hAnsi="Cambria Math"/>
        </w:rPr>
        <w:t>.</w:t>
      </w:r>
    </w:p>
    <w:p>
      <w:pPr>
        <w:spacing w:before="120" w:after="120"/>
        <w:rPr>
          <w:rFonts w:hAnsi="Cambria Math"/>
        </w:rPr>
      </w:pPr>
      <w:r>
        <w:rPr>
          <w:rFonts w:hAnsi="Cambria Math"/>
        </w:rPr>
        <w:t>Accordingly, the procedure for PAS demodulation are shown as follows</w:t>
      </w:r>
    </w:p>
    <w:p>
      <w:pPr>
        <w:spacing w:before="120" w:after="120"/>
        <w:rPr>
          <w:rFonts w:hAnsi="Cambria Math"/>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5" w:type="dxa"/>
          </w:tcPr>
          <w:p>
            <w:pPr>
              <w:spacing w:before="120" w:after="120"/>
              <w:rPr>
                <w:rFonts w:hAnsi="Cambria Math"/>
              </w:rPr>
            </w:pPr>
            <w:r>
              <w:rPr>
                <w:rFonts w:hAnsi="Cambria Math"/>
              </w:rPr>
              <w:t xml:space="preserve">(1) </w:t>
            </w:r>
            <w:r>
              <w:rPr>
                <w:rFonts w:hint="eastAsia" w:hAnsi="Cambria Math"/>
              </w:rPr>
              <w:t xml:space="preserve">Find the closest point </w:t>
            </w:r>
            <m:oMath>
              <m:sSup>
                <m:sSupPr>
                  <m:ctrlPr>
                    <w:rPr>
                      <w:rFonts w:ascii="Cambria Math" w:hAnsi="Cambria Math"/>
                      <w:bCs/>
                    </w:rPr>
                  </m:ctrlPr>
                </m:sSupPr>
                <m:e>
                  <m:r>
                    <m:rPr/>
                    <w:rPr>
                      <w:rFonts w:ascii="Cambria Math" w:hAnsi="Cambria Math"/>
                    </w:rPr>
                    <m:t>x</m:t>
                  </m:r>
                  <m:ctrlPr>
                    <w:rPr>
                      <w:rFonts w:ascii="Cambria Math" w:hAnsi="Cambria Math"/>
                      <w:bCs/>
                    </w:rPr>
                  </m:ctrlPr>
                </m:e>
                <m:sup>
                  <m:r>
                    <m:rPr>
                      <m:sty m:val="p"/>
                    </m:rPr>
                    <w:rPr>
                      <w:rFonts w:ascii="Cambria Math" w:hAnsi="Cambria Math"/>
                    </w:rPr>
                    <m:t>∗</m:t>
                  </m:r>
                  <m:ctrlPr>
                    <w:rPr>
                      <w:rFonts w:ascii="Cambria Math" w:hAnsi="Cambria Math"/>
                      <w:bCs/>
                    </w:rPr>
                  </m:ctrlPr>
                </m:sup>
              </m:sSup>
              <m:r>
                <m:rPr>
                  <m:sty m:val="p"/>
                </m:rPr>
                <w:rPr>
                  <w:rFonts w:ascii="Cambria Math" w:hAnsi="Cambria Math"/>
                </w:rPr>
                <m:t>∈</m:t>
              </m:r>
              <m:sSubSup>
                <m:sSubSupPr>
                  <m:ctrlPr>
                    <w:rPr>
                      <w:rFonts w:ascii="Cambria Math" w:hAnsi="Cambria Math"/>
                      <w:bCs/>
                      <w:i/>
                      <w:szCs w:val="21"/>
                    </w:rPr>
                  </m:ctrlPr>
                </m:sSubSupPr>
                <m:e>
                  <m:r>
                    <m:rPr/>
                    <w:rPr>
                      <w:rFonts w:ascii="Cambria Math" w:hAnsi="Cambria Math"/>
                      <w:szCs w:val="21"/>
                    </w:rPr>
                    <m:t>χ</m:t>
                  </m:r>
                  <m:ctrlPr>
                    <w:rPr>
                      <w:rFonts w:ascii="Cambria Math" w:hAnsi="Cambria Math"/>
                      <w:bCs/>
                      <w:i/>
                      <w:szCs w:val="21"/>
                    </w:rPr>
                  </m:ctrlPr>
                </m:e>
                <m:sub>
                  <m:r>
                    <m:rPr/>
                    <w:rPr>
                      <w:rFonts w:ascii="Cambria Math" w:hAnsi="Cambria Math"/>
                      <w:szCs w:val="21"/>
                    </w:rPr>
                    <m:t>0</m:t>
                  </m:r>
                  <m:ctrlPr>
                    <w:rPr>
                      <w:rFonts w:ascii="Cambria Math" w:hAnsi="Cambria Math"/>
                      <w:bCs/>
                      <w:i/>
                      <w:szCs w:val="21"/>
                    </w:rPr>
                  </m:ctrlPr>
                </m:sub>
                <m:sup>
                  <m:r>
                    <m:rPr/>
                    <w:rPr>
                      <w:rFonts w:ascii="Cambria Math" w:hAnsi="Cambria Math"/>
                      <w:szCs w:val="21"/>
                    </w:rPr>
                    <m:t>j</m:t>
                  </m:r>
                  <m:ctrlPr>
                    <w:rPr>
                      <w:rFonts w:ascii="Cambria Math" w:hAnsi="Cambria Math"/>
                      <w:bCs/>
                      <w:i/>
                      <w:szCs w:val="21"/>
                    </w:rPr>
                  </m:ctrlPr>
                </m:sup>
              </m:sSubSup>
              <m:r>
                <m:rPr>
                  <m:sty m:val="p"/>
                </m:rPr>
                <w:rPr>
                  <w:rFonts w:ascii="Cambria Math" w:hAnsi="Cambria Math"/>
                  <w:szCs w:val="21"/>
                </w:rPr>
                <m:t>∪</m:t>
              </m:r>
              <m:sSubSup>
                <m:sSubSupPr>
                  <m:ctrlPr>
                    <w:rPr>
                      <w:rFonts w:ascii="Cambria Math" w:hAnsi="Cambria Math"/>
                      <w:bCs/>
                      <w:i/>
                      <w:szCs w:val="21"/>
                    </w:rPr>
                  </m:ctrlPr>
                </m:sSubSupPr>
                <m:e>
                  <m:r>
                    <m:rPr/>
                    <w:rPr>
                      <w:rFonts w:ascii="Cambria Math" w:hAnsi="Cambria Math"/>
                      <w:szCs w:val="21"/>
                    </w:rPr>
                    <m:t>χ</m:t>
                  </m:r>
                  <m:ctrlPr>
                    <w:rPr>
                      <w:rFonts w:ascii="Cambria Math" w:hAnsi="Cambria Math"/>
                      <w:bCs/>
                      <w:i/>
                      <w:szCs w:val="21"/>
                    </w:rPr>
                  </m:ctrlPr>
                </m:e>
                <m:sub>
                  <m:r>
                    <m:rPr/>
                    <w:rPr>
                      <w:rFonts w:ascii="Cambria Math" w:hAnsi="Cambria Math"/>
                      <w:szCs w:val="21"/>
                    </w:rPr>
                    <m:t>1</m:t>
                  </m:r>
                  <m:ctrlPr>
                    <w:rPr>
                      <w:rFonts w:ascii="Cambria Math" w:hAnsi="Cambria Math"/>
                      <w:bCs/>
                      <w:i/>
                      <w:szCs w:val="21"/>
                    </w:rPr>
                  </m:ctrlPr>
                </m:sub>
                <m:sup>
                  <m:r>
                    <m:rPr/>
                    <w:rPr>
                      <w:rFonts w:ascii="Cambria Math" w:hAnsi="Cambria Math"/>
                      <w:szCs w:val="21"/>
                    </w:rPr>
                    <m:t>j</m:t>
                  </m:r>
                  <m:ctrlPr>
                    <w:rPr>
                      <w:rFonts w:ascii="Cambria Math" w:hAnsi="Cambria Math"/>
                      <w:bCs/>
                      <w:i/>
                      <w:szCs w:val="21"/>
                    </w:rPr>
                  </m:ctrlPr>
                </m:sup>
              </m:sSubSup>
              <m:r>
                <m:rPr>
                  <m:sty m:val="p"/>
                </m:rPr>
                <w:rPr>
                  <w:rFonts w:ascii="Cambria Math" w:hAnsi="Cambria Math"/>
                  <w:szCs w:val="21"/>
                </w:rPr>
                <m:t xml:space="preserve"> </m:t>
              </m:r>
            </m:oMath>
            <w:r>
              <w:rPr>
                <w:rFonts w:hint="eastAsia" w:hAnsi="Cambria Math"/>
                <w:bCs/>
                <w:szCs w:val="21"/>
              </w:rPr>
              <w:t xml:space="preserve">to </w:t>
            </w:r>
            <m:oMath>
              <m:r>
                <m:rPr/>
                <w:rPr>
                  <w:rFonts w:hint="eastAsia" w:ascii="Cambria Math" w:hAnsi="Cambria Math"/>
                </w:rPr>
                <m:t>y</m:t>
              </m:r>
              <m:r>
                <m:rPr>
                  <m:sty m:val="p"/>
                </m:rPr>
                <w:rPr>
                  <w:rFonts w:ascii="Cambria Math" w:hAnsi="Cambria Math"/>
                </w:rPr>
                <m:t>''</m:t>
              </m:r>
              <m:r>
                <m:rPr>
                  <m:sty m:val="p"/>
                </m:rPr>
                <w:rPr>
                  <w:rFonts w:hint="eastAsia" w:ascii="Cambria Math" w:hAnsi="Cambria Math"/>
                </w:rPr>
                <m:t>=</m:t>
              </m:r>
              <m:r>
                <m:rPr/>
                <w:rPr>
                  <w:rFonts w:ascii="Cambria Math" w:hAnsi="Cambria Math"/>
                </w:rPr>
                <m:t>δ</m:t>
              </m:r>
              <m:r>
                <m:rPr>
                  <m:sty m:val="p"/>
                </m:rPr>
                <w:rPr>
                  <w:rFonts w:ascii="Cambria Math" w:hAnsi="Cambria Math"/>
                </w:rPr>
                <m:t>∙</m:t>
              </m:r>
              <m:r>
                <m:rPr/>
                <w:rPr>
                  <w:rFonts w:hint="eastAsia" w:ascii="Cambria Math" w:hAnsi="Cambria Math"/>
                </w:rPr>
                <m:t>y</m:t>
              </m:r>
              <m:r>
                <m:rPr>
                  <m:sty m:val="p"/>
                </m:rPr>
                <w:rPr>
                  <w:rFonts w:ascii="Cambria Math" w:hAnsi="Cambria Math"/>
                </w:rPr>
                <m:t>'∙</m:t>
              </m:r>
              <m:r>
                <m:rPr/>
                <w:rPr>
                  <w:rFonts w:ascii="Cambria Math" w:hAnsi="Cambria Math"/>
                </w:rPr>
                <m:t>α</m:t>
              </m:r>
            </m:oMath>
            <w:r>
              <w:rPr>
                <w:rFonts w:hint="eastAsia" w:hAnsi="Cambria Math"/>
                <w:bCs/>
                <w:szCs w:val="21"/>
              </w:rPr>
              <w:t xml:space="preserve"> as</w:t>
            </w:r>
          </w:p>
          <w:p>
            <w:pPr>
              <w:spacing w:before="120" w:after="120"/>
              <w:jc w:val="center"/>
              <w:rPr>
                <w:rFonts w:hAnsi="Cambria Math"/>
              </w:rPr>
            </w:pPr>
            <m:oMath>
              <m:sSup>
                <m:sSupPr>
                  <m:ctrlPr>
                    <w:rPr>
                      <w:rFonts w:ascii="Cambria Math" w:hAnsi="Cambria Math"/>
                      <w:bCs/>
                    </w:rPr>
                  </m:ctrlPr>
                </m:sSupPr>
                <m:e>
                  <m:r>
                    <m:rPr/>
                    <w:rPr>
                      <w:rFonts w:ascii="Cambria Math" w:hAnsi="Cambria Math"/>
                    </w:rPr>
                    <m:t>x</m:t>
                  </m:r>
                  <m:ctrlPr>
                    <w:rPr>
                      <w:rFonts w:ascii="Cambria Math" w:hAnsi="Cambria Math"/>
                      <w:bCs/>
                    </w:rPr>
                  </m:ctrlPr>
                </m:e>
                <m:sup>
                  <m:r>
                    <m:rPr>
                      <m:sty m:val="p"/>
                    </m:rPr>
                    <w:rPr>
                      <w:rFonts w:ascii="Cambria Math" w:hAnsi="Cambria Math"/>
                    </w:rPr>
                    <m:t>∗</m:t>
                  </m:r>
                  <m:ctrlPr>
                    <w:rPr>
                      <w:rFonts w:ascii="Cambria Math" w:hAnsi="Cambria Math"/>
                      <w:bCs/>
                    </w:rPr>
                  </m:ctrlPr>
                </m:sup>
              </m:sSup>
              <m:r>
                <m:rPr>
                  <m:sty m:val="p"/>
                </m:rPr>
                <w:rPr>
                  <w:rFonts w:ascii="Cambria Math" w:hAnsi="Cambria Math"/>
                </w:rPr>
                <m:t>=2×round</m:t>
              </m:r>
              <m:d>
                <m:dPr>
                  <m:ctrlPr>
                    <w:rPr>
                      <w:rFonts w:ascii="Cambria Math" w:hAnsi="Cambria Math"/>
                      <w:bCs/>
                      <w:iCs/>
                    </w:rPr>
                  </m:ctrlPr>
                </m:dPr>
                <m:e>
                  <m:f>
                    <m:fPr>
                      <m:ctrlPr>
                        <w:rPr>
                          <w:rFonts w:ascii="Cambria Math" w:hAnsi="Cambria Math"/>
                          <w:bCs/>
                        </w:rPr>
                      </m:ctrlPr>
                    </m:fPr>
                    <m:num>
                      <m:r>
                        <m:rPr/>
                        <w:rPr>
                          <w:rFonts w:hint="eastAsia" w:ascii="Cambria Math" w:hAnsi="Cambria Math"/>
                        </w:rPr>
                        <m:t>y</m:t>
                      </m:r>
                      <m:r>
                        <m:rPr>
                          <m:sty m:val="p"/>
                        </m:rPr>
                        <w:rPr>
                          <w:rFonts w:ascii="Cambria Math" w:hAnsi="Cambria Math"/>
                        </w:rPr>
                        <m:t>''</m:t>
                      </m:r>
                      <m:r>
                        <m:rPr>
                          <m:sty m:val="p"/>
                        </m:rPr>
                        <w:rPr>
                          <w:rFonts w:hint="eastAsia" w:ascii="Cambria Math" w:hAnsi="Cambria Math"/>
                        </w:rPr>
                        <m:t>+1</m:t>
                      </m:r>
                      <m:ctrlPr>
                        <w:rPr>
                          <w:rFonts w:ascii="Cambria Math" w:hAnsi="Cambria Math"/>
                          <w:bCs/>
                        </w:rPr>
                      </m:ctrlPr>
                    </m:num>
                    <m:den>
                      <m:r>
                        <m:rPr>
                          <m:sty m:val="p"/>
                        </m:rPr>
                        <w:rPr>
                          <w:rFonts w:ascii="Cambria Math" w:hAnsi="Cambria Math"/>
                        </w:rPr>
                        <m:t>2</m:t>
                      </m:r>
                      <m:ctrlPr>
                        <w:rPr>
                          <w:rFonts w:ascii="Cambria Math" w:hAnsi="Cambria Math"/>
                          <w:bCs/>
                        </w:rPr>
                      </m:ctrlPr>
                    </m:den>
                  </m:f>
                  <m:ctrlPr>
                    <w:rPr>
                      <w:rFonts w:ascii="Cambria Math" w:hAnsi="Cambria Math"/>
                      <w:bCs/>
                      <w:iCs/>
                    </w:rPr>
                  </m:ctrlPr>
                </m:e>
              </m:d>
              <m:r>
                <m:rPr>
                  <m:sty m:val="p"/>
                </m:rPr>
                <w:rPr>
                  <w:rFonts w:ascii="Cambria Math" w:hAnsi="Cambria Math"/>
                </w:rPr>
                <m:t>−1</m:t>
              </m:r>
            </m:oMath>
            <w:r>
              <w:rPr>
                <w:rFonts w:hint="eastAsia" w:hAnsi="Cambria Math"/>
              </w:rPr>
              <w:t>,</w:t>
            </w:r>
          </w:p>
          <w:p>
            <w:pPr>
              <w:spacing w:before="120" w:after="120"/>
              <w:rPr>
                <w:rFonts w:hAnsi="Cambria Math"/>
              </w:rPr>
            </w:pPr>
            <w:r>
              <w:rPr>
                <w:rFonts w:hint="eastAsia" w:hAnsi="Cambria Math"/>
              </w:rPr>
              <w:tab/>
            </w:r>
            <w:r>
              <w:rPr>
                <w:rFonts w:hint="eastAsia" w:hAnsi="Cambria Math"/>
              </w:rPr>
              <w:t xml:space="preserve">where </w:t>
            </w:r>
            <m:oMath>
              <m:r>
                <m:rPr/>
                <w:rPr>
                  <w:rFonts w:ascii="Cambria Math" w:hAnsi="Cambria Math"/>
                </w:rPr>
                <m:t>α</m:t>
              </m:r>
            </m:oMath>
            <w:r>
              <w:rPr>
                <w:rFonts w:hint="eastAsia" w:hAnsi="Cambria Math"/>
              </w:rPr>
              <w:t xml:space="preserve"> is the reciprocal of the power </w:t>
            </w:r>
            <w:r>
              <w:rPr>
                <w:rFonts w:hint="eastAsia" w:hAnsi="Cambria Math"/>
                <w:lang w:eastAsia="zh-CN"/>
              </w:rPr>
              <w:t>normalization</w:t>
            </w:r>
            <w:r>
              <w:rPr>
                <w:rFonts w:hint="eastAsia" w:hAnsi="Cambria Math"/>
              </w:rPr>
              <w:t xml:space="preserve"> of the QAM constellation.</w:t>
            </w:r>
          </w:p>
          <w:p>
            <w:pPr>
              <w:spacing w:before="120" w:after="120"/>
              <w:rPr>
                <w:rFonts w:hAnsi="Cambria Math"/>
              </w:rPr>
            </w:pPr>
            <w:r>
              <w:rPr>
                <w:rFonts w:hAnsi="Cambria Math"/>
                <w:bCs/>
              </w:rPr>
              <w:t xml:space="preserve">(2) </w:t>
            </w:r>
            <w:r>
              <w:rPr>
                <w:rFonts w:hint="eastAsia" w:hAnsi="Cambria Math"/>
                <w:bCs/>
              </w:rPr>
              <w:t xml:space="preserve">Compute </w:t>
            </w:r>
            <m:oMath>
              <m:func>
                <m:funcPr>
                  <m:ctrlPr>
                    <w:rPr>
                      <w:rFonts w:ascii="Cambria Math" w:hAnsi="Cambria Math"/>
                      <w:bCs/>
                    </w:rPr>
                  </m:ctrlPr>
                </m:funcPr>
                <m:fName>
                  <m:r>
                    <m:rPr/>
                    <w:rPr>
                      <w:rFonts w:ascii="Cambria Math" w:hAnsi="Cambria Math"/>
                    </w:rPr>
                    <m:t>d</m:t>
                  </m:r>
                  <m:d>
                    <m:dPr>
                      <m:ctrlPr>
                        <w:rPr>
                          <w:rFonts w:ascii="Cambria Math" w:hAnsi="Cambria Math"/>
                          <w:bCs/>
                        </w:rPr>
                      </m:ctrlPr>
                    </m:dPr>
                    <m:e>
                      <m:sSup>
                        <m:sSupPr>
                          <m:ctrlPr>
                            <w:rPr>
                              <w:rFonts w:ascii="Cambria Math" w:hAnsi="Cambria Math"/>
                              <w:bCs/>
                            </w:rPr>
                          </m:ctrlPr>
                        </m:sSupPr>
                        <m:e>
                          <m:r>
                            <m:rPr/>
                            <w:rPr>
                              <w:rFonts w:ascii="Cambria Math" w:hAnsi="Cambria Math"/>
                            </w:rPr>
                            <m:t>x</m:t>
                          </m:r>
                          <m:ctrlPr>
                            <w:rPr>
                              <w:rFonts w:ascii="Cambria Math" w:hAnsi="Cambria Math"/>
                              <w:bCs/>
                            </w:rPr>
                          </m:ctrlPr>
                        </m:e>
                        <m:sup>
                          <m:r>
                            <m:rPr>
                              <m:sty m:val="p"/>
                            </m:rPr>
                            <w:rPr>
                              <w:rFonts w:ascii="Cambria Math" w:hAnsi="Cambria Math"/>
                            </w:rPr>
                            <m:t>∗</m:t>
                          </m:r>
                          <m:ctrlPr>
                            <w:rPr>
                              <w:rFonts w:ascii="Cambria Math" w:hAnsi="Cambria Math"/>
                              <w:bCs/>
                            </w:rPr>
                          </m:ctrlPr>
                        </m:sup>
                      </m:sSup>
                      <m:ctrlPr>
                        <w:rPr>
                          <w:rFonts w:ascii="Cambria Math" w:hAnsi="Cambria Math"/>
                          <w:bCs/>
                        </w:rPr>
                      </m:ctrlPr>
                    </m:e>
                  </m:d>
                  <m:r>
                    <m:rPr>
                      <m:sty m:val="p"/>
                    </m:rPr>
                    <w:rPr>
                      <w:rFonts w:ascii="Cambria Math" w:hAnsi="Cambria Math"/>
                    </w:rPr>
                    <m:t>=</m:t>
                  </m:r>
                  <m:limLow>
                    <m:limLowPr>
                      <m:ctrlPr>
                        <w:rPr>
                          <w:rFonts w:ascii="Cambria Math" w:hAnsi="Cambria Math"/>
                          <w:bCs/>
                        </w:rPr>
                      </m:ctrlPr>
                    </m:limLowPr>
                    <m:e>
                      <m:r>
                        <m:rPr>
                          <m:sty m:val="p"/>
                        </m:rPr>
                        <w:rPr>
                          <w:rFonts w:ascii="Cambria Math" w:hAnsi="Cambria Math"/>
                        </w:rPr>
                        <m:t>min</m:t>
                      </m:r>
                      <m:ctrlPr>
                        <w:rPr>
                          <w:rFonts w:ascii="Cambria Math" w:hAnsi="Cambria Math"/>
                          <w:bCs/>
                        </w:rPr>
                      </m:ctrlPr>
                    </m:e>
                    <m:lim>
                      <m:r>
                        <m:rPr/>
                        <w:rPr>
                          <w:rFonts w:ascii="Cambria Math" w:hAnsi="Cambria Math"/>
                        </w:rPr>
                        <m:t>x∈</m:t>
                      </m:r>
                      <m:sSubSup>
                        <m:sSubSupPr>
                          <m:ctrlPr>
                            <w:rPr>
                              <w:rFonts w:ascii="Cambria Math" w:hAnsi="Cambria Math"/>
                              <w:bCs/>
                              <w:i/>
                            </w:rPr>
                          </m:ctrlPr>
                        </m:sSubSupPr>
                        <m:e>
                          <m:r>
                            <m:rPr/>
                            <w:rPr>
                              <w:rFonts w:ascii="Cambria Math" w:hAnsi="Cambria Math"/>
                            </w:rPr>
                            <m:t>χ</m:t>
                          </m:r>
                          <m:ctrlPr>
                            <w:rPr>
                              <w:rFonts w:ascii="Cambria Math" w:hAnsi="Cambria Math"/>
                              <w:bCs/>
                              <w:i/>
                            </w:rPr>
                          </m:ctrlPr>
                        </m:e>
                        <m:sub>
                          <m:r>
                            <m:rPr/>
                            <w:rPr>
                              <w:rFonts w:ascii="Cambria Math" w:hAnsi="Cambria Math"/>
                            </w:rPr>
                            <m:t>b(x∗)</m:t>
                          </m:r>
                          <m:ctrlPr>
                            <w:rPr>
                              <w:rFonts w:ascii="Cambria Math" w:hAnsi="Cambria Math"/>
                              <w:bCs/>
                              <w:i/>
                            </w:rPr>
                          </m:ctrlPr>
                        </m:sub>
                        <m:sup>
                          <m:r>
                            <m:rPr/>
                            <w:rPr>
                              <w:rFonts w:ascii="Cambria Math" w:hAnsi="Cambria Math"/>
                            </w:rPr>
                            <m:t>j</m:t>
                          </m:r>
                          <m:ctrlPr>
                            <w:rPr>
                              <w:rFonts w:ascii="Cambria Math" w:hAnsi="Cambria Math"/>
                              <w:bCs/>
                              <w:i/>
                            </w:rPr>
                          </m:ctrlPr>
                        </m:sup>
                      </m:sSubSup>
                      <m:ctrlPr>
                        <w:rPr>
                          <w:rFonts w:ascii="Cambria Math" w:hAnsi="Cambria Math"/>
                          <w:bCs/>
                        </w:rPr>
                      </m:ctrlPr>
                    </m:lim>
                  </m:limLow>
                  <m:ctrlPr>
                    <w:rPr>
                      <w:rFonts w:ascii="Cambria Math" w:hAnsi="Cambria Math"/>
                      <w:bCs/>
                    </w:rPr>
                  </m:ctrlPr>
                </m:fName>
                <m:e>
                  <m:d>
                    <m:dPr>
                      <m:begChr m:val="|"/>
                      <m:endChr m:val="|"/>
                      <m:ctrlPr>
                        <w:rPr>
                          <w:rFonts w:ascii="Cambria Math" w:hAnsi="Cambria Math"/>
                          <w:bCs/>
                        </w:rPr>
                      </m:ctrlPr>
                    </m:dPr>
                    <m:e>
                      <m:r>
                        <m:rPr/>
                        <w:rPr>
                          <w:rFonts w:ascii="Cambria Math" w:hAnsi="Cambria Math"/>
                        </w:rPr>
                        <m:t>δ</m:t>
                      </m:r>
                      <m:r>
                        <m:rPr>
                          <m:sty m:val="p"/>
                        </m:rPr>
                        <w:rPr>
                          <w:rFonts w:ascii="Cambria Math" w:hAnsi="Cambria Math"/>
                        </w:rPr>
                        <m:t>∙</m:t>
                      </m:r>
                      <m:r>
                        <m:rPr/>
                        <w:rPr>
                          <w:rFonts w:ascii="Cambria Math" w:hAnsi="Cambria Math"/>
                        </w:rPr>
                        <m:t>y</m:t>
                      </m:r>
                      <m:r>
                        <m:rPr>
                          <m:sty m:val="p"/>
                        </m:rPr>
                        <w:rPr>
                          <w:rFonts w:ascii="Cambria Math" w:hAnsi="Cambria Math"/>
                        </w:rPr>
                        <m:t>'−</m:t>
                      </m:r>
                      <m:r>
                        <m:rPr/>
                        <w:rPr>
                          <w:rFonts w:ascii="Cambria Math" w:hAnsi="Cambria Math"/>
                        </w:rPr>
                        <m:t>x</m:t>
                      </m:r>
                      <m:ctrlPr>
                        <w:rPr>
                          <w:rFonts w:ascii="Cambria Math" w:hAnsi="Cambria Math"/>
                          <w:bCs/>
                        </w:rPr>
                      </m:ctrlPr>
                    </m:e>
                  </m:d>
                  <m:ctrlPr>
                    <w:rPr>
                      <w:rFonts w:ascii="Cambria Math" w:hAnsi="Cambria Math"/>
                      <w:bCs/>
                    </w:rPr>
                  </m:ctrlPr>
                </m:e>
              </m:func>
              <m:r>
                <m:rPr>
                  <m:sty m:val="p"/>
                </m:rPr>
                <w:rPr>
                  <w:rFonts w:ascii="Cambria Math" w:hAnsi="Cambria Math"/>
                </w:rPr>
                <m:t>=</m:t>
              </m:r>
              <m:d>
                <m:dPr>
                  <m:begChr m:val="|"/>
                  <m:endChr m:val="|"/>
                  <m:ctrlPr>
                    <w:rPr>
                      <w:rFonts w:ascii="Cambria Math" w:hAnsi="Cambria Math"/>
                      <w:bCs/>
                    </w:rPr>
                  </m:ctrlPr>
                </m:dPr>
                <m:e>
                  <m:r>
                    <m:rPr/>
                    <w:rPr>
                      <w:rFonts w:ascii="Cambria Math" w:hAnsi="Cambria Math"/>
                    </w:rPr>
                    <m:t>y</m:t>
                  </m:r>
                  <m:r>
                    <m:rPr>
                      <m:sty m:val="p"/>
                    </m:rPr>
                    <w:rPr>
                      <w:rFonts w:ascii="Cambria Math" w:hAnsi="Cambria Math"/>
                    </w:rPr>
                    <m:t>''−</m:t>
                  </m:r>
                  <m:sSup>
                    <m:sSupPr>
                      <m:ctrlPr>
                        <w:rPr>
                          <w:rFonts w:ascii="Cambria Math" w:hAnsi="Cambria Math"/>
                          <w:bCs/>
                        </w:rPr>
                      </m:ctrlPr>
                    </m:sSupPr>
                    <m:e>
                      <m:r>
                        <m:rPr/>
                        <w:rPr>
                          <w:rFonts w:ascii="Cambria Math" w:hAnsi="Cambria Math"/>
                        </w:rPr>
                        <m:t>x</m:t>
                      </m:r>
                      <m:ctrlPr>
                        <w:rPr>
                          <w:rFonts w:ascii="Cambria Math" w:hAnsi="Cambria Math"/>
                          <w:bCs/>
                        </w:rPr>
                      </m:ctrlPr>
                    </m:e>
                    <m:sup>
                      <m:r>
                        <m:rPr>
                          <m:sty m:val="p"/>
                        </m:rPr>
                        <w:rPr>
                          <w:rFonts w:ascii="Cambria Math" w:hAnsi="Cambria Math"/>
                        </w:rPr>
                        <m:t>∗</m:t>
                      </m:r>
                      <m:ctrlPr>
                        <w:rPr>
                          <w:rFonts w:ascii="Cambria Math" w:hAnsi="Cambria Math"/>
                          <w:bCs/>
                        </w:rPr>
                      </m:ctrlPr>
                    </m:sup>
                  </m:sSup>
                  <m:ctrlPr>
                    <w:rPr>
                      <w:rFonts w:ascii="Cambria Math" w:hAnsi="Cambria Math"/>
                      <w:bCs/>
                    </w:rPr>
                  </m:ctrlPr>
                </m:e>
              </m:d>
            </m:oMath>
            <w:r>
              <w:rPr>
                <w:rFonts w:hint="eastAsia" w:hAnsi="Cambria Math"/>
                <w:bCs/>
              </w:rPr>
              <w:t xml:space="preserve">, where </w:t>
            </w:r>
            <m:oMath>
              <m:r>
                <m:rPr/>
                <w:rPr>
                  <w:rFonts w:ascii="Cambria Math" w:hAnsi="Cambria Math"/>
                </w:rPr>
                <m:t>b</m:t>
              </m:r>
              <m:d>
                <m:dPr>
                  <m:ctrlPr>
                    <w:rPr>
                      <w:rFonts w:ascii="Cambria Math" w:hAnsi="Cambria Math"/>
                      <w:bCs/>
                    </w:rPr>
                  </m:ctrlPr>
                </m:dPr>
                <m:e>
                  <m:sSup>
                    <m:sSupPr>
                      <m:ctrlPr>
                        <w:rPr>
                          <w:rFonts w:ascii="Cambria Math" w:hAnsi="Cambria Math"/>
                          <w:bCs/>
                          <w:i/>
                        </w:rPr>
                      </m:ctrlPr>
                    </m:sSupPr>
                    <m:e>
                      <m:r>
                        <m:rPr/>
                        <w:rPr>
                          <w:rFonts w:ascii="Cambria Math" w:hAnsi="Cambria Math"/>
                        </w:rPr>
                        <m:t>x</m:t>
                      </m:r>
                      <m:ctrlPr>
                        <w:rPr>
                          <w:rFonts w:ascii="Cambria Math" w:hAnsi="Cambria Math"/>
                          <w:bCs/>
                          <w:i/>
                        </w:rPr>
                      </m:ctrlPr>
                    </m:e>
                    <m:sup>
                      <m:r>
                        <m:rPr/>
                        <w:rPr>
                          <w:rFonts w:ascii="Cambria Math" w:hAnsi="Cambria Math"/>
                        </w:rPr>
                        <m:t>∗</m:t>
                      </m:r>
                      <m:ctrlPr>
                        <w:rPr>
                          <w:rFonts w:ascii="Cambria Math" w:hAnsi="Cambria Math"/>
                          <w:bCs/>
                          <w:i/>
                        </w:rPr>
                      </m:ctrlPr>
                    </m:sup>
                  </m:sSup>
                  <m:ctrlPr>
                    <w:rPr>
                      <w:rFonts w:ascii="Cambria Math" w:hAnsi="Cambria Math"/>
                      <w:bCs/>
                    </w:rPr>
                  </m:ctrlPr>
                </m:e>
              </m:d>
            </m:oMath>
            <w:r>
              <w:rPr>
                <w:rFonts w:hint="eastAsia" w:hAnsi="Cambria Math"/>
                <w:bCs/>
              </w:rPr>
              <w:t xml:space="preserve"> is the j-th bit of the label of </w:t>
            </w:r>
            <m:oMath>
              <m:sSup>
                <m:sSupPr>
                  <m:ctrlPr>
                    <w:rPr>
                      <w:rFonts w:ascii="Cambria Math" w:hAnsi="Cambria Math"/>
                      <w:bCs/>
                    </w:rPr>
                  </m:ctrlPr>
                </m:sSupPr>
                <m:e>
                  <m:r>
                    <m:rPr>
                      <m:sty m:val="p"/>
                    </m:rPr>
                    <w:rPr>
                      <w:rFonts w:ascii="Cambria Math" w:hAnsi="Cambria Math"/>
                    </w:rPr>
                    <m:t>x</m:t>
                  </m:r>
                  <m:ctrlPr>
                    <w:rPr>
                      <w:rFonts w:ascii="Cambria Math" w:hAnsi="Cambria Math"/>
                      <w:bCs/>
                    </w:rPr>
                  </m:ctrlPr>
                </m:e>
                <m:sup>
                  <m:r>
                    <m:rPr>
                      <m:sty m:val="p"/>
                    </m:rPr>
                    <w:rPr>
                      <w:rFonts w:ascii="Cambria Math" w:hAnsi="Cambria Math"/>
                    </w:rPr>
                    <m:t>∗</m:t>
                  </m:r>
                  <m:ctrlPr>
                    <w:rPr>
                      <w:rFonts w:ascii="Cambria Math" w:hAnsi="Cambria Math"/>
                      <w:bCs/>
                    </w:rPr>
                  </m:ctrlPr>
                </m:sup>
              </m:sSup>
            </m:oMath>
            <w:r>
              <w:rPr>
                <w:rFonts w:hint="eastAsia" w:hAnsi="Cambria Math"/>
                <w:bCs/>
              </w:rPr>
              <w:t>.</w:t>
            </w:r>
          </w:p>
          <w:p>
            <w:pPr>
              <w:spacing w:before="120" w:after="120"/>
              <w:rPr>
                <w:rFonts w:hint="eastAsia" w:hAnsi="Cambria Math"/>
                <w:bCs/>
              </w:rPr>
            </w:pPr>
            <w:r>
              <w:rPr>
                <w:rFonts w:hAnsi="Cambria Math"/>
              </w:rPr>
              <w:t xml:space="preserve">(3) </w:t>
            </w:r>
            <w:r>
              <w:rPr>
                <w:rFonts w:hint="eastAsia" w:hAnsi="Cambria Math"/>
              </w:rPr>
              <w:t xml:space="preserve">Compute </w:t>
            </w:r>
            <m:oMath>
              <m:r>
                <m:rPr/>
                <w:rPr>
                  <w:rFonts w:ascii="Cambria Math" w:hAnsi="Cambria Math"/>
                </w:rPr>
                <m:t>d</m:t>
              </m:r>
              <m:d>
                <m:dPr>
                  <m:ctrlPr>
                    <w:rPr>
                      <w:rFonts w:ascii="Cambria Math" w:hAnsi="Cambria Math"/>
                      <w:bCs/>
                    </w:rPr>
                  </m:ctrlPr>
                </m:dPr>
                <m:e>
                  <m:acc>
                    <m:accPr>
                      <m:chr m:val="̅"/>
                      <m:ctrlPr>
                        <w:rPr>
                          <w:rFonts w:ascii="Cambria Math" w:hAnsi="Cambria Math"/>
                          <w:bCs/>
                        </w:rPr>
                      </m:ctrlPr>
                    </m:accPr>
                    <m:e>
                      <m:sSup>
                        <m:sSupPr>
                          <m:ctrlPr>
                            <w:rPr>
                              <w:rFonts w:ascii="Cambria Math" w:hAnsi="Cambria Math"/>
                              <w:bCs/>
                            </w:rPr>
                          </m:ctrlPr>
                        </m:sSupPr>
                        <m:e>
                          <m:r>
                            <m:rPr/>
                            <w:rPr>
                              <w:rFonts w:ascii="Cambria Math" w:hAnsi="Cambria Math"/>
                            </w:rPr>
                            <m:t>x</m:t>
                          </m:r>
                          <m:ctrlPr>
                            <w:rPr>
                              <w:rFonts w:ascii="Cambria Math" w:hAnsi="Cambria Math"/>
                              <w:bCs/>
                            </w:rPr>
                          </m:ctrlPr>
                        </m:e>
                        <m:sup>
                          <m:r>
                            <m:rPr>
                              <m:sty m:val="p"/>
                            </m:rPr>
                            <w:rPr>
                              <w:rFonts w:ascii="Cambria Math" w:hAnsi="Cambria Math"/>
                            </w:rPr>
                            <m:t>∗</m:t>
                          </m:r>
                          <m:ctrlPr>
                            <w:rPr>
                              <w:rFonts w:ascii="Cambria Math" w:hAnsi="Cambria Math"/>
                              <w:bCs/>
                            </w:rPr>
                          </m:ctrlPr>
                        </m:sup>
                      </m:sSup>
                      <m:ctrlPr>
                        <w:rPr>
                          <w:rFonts w:ascii="Cambria Math" w:hAnsi="Cambria Math"/>
                          <w:bCs/>
                        </w:rPr>
                      </m:ctrlPr>
                    </m:e>
                  </m:acc>
                  <m:ctrlPr>
                    <w:rPr>
                      <w:rFonts w:ascii="Cambria Math" w:hAnsi="Cambria Math"/>
                      <w:bCs/>
                    </w:rPr>
                  </m:ctrlPr>
                </m:e>
              </m:d>
              <m:r>
                <m:rPr>
                  <m:sty m:val="p"/>
                </m:rPr>
                <w:rPr>
                  <w:rFonts w:ascii="Cambria Math" w:hAnsi="Cambria Math"/>
                </w:rPr>
                <m:t>=</m:t>
              </m:r>
              <m:func>
                <m:funcPr>
                  <m:ctrlPr>
                    <w:rPr>
                      <w:rFonts w:ascii="Cambria Math" w:hAnsi="Cambria Math"/>
                      <w:bCs/>
                    </w:rPr>
                  </m:ctrlPr>
                </m:funcPr>
                <m:fName>
                  <m:limLow>
                    <m:limLowPr>
                      <m:ctrlPr>
                        <w:rPr>
                          <w:rFonts w:ascii="Cambria Math" w:hAnsi="Cambria Math"/>
                          <w:bCs/>
                        </w:rPr>
                      </m:ctrlPr>
                    </m:limLowPr>
                    <m:e>
                      <m:r>
                        <m:rPr>
                          <m:sty m:val="p"/>
                        </m:rPr>
                        <w:rPr>
                          <w:rFonts w:ascii="Cambria Math" w:hAnsi="Cambria Math"/>
                        </w:rPr>
                        <m:t>min</m:t>
                      </m:r>
                      <m:ctrlPr>
                        <w:rPr>
                          <w:rFonts w:ascii="Cambria Math" w:hAnsi="Cambria Math"/>
                          <w:bCs/>
                        </w:rPr>
                      </m:ctrlPr>
                    </m:e>
                    <m:lim>
                      <m:r>
                        <m:rPr/>
                        <w:rPr>
                          <w:rFonts w:ascii="Cambria Math" w:hAnsi="Cambria Math"/>
                        </w:rPr>
                        <m:t>x∈</m:t>
                      </m:r>
                      <m:sSubSup>
                        <m:sSubSupPr>
                          <m:ctrlPr>
                            <w:rPr>
                              <w:rFonts w:ascii="Cambria Math" w:hAnsi="Cambria Math"/>
                              <w:bCs/>
                              <w:i/>
                            </w:rPr>
                          </m:ctrlPr>
                        </m:sSubSupPr>
                        <m:e>
                          <m:r>
                            <m:rPr/>
                            <w:rPr>
                              <w:rFonts w:ascii="Cambria Math" w:hAnsi="Cambria Math"/>
                            </w:rPr>
                            <m:t>χ</m:t>
                          </m:r>
                          <m:ctrlPr>
                            <w:rPr>
                              <w:rFonts w:ascii="Cambria Math" w:hAnsi="Cambria Math"/>
                              <w:bCs/>
                              <w:i/>
                            </w:rPr>
                          </m:ctrlPr>
                        </m:e>
                        <m:sub>
                          <m:acc>
                            <m:accPr>
                              <m:chr m:val="̅"/>
                              <m:ctrlPr>
                                <w:rPr>
                                  <w:rFonts w:ascii="Cambria Math" w:hAnsi="Cambria Math"/>
                                  <w:bCs/>
                                  <w:i/>
                                </w:rPr>
                              </m:ctrlPr>
                            </m:accPr>
                            <m:e>
                              <m:r>
                                <m:rPr/>
                                <w:rPr>
                                  <w:rFonts w:ascii="Cambria Math" w:hAnsi="Cambria Math"/>
                                </w:rPr>
                                <m:t>b(x∗)</m:t>
                              </m:r>
                              <m:ctrlPr>
                                <w:rPr>
                                  <w:rFonts w:ascii="Cambria Math" w:hAnsi="Cambria Math"/>
                                  <w:bCs/>
                                  <w:i/>
                                </w:rPr>
                              </m:ctrlPr>
                            </m:e>
                          </m:acc>
                          <m:ctrlPr>
                            <w:rPr>
                              <w:rFonts w:ascii="Cambria Math" w:hAnsi="Cambria Math"/>
                              <w:bCs/>
                              <w:i/>
                            </w:rPr>
                          </m:ctrlPr>
                        </m:sub>
                        <m:sup>
                          <m:r>
                            <m:rPr/>
                            <w:rPr>
                              <w:rFonts w:ascii="Cambria Math" w:hAnsi="Cambria Math"/>
                            </w:rPr>
                            <m:t>j</m:t>
                          </m:r>
                          <m:ctrlPr>
                            <w:rPr>
                              <w:rFonts w:ascii="Cambria Math" w:hAnsi="Cambria Math"/>
                              <w:bCs/>
                              <w:i/>
                            </w:rPr>
                          </m:ctrlPr>
                        </m:sup>
                      </m:sSubSup>
                      <m:ctrlPr>
                        <w:rPr>
                          <w:rFonts w:ascii="Cambria Math" w:hAnsi="Cambria Math"/>
                          <w:bCs/>
                        </w:rPr>
                      </m:ctrlPr>
                    </m:lim>
                  </m:limLow>
                  <m:ctrlPr>
                    <w:rPr>
                      <w:rFonts w:ascii="Cambria Math" w:hAnsi="Cambria Math"/>
                      <w:bCs/>
                    </w:rPr>
                  </m:ctrlPr>
                </m:fName>
                <m:e>
                  <m:d>
                    <m:dPr>
                      <m:begChr m:val="|"/>
                      <m:endChr m:val="|"/>
                      <m:ctrlPr>
                        <w:rPr>
                          <w:rFonts w:ascii="Cambria Math" w:hAnsi="Cambria Math"/>
                          <w:bCs/>
                        </w:rPr>
                      </m:ctrlPr>
                    </m:dPr>
                    <m:e>
                      <m:r>
                        <m:rPr/>
                        <w:rPr>
                          <w:rFonts w:ascii="Cambria Math" w:hAnsi="Cambria Math"/>
                        </w:rPr>
                        <m:t>δ∙y'−x</m:t>
                      </m:r>
                      <m:ctrlPr>
                        <w:rPr>
                          <w:rFonts w:ascii="Cambria Math" w:hAnsi="Cambria Math"/>
                          <w:bCs/>
                        </w:rPr>
                      </m:ctrlPr>
                    </m:e>
                  </m:d>
                  <m:ctrlPr>
                    <w:rPr>
                      <w:rFonts w:ascii="Cambria Math" w:hAnsi="Cambria Math"/>
                      <w:bCs/>
                    </w:rPr>
                  </m:ctrlPr>
                </m:e>
              </m:func>
            </m:oMath>
            <w:r>
              <w:rPr>
                <w:rFonts w:hint="eastAsia" w:hAnsi="Cambria Math"/>
              </w:rPr>
              <w:t xml:space="preserve"> </w:t>
            </w:r>
            <w:r>
              <w:rPr>
                <w:rFonts w:hint="eastAsia" w:hAnsi="Cambria Math"/>
                <w:bCs/>
              </w:rPr>
              <w:t>for j = 0</w:t>
            </w:r>
            <w:r>
              <w:rPr>
                <w:rFonts w:hAnsi="Cambria Math"/>
                <w:bCs/>
              </w:rPr>
              <w:t xml:space="preserve"> to</w:t>
            </w:r>
            <w:r>
              <w:rPr>
                <w:rFonts w:hint="eastAsia" w:hAnsi="Cambria Math"/>
                <w:bCs/>
              </w:rPr>
              <w:t xml:space="preserve"> </w:t>
            </w:r>
            <w:r>
              <w:rPr>
                <w:rFonts w:hAnsi="Cambria Math"/>
                <w:bCs/>
                <w:i/>
              </w:rPr>
              <w:t>Q</w:t>
            </w:r>
            <w:r>
              <w:rPr>
                <w:rFonts w:hAnsi="Cambria Math"/>
                <w:bCs/>
                <w:i/>
                <w:vertAlign w:val="subscript"/>
              </w:rPr>
              <w:t>m</w:t>
            </w:r>
            <w:r>
              <w:rPr>
                <w:rFonts w:hAnsi="Cambria Math"/>
                <w:bCs/>
              </w:rPr>
              <w:t xml:space="preserve"> – 1</w:t>
            </w:r>
            <w:r>
              <w:rPr>
                <w:rFonts w:hint="eastAsia" w:hAnsi="Cambria Math"/>
                <w:bCs/>
              </w:rPr>
              <w:t xml:space="preserve">, </w:t>
            </w:r>
            <w:r>
              <w:rPr>
                <w:rFonts w:hAnsi="Cambria Math"/>
                <w:bCs/>
              </w:rPr>
              <w:t>and f</w:t>
            </w:r>
            <w:r>
              <w:rPr>
                <w:rFonts w:hint="eastAsia" w:hAnsi="Cambria Math"/>
                <w:bCs/>
              </w:rPr>
              <w:t>inally,</w:t>
            </w:r>
            <w:r>
              <w:rPr>
                <w:rFonts w:hAnsi="Cambria Math"/>
                <w:bCs/>
              </w:rPr>
              <w:t xml:space="preserve"> calculate</w:t>
            </w:r>
            <w:r>
              <w:rPr>
                <w:rFonts w:hint="eastAsia" w:hAnsi="Cambria Math"/>
                <w:bCs/>
              </w:rPr>
              <w:t xml:space="preserve"> </w:t>
            </w:r>
            <m:oMath>
              <m:sSub>
                <m:sSubPr>
                  <m:ctrlPr>
                    <w:rPr>
                      <w:rFonts w:ascii="Cambria Math" w:hAnsi="Cambria Math"/>
                      <w:bCs/>
                      <w:i/>
                    </w:rPr>
                  </m:ctrlPr>
                </m:sSubPr>
                <m:e>
                  <m:r>
                    <m:rPr/>
                    <w:rPr>
                      <w:rFonts w:ascii="Cambria Math" w:hAnsi="Cambria Math"/>
                    </w:rPr>
                    <m:t>l</m:t>
                  </m:r>
                  <m:ctrlPr>
                    <w:rPr>
                      <w:rFonts w:ascii="Cambria Math" w:hAnsi="Cambria Math"/>
                      <w:bCs/>
                      <w:i/>
                    </w:rPr>
                  </m:ctrlPr>
                </m:e>
                <m:sub>
                  <m:r>
                    <m:rPr/>
                    <w:rPr>
                      <w:rFonts w:ascii="Cambria Math" w:hAnsi="Cambria Math"/>
                    </w:rPr>
                    <m:t>j</m:t>
                  </m:r>
                  <m:ctrlPr>
                    <w:rPr>
                      <w:rFonts w:ascii="Cambria Math" w:hAnsi="Cambria Math"/>
                      <w:bCs/>
                      <w:i/>
                    </w:rPr>
                  </m:ctrlPr>
                </m:sub>
              </m:sSub>
            </m:oMath>
            <w:r>
              <w:rPr>
                <w:rFonts w:hAnsi="Cambria Math"/>
                <w:bCs/>
              </w:rPr>
              <w:t>.</w:t>
            </w:r>
          </w:p>
        </w:tc>
      </w:tr>
    </w:tbl>
    <w:p>
      <w:pPr>
        <w:spacing w:before="120" w:after="120"/>
        <w:rPr>
          <w:bCs/>
          <w:iCs/>
          <w:szCs w:val="21"/>
        </w:rPr>
      </w:pPr>
      <w:r>
        <w:rPr>
          <w:rFonts w:hint="eastAsia"/>
          <w:bCs/>
          <w:iCs/>
          <w:szCs w:val="21"/>
        </w:rPr>
        <w:t xml:space="preserve">and the number of operations for demodulation of one QAM symbol is as follows and summarized in Table </w:t>
      </w:r>
      <w:r>
        <w:rPr>
          <w:bCs/>
          <w:iCs/>
          <w:szCs w:val="21"/>
        </w:rPr>
        <w:t>7</w:t>
      </w:r>
      <w:r>
        <w:rPr>
          <w:rFonts w:hint="eastAsia"/>
          <w:bCs/>
          <w:iCs/>
          <w:szCs w:val="21"/>
        </w:rPr>
        <w:t>.</w:t>
      </w:r>
    </w:p>
    <w:p>
      <w:pPr>
        <w:pStyle w:val="32"/>
        <w:numPr>
          <w:ilvl w:val="0"/>
          <w:numId w:val="25"/>
        </w:numPr>
        <w:spacing w:before="120" w:after="120"/>
        <w:rPr>
          <w:bCs/>
          <w:iCs/>
          <w:sz w:val="21"/>
          <w:szCs w:val="21"/>
        </w:rPr>
      </w:pPr>
      <w:r>
        <w:rPr>
          <w:rFonts w:hint="eastAsia"/>
          <w:bCs/>
          <w:iCs/>
          <w:sz w:val="21"/>
          <w:szCs w:val="21"/>
        </w:rPr>
        <w:t xml:space="preserve">1 division, 2 multiplication and 1 addition for computing </w:t>
      </w:r>
      <m:oMath>
        <m:r>
          <m:rPr/>
          <w:rPr>
            <w:rFonts w:hint="eastAsia" w:ascii="Cambria Math" w:hAnsi="Cambria Math"/>
            <w:sz w:val="21"/>
            <w:szCs w:val="21"/>
          </w:rPr>
          <m:t>y</m:t>
        </m:r>
        <m:r>
          <m:rPr/>
          <w:rPr>
            <w:rFonts w:ascii="Cambria Math" w:hAnsi="Cambria Math"/>
            <w:sz w:val="21"/>
            <w:szCs w:val="21"/>
          </w:rPr>
          <m:t>''</m:t>
        </m:r>
        <m:r>
          <m:rPr/>
          <w:rPr>
            <w:rFonts w:hint="eastAsia" w:ascii="Cambria Math" w:hAnsi="Cambria Math"/>
            <w:sz w:val="21"/>
            <w:szCs w:val="21"/>
          </w:rPr>
          <m:t>=</m:t>
        </m:r>
        <m:r>
          <m:rPr/>
          <w:rPr>
            <w:rFonts w:ascii="Cambria Math" w:hAnsi="Cambria Math"/>
            <w:sz w:val="21"/>
            <w:szCs w:val="21"/>
          </w:rPr>
          <m:t>δ∙</m:t>
        </m:r>
        <m:r>
          <m:rPr/>
          <w:rPr>
            <w:rFonts w:hint="eastAsia" w:ascii="Cambria Math" w:hAnsi="Cambria Math"/>
            <w:sz w:val="21"/>
            <w:szCs w:val="21"/>
          </w:rPr>
          <m:t>y</m:t>
        </m:r>
        <m:r>
          <m:rPr/>
          <w:rPr>
            <w:rFonts w:ascii="Cambria Math" w:hAnsi="Cambria Math"/>
            <w:sz w:val="21"/>
            <w:szCs w:val="21"/>
          </w:rPr>
          <m:t>'∙α</m:t>
        </m:r>
      </m:oMath>
      <w:r>
        <w:rPr>
          <w:rFonts w:hint="eastAsia" w:hAnsi="Cambria Math"/>
          <w:bCs/>
          <w:i/>
          <w:sz w:val="21"/>
          <w:szCs w:val="21"/>
        </w:rPr>
        <w:t xml:space="preserve"> </w:t>
      </w:r>
      <m:oMath>
        <m:r>
          <m:rPr/>
          <w:rPr>
            <w:rFonts w:ascii="Cambria Math" w:hAnsi="Cambria Math"/>
            <w:sz w:val="21"/>
            <w:szCs w:val="21"/>
          </w:rPr>
          <m:t>=</m:t>
        </m:r>
        <m:f>
          <m:fPr>
            <m:ctrlPr>
              <w:rPr>
                <w:rFonts w:ascii="Cambria Math" w:hAnsi="Cambria Math"/>
                <w:bCs/>
                <w:i/>
                <w:sz w:val="21"/>
                <w:szCs w:val="21"/>
              </w:rPr>
            </m:ctrlPr>
          </m:fPr>
          <m:num>
            <m:r>
              <m:rPr/>
              <w:rPr>
                <w:rFonts w:hint="eastAsia" w:ascii="Cambria Math" w:hAnsi="Cambria Math"/>
                <w:sz w:val="21"/>
                <w:szCs w:val="21"/>
              </w:rPr>
              <m:t>y</m:t>
            </m:r>
            <m:r>
              <m:rPr/>
              <w:rPr>
                <w:rFonts w:ascii="Cambria Math" w:hAnsi="Cambria Math"/>
                <w:sz w:val="21"/>
                <w:szCs w:val="21"/>
              </w:rPr>
              <m:t>'∙α</m:t>
            </m:r>
            <m:ctrlPr>
              <w:rPr>
                <w:rFonts w:ascii="Cambria Math" w:hAnsi="Cambria Math"/>
                <w:bCs/>
                <w:i/>
                <w:sz w:val="21"/>
                <w:szCs w:val="21"/>
              </w:rPr>
            </m:ctrlPr>
          </m:num>
          <m:den>
            <m:r>
              <m:rPr/>
              <w:rPr>
                <w:rFonts w:ascii="Cambria Math" w:hAnsi="Cambria Math"/>
                <w:sz w:val="21"/>
                <w:szCs w:val="21"/>
              </w:rPr>
              <m:t>v∙</m:t>
            </m:r>
            <m:sSub>
              <m:sSubPr>
                <m:ctrlPr>
                  <w:rPr>
                    <w:rFonts w:ascii="Cambria Math" w:hAnsi="Cambria Math"/>
                    <w:bCs/>
                    <w:i/>
                    <w:sz w:val="21"/>
                    <w:szCs w:val="21"/>
                  </w:rPr>
                </m:ctrlPr>
              </m:sSubPr>
              <m:e>
                <m:r>
                  <m:rPr/>
                  <w:rPr>
                    <w:rFonts w:ascii="Cambria Math" w:hAnsi="Cambria Math"/>
                    <w:sz w:val="21"/>
                    <w:szCs w:val="21"/>
                  </w:rPr>
                  <m:t>N</m:t>
                </m:r>
                <m:ctrlPr>
                  <w:rPr>
                    <w:rFonts w:ascii="Cambria Math" w:hAnsi="Cambria Math"/>
                    <w:bCs/>
                    <w:i/>
                    <w:sz w:val="21"/>
                    <w:szCs w:val="21"/>
                  </w:rPr>
                </m:ctrlPr>
              </m:e>
              <m:sub>
                <m:r>
                  <m:rPr/>
                  <w:rPr>
                    <w:rFonts w:ascii="Cambria Math" w:hAnsi="Cambria Math"/>
                    <w:sz w:val="21"/>
                    <w:szCs w:val="21"/>
                  </w:rPr>
                  <m:t>0</m:t>
                </m:r>
                <m:ctrlPr>
                  <w:rPr>
                    <w:rFonts w:ascii="Cambria Math" w:hAnsi="Cambria Math"/>
                    <w:bCs/>
                    <w:i/>
                    <w:sz w:val="21"/>
                    <w:szCs w:val="21"/>
                  </w:rPr>
                </m:ctrlPr>
              </m:sub>
            </m:sSub>
            <m:r>
              <m:rPr/>
              <w:rPr>
                <w:rFonts w:ascii="Cambria Math" w:hAnsi="Cambria Math"/>
                <w:sz w:val="21"/>
                <w:szCs w:val="21"/>
              </w:rPr>
              <m:t>+1</m:t>
            </m:r>
            <m:ctrlPr>
              <w:rPr>
                <w:rFonts w:ascii="Cambria Math" w:hAnsi="Cambria Math"/>
                <w:bCs/>
                <w:i/>
                <w:sz w:val="21"/>
                <w:szCs w:val="21"/>
              </w:rPr>
            </m:ctrlPr>
          </m:den>
        </m:f>
      </m:oMath>
      <w:r>
        <w:rPr>
          <w:rFonts w:hint="eastAsia" w:hAnsi="Cambria Math"/>
          <w:bCs/>
          <w:sz w:val="21"/>
          <w:szCs w:val="21"/>
        </w:rPr>
        <w:t>.</w:t>
      </w:r>
    </w:p>
    <w:p>
      <w:pPr>
        <w:pStyle w:val="32"/>
        <w:numPr>
          <w:ilvl w:val="0"/>
          <w:numId w:val="25"/>
        </w:numPr>
        <w:spacing w:before="120" w:after="120"/>
        <w:rPr>
          <w:bCs/>
          <w:iCs/>
          <w:sz w:val="21"/>
          <w:szCs w:val="21"/>
        </w:rPr>
      </w:pPr>
      <w:r>
        <w:rPr>
          <w:rFonts w:hint="eastAsia" w:hAnsi="Cambria Math"/>
          <w:bCs/>
          <w:sz w:val="21"/>
          <w:szCs w:val="21"/>
        </w:rPr>
        <w:t>1 addition and 1 subtraction for (1), where</w:t>
      </w:r>
      <w:r>
        <w:rPr>
          <w:rFonts w:hAnsi="Cambria Math"/>
          <w:bCs/>
          <w:sz w:val="21"/>
          <w:szCs w:val="21"/>
        </w:rPr>
        <w:t xml:space="preserve"> multiplication of 2, </w:t>
      </w:r>
      <w:r>
        <w:rPr>
          <w:rFonts w:hint="eastAsia" w:hAnsi="Cambria Math"/>
          <w:bCs/>
          <w:sz w:val="21"/>
          <w:szCs w:val="21"/>
        </w:rPr>
        <w:t>divided by 2 and rounding include only bit operations and are omitted.</w:t>
      </w:r>
    </w:p>
    <w:p>
      <w:pPr>
        <w:pStyle w:val="32"/>
        <w:numPr>
          <w:ilvl w:val="0"/>
          <w:numId w:val="25"/>
        </w:numPr>
        <w:spacing w:before="120" w:after="120"/>
        <w:rPr>
          <w:bCs/>
          <w:iCs/>
          <w:sz w:val="21"/>
          <w:szCs w:val="21"/>
        </w:rPr>
      </w:pPr>
      <w:r>
        <w:rPr>
          <w:rFonts w:hint="eastAsia" w:hAnsi="Cambria Math"/>
          <w:bCs/>
          <w:sz w:val="21"/>
          <w:szCs w:val="21"/>
        </w:rPr>
        <w:t>1 subtraction for (2), where |.| includes only bit operations and is omitted.</w:t>
      </w:r>
    </w:p>
    <w:p>
      <w:pPr>
        <w:pStyle w:val="32"/>
        <w:numPr>
          <w:ilvl w:val="0"/>
          <w:numId w:val="25"/>
        </w:numPr>
        <w:spacing w:before="120" w:after="120"/>
        <w:rPr>
          <w:bCs/>
          <w:iCs/>
          <w:sz w:val="21"/>
          <w:szCs w:val="21"/>
        </w:rPr>
      </w:pPr>
      <w:r>
        <w:rPr>
          <w:rFonts w:hint="eastAsia" w:hAnsi="Cambria Math"/>
          <w:bCs/>
          <w:iCs/>
          <w:sz w:val="21"/>
          <w:szCs w:val="21"/>
        </w:rPr>
        <w:t>Q</w:t>
      </w:r>
      <w:r>
        <w:rPr>
          <w:rFonts w:hint="eastAsia" w:hAnsi="Cambria Math"/>
          <w:bCs/>
          <w:sz w:val="21"/>
          <w:szCs w:val="21"/>
          <w:vertAlign w:val="subscript"/>
        </w:rPr>
        <w:t>m</w:t>
      </w:r>
      <w:r>
        <w:rPr>
          <w:rFonts w:hint="eastAsia" w:hAnsi="Cambria Math"/>
          <w:bCs/>
          <w:sz w:val="21"/>
          <w:szCs w:val="21"/>
        </w:rPr>
        <w:t xml:space="preserve"> additions for (3)</w:t>
      </w:r>
      <w:r>
        <w:rPr>
          <w:rFonts w:hint="eastAsia" w:hAnsi="Cambria Math"/>
          <w:sz w:val="21"/>
          <w:szCs w:val="21"/>
        </w:rPr>
        <w:t xml:space="preserve"> </w:t>
      </w:r>
      <w:r>
        <w:rPr>
          <w:rFonts w:hint="eastAsia" w:hAnsi="Cambria Math"/>
          <w:bCs/>
          <w:sz w:val="21"/>
          <w:szCs w:val="21"/>
        </w:rPr>
        <w:t xml:space="preserve">for j = 0 to </w:t>
      </w:r>
      <w:r>
        <w:rPr>
          <w:rFonts w:hint="eastAsia" w:hAnsi="Cambria Math"/>
          <w:bCs/>
          <w:iCs/>
          <w:sz w:val="21"/>
          <w:szCs w:val="21"/>
        </w:rPr>
        <w:t>Q</w:t>
      </w:r>
      <w:r>
        <w:rPr>
          <w:rFonts w:hint="eastAsia" w:hAnsi="Cambria Math"/>
          <w:bCs/>
          <w:sz w:val="21"/>
          <w:szCs w:val="21"/>
          <w:vertAlign w:val="subscript"/>
        </w:rPr>
        <w:t>m</w:t>
      </w:r>
      <w:r>
        <w:rPr>
          <w:rFonts w:hint="eastAsia" w:hAnsi="Cambria Math"/>
          <w:bCs/>
          <w:sz w:val="21"/>
          <w:szCs w:val="21"/>
        </w:rPr>
        <w:t xml:space="preserve">-1, where |.|, sign(.), determining </w:t>
      </w:r>
      <m:oMath>
        <m:acc>
          <m:accPr>
            <m:chr m:val="̅"/>
            <m:ctrlPr>
              <w:rPr>
                <w:rFonts w:ascii="Cambria Math" w:hAnsi="Cambria Math"/>
                <w:bCs/>
                <w:i/>
                <w:sz w:val="21"/>
                <w:szCs w:val="21"/>
              </w:rPr>
            </m:ctrlPr>
          </m:accPr>
          <m:e>
            <m:sSup>
              <m:sSupPr>
                <m:ctrlPr>
                  <w:rPr>
                    <w:rFonts w:ascii="Cambria Math" w:hAnsi="Cambria Math"/>
                    <w:bCs/>
                    <w:i/>
                    <w:sz w:val="21"/>
                    <w:szCs w:val="21"/>
                  </w:rPr>
                </m:ctrlPr>
              </m:sSupPr>
              <m:e>
                <m:r>
                  <m:rPr/>
                  <w:rPr>
                    <w:rFonts w:ascii="Cambria Math" w:hAnsi="Cambria Math"/>
                    <w:sz w:val="21"/>
                    <w:szCs w:val="21"/>
                  </w:rPr>
                  <m:t>x</m:t>
                </m:r>
                <m:ctrlPr>
                  <w:rPr>
                    <w:rFonts w:ascii="Cambria Math" w:hAnsi="Cambria Math"/>
                    <w:bCs/>
                    <w:i/>
                    <w:sz w:val="21"/>
                    <w:szCs w:val="21"/>
                  </w:rPr>
                </m:ctrlPr>
              </m:e>
              <m:sup>
                <m:r>
                  <m:rPr/>
                  <w:rPr>
                    <w:rFonts w:ascii="Cambria Math" w:hAnsi="Cambria Math"/>
                    <w:sz w:val="21"/>
                    <w:szCs w:val="21"/>
                  </w:rPr>
                  <m:t>∗</m:t>
                </m:r>
                <m:ctrlPr>
                  <w:rPr>
                    <w:rFonts w:ascii="Cambria Math" w:hAnsi="Cambria Math"/>
                    <w:bCs/>
                    <w:i/>
                    <w:sz w:val="21"/>
                    <w:szCs w:val="21"/>
                  </w:rPr>
                </m:ctrlPr>
              </m:sup>
            </m:sSup>
            <m:ctrlPr>
              <w:rPr>
                <w:rFonts w:ascii="Cambria Math" w:hAnsi="Cambria Math"/>
                <w:bCs/>
                <w:i/>
                <w:sz w:val="21"/>
                <w:szCs w:val="21"/>
              </w:rPr>
            </m:ctrlPr>
          </m:e>
        </m:acc>
      </m:oMath>
      <w:r>
        <w:rPr>
          <w:rFonts w:hint="eastAsia" w:hAnsi="Cambria Math"/>
          <w:sz w:val="21"/>
          <w:szCs w:val="21"/>
        </w:rPr>
        <w:t xml:space="preserve"> </w:t>
      </w:r>
      <w:r>
        <w:rPr>
          <w:rFonts w:hint="eastAsia" w:hAnsi="Cambria Math"/>
          <w:bCs/>
          <w:sz w:val="21"/>
          <w:szCs w:val="21"/>
        </w:rPr>
        <w:t>include only bit operations and table-look-up and are omitted.</w:t>
      </w:r>
    </w:p>
    <w:p>
      <w:pPr>
        <w:pStyle w:val="32"/>
        <w:numPr>
          <w:ilvl w:val="0"/>
          <w:numId w:val="25"/>
        </w:numPr>
        <w:spacing w:before="120" w:after="120"/>
        <w:rPr>
          <w:bCs/>
          <w:iCs/>
          <w:sz w:val="21"/>
          <w:szCs w:val="21"/>
        </w:rPr>
      </w:pPr>
      <w:r>
        <w:rPr>
          <w:rFonts w:hint="eastAsia" w:hAnsi="Cambria Math"/>
          <w:bCs/>
          <w:iCs/>
          <w:sz w:val="21"/>
          <w:szCs w:val="21"/>
        </w:rPr>
        <w:t>Q</w:t>
      </w:r>
      <w:r>
        <w:rPr>
          <w:rFonts w:hint="eastAsia" w:hAnsi="Cambria Math"/>
          <w:bCs/>
          <w:sz w:val="21"/>
          <w:szCs w:val="21"/>
          <w:vertAlign w:val="subscript"/>
        </w:rPr>
        <w:t>m</w:t>
      </w:r>
      <w:r>
        <w:rPr>
          <w:rFonts w:hint="eastAsia" w:hAnsi="Cambria Math"/>
          <w:bCs/>
          <w:sz w:val="21"/>
          <w:szCs w:val="21"/>
        </w:rPr>
        <w:t xml:space="preserve"> additions, </w:t>
      </w:r>
      <w:r>
        <w:rPr>
          <w:rFonts w:hint="eastAsia" w:hAnsi="Cambria Math"/>
          <w:bCs/>
          <w:iCs/>
          <w:sz w:val="21"/>
          <w:szCs w:val="21"/>
        </w:rPr>
        <w:t>Q</w:t>
      </w:r>
      <w:r>
        <w:rPr>
          <w:rFonts w:hint="eastAsia" w:hAnsi="Cambria Math"/>
          <w:bCs/>
          <w:sz w:val="21"/>
          <w:szCs w:val="21"/>
          <w:vertAlign w:val="subscript"/>
        </w:rPr>
        <w:t>m</w:t>
      </w:r>
      <w:r>
        <w:rPr>
          <w:rFonts w:hint="eastAsia" w:hAnsi="Cambria Math"/>
          <w:bCs/>
          <w:sz w:val="21"/>
          <w:szCs w:val="21"/>
        </w:rPr>
        <w:t xml:space="preserve"> subtractions, 2</w:t>
      </w:r>
      <w:r>
        <w:rPr>
          <w:rFonts w:hint="eastAsia" w:hAnsi="Cambria Math"/>
          <w:bCs/>
          <w:iCs/>
          <w:sz w:val="21"/>
          <w:szCs w:val="21"/>
        </w:rPr>
        <w:t>Q</w:t>
      </w:r>
      <w:r>
        <w:rPr>
          <w:rFonts w:hint="eastAsia" w:hAnsi="Cambria Math"/>
          <w:bCs/>
          <w:sz w:val="21"/>
          <w:szCs w:val="21"/>
          <w:vertAlign w:val="subscript"/>
        </w:rPr>
        <w:t>m</w:t>
      </w:r>
      <w:r>
        <w:rPr>
          <w:rFonts w:hAnsi="Cambria Math"/>
          <w:bCs/>
          <w:sz w:val="21"/>
          <w:szCs w:val="21"/>
        </w:rPr>
        <w:t>+1</w:t>
      </w:r>
      <w:r>
        <w:rPr>
          <w:rFonts w:hint="eastAsia" w:hAnsi="Cambria Math"/>
          <w:bCs/>
          <w:sz w:val="21"/>
          <w:szCs w:val="21"/>
          <w:vertAlign w:val="subscript"/>
        </w:rPr>
        <w:t xml:space="preserve"> </w:t>
      </w:r>
      <w:r>
        <w:rPr>
          <w:rFonts w:hint="eastAsia"/>
          <w:bCs/>
          <w:iCs/>
          <w:sz w:val="21"/>
          <w:szCs w:val="21"/>
        </w:rPr>
        <w:t>multiplications</w:t>
      </w:r>
      <w:r>
        <w:rPr>
          <w:bCs/>
          <w:iCs/>
          <w:sz w:val="21"/>
          <w:szCs w:val="21"/>
        </w:rPr>
        <w:t xml:space="preserve">, and </w:t>
      </w:r>
      <w:r>
        <w:rPr>
          <w:rFonts w:hint="eastAsia"/>
          <w:bCs/>
          <w:iCs/>
          <w:sz w:val="21"/>
          <w:szCs w:val="21"/>
        </w:rPr>
        <w:t xml:space="preserve">1 division </w:t>
      </w:r>
      <w:r>
        <w:rPr>
          <w:rFonts w:hint="eastAsia" w:hAnsi="Cambria Math"/>
          <w:sz w:val="21"/>
          <w:szCs w:val="21"/>
        </w:rPr>
        <w:t xml:space="preserve">for </w:t>
      </w:r>
      <w:r>
        <w:rPr>
          <w:rFonts w:hint="eastAsia"/>
          <w:bCs/>
          <w:iCs/>
          <w:sz w:val="21"/>
          <w:szCs w:val="21"/>
        </w:rPr>
        <w:t xml:space="preserve">computing </w:t>
      </w:r>
      <m:oMath>
        <m:sSub>
          <m:sSubPr>
            <m:ctrlPr>
              <w:rPr>
                <w:rFonts w:ascii="Cambria Math" w:hAnsi="Cambria Math"/>
                <w:bCs/>
                <w:i/>
                <w:sz w:val="21"/>
                <w:szCs w:val="21"/>
              </w:rPr>
            </m:ctrlPr>
          </m:sSubPr>
          <m:e>
            <m:r>
              <m:rPr/>
              <w:rPr>
                <w:rFonts w:ascii="Cambria Math" w:hAnsi="Cambria Math"/>
                <w:sz w:val="21"/>
                <w:szCs w:val="21"/>
              </w:rPr>
              <m:t>l</m:t>
            </m:r>
            <m:ctrlPr>
              <w:rPr>
                <w:rFonts w:ascii="Cambria Math" w:hAnsi="Cambria Math"/>
                <w:bCs/>
                <w:i/>
                <w:sz w:val="21"/>
                <w:szCs w:val="21"/>
              </w:rPr>
            </m:ctrlPr>
          </m:e>
          <m:sub>
            <m:r>
              <m:rPr/>
              <w:rPr>
                <w:rFonts w:ascii="Cambria Math" w:hAnsi="Cambria Math"/>
                <w:sz w:val="21"/>
                <w:szCs w:val="21"/>
              </w:rPr>
              <m:t>j</m:t>
            </m:r>
            <m:ctrlPr>
              <w:rPr>
                <w:rFonts w:ascii="Cambria Math" w:hAnsi="Cambria Math"/>
                <w:bCs/>
                <w:i/>
                <w:sz w:val="21"/>
                <w:szCs w:val="21"/>
              </w:rPr>
            </m:ctrlPr>
          </m:sub>
        </m:sSub>
      </m:oMath>
      <w:r>
        <w:rPr>
          <w:rFonts w:hint="eastAsia" w:hAnsi="Cambria Math"/>
          <w:bCs/>
          <w:sz w:val="21"/>
          <w:szCs w:val="21"/>
        </w:rPr>
        <w:t>.</w:t>
      </w:r>
    </w:p>
    <w:p>
      <w:pPr>
        <w:spacing w:before="120" w:after="120"/>
        <w:rPr>
          <w:bCs/>
          <w:iCs/>
          <w:szCs w:val="21"/>
        </w:rPr>
      </w:pPr>
      <w:r>
        <w:rPr>
          <w:rFonts w:hint="eastAsia" w:hAnsi="Cambria Math"/>
          <w:bCs/>
          <w:szCs w:val="21"/>
        </w:rPr>
        <w:t xml:space="preserve">For legacy QAM, </w:t>
      </w:r>
      <m:oMath>
        <m:r>
          <m:rPr/>
          <w:rPr>
            <w:rFonts w:ascii="Cambria Math" w:hAnsi="Cambria Math"/>
          </w:rPr>
          <m:t>δ</m:t>
        </m:r>
        <m:r>
          <m:rPr>
            <m:sty m:val="p"/>
          </m:rPr>
          <w:rPr>
            <w:rFonts w:ascii="Cambria Math" w:hAnsi="Cambria Math"/>
          </w:rPr>
          <m:t>=1</m:t>
        </m:r>
      </m:oMath>
      <w:r>
        <w:rPr>
          <w:rFonts w:hint="eastAsia" w:hAnsi="Cambria Math"/>
          <w:bCs/>
        </w:rPr>
        <w:t>,</w:t>
      </w:r>
      <w:r>
        <w:rPr>
          <w:rFonts w:hint="eastAsia" w:hAnsi="Cambria Math"/>
        </w:rPr>
        <w:t xml:space="preserve"> </w:t>
      </w:r>
      <w:r>
        <w:rPr>
          <w:rFonts w:hint="eastAsia" w:hAnsi="Cambria Math"/>
          <w:bCs/>
        </w:rPr>
        <w:t xml:space="preserve">resulting in 1 division, 2 multiplication and 1 addition reduction, </w:t>
      </w:r>
      <w:r>
        <w:rPr>
          <w:rFonts w:hint="eastAsia"/>
          <w:bCs/>
          <w:iCs/>
          <w:szCs w:val="21"/>
        </w:rPr>
        <w:t xml:space="preserve">Table </w:t>
      </w:r>
      <w:r>
        <w:rPr>
          <w:bCs/>
          <w:iCs/>
          <w:szCs w:val="21"/>
        </w:rPr>
        <w:t>7</w:t>
      </w:r>
      <w:r>
        <w:rPr>
          <w:rFonts w:hint="eastAsia"/>
          <w:bCs/>
          <w:iCs/>
          <w:szCs w:val="21"/>
        </w:rPr>
        <w:t xml:space="preserve"> also summarizes the computation comple</w:t>
      </w:r>
      <w:r>
        <w:rPr>
          <w:bCs/>
          <w:iCs/>
          <w:szCs w:val="21"/>
        </w:rPr>
        <w:t>xi</w:t>
      </w:r>
      <w:r>
        <w:rPr>
          <w:rFonts w:hint="eastAsia"/>
          <w:bCs/>
          <w:iCs/>
          <w:szCs w:val="21"/>
        </w:rPr>
        <w:t>ty of legacy QAM demodulation.</w:t>
      </w:r>
    </w:p>
    <w:p>
      <w:pPr>
        <w:spacing w:before="120" w:after="120"/>
        <w:jc w:val="center"/>
        <w:rPr>
          <w:bCs/>
          <w:iCs/>
          <w:szCs w:val="21"/>
        </w:rPr>
      </w:pPr>
      <w:r>
        <w:rPr>
          <w:rFonts w:hint="eastAsia"/>
          <w:bCs/>
          <w:iCs/>
          <w:szCs w:val="21"/>
        </w:rPr>
        <w:t>T</w:t>
      </w:r>
      <w:r>
        <w:rPr>
          <w:bCs/>
          <w:iCs/>
          <w:szCs w:val="21"/>
        </w:rPr>
        <w:t>able 7: Number of operations for QAM demodulation and PAS demodulation</w:t>
      </w:r>
    </w:p>
    <w:tbl>
      <w:tblPr>
        <w:tblStyle w:val="17"/>
        <w:tblW w:w="0" w:type="auto"/>
        <w:tblInd w:w="3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77"/>
        <w:gridCol w:w="1417"/>
        <w:gridCol w:w="1559"/>
        <w:gridCol w:w="3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877" w:type="dxa"/>
            <w:shd w:val="clear" w:color="auto" w:fill="BEBEBE" w:themeFill="background1" w:themeFillShade="BF"/>
            <w:vAlign w:val="center"/>
          </w:tcPr>
          <w:p>
            <w:pPr>
              <w:spacing w:beforeLines="0" w:after="0" w:afterLines="0" w:line="240" w:lineRule="auto"/>
              <w:jc w:val="center"/>
              <w:rPr>
                <w:b/>
              </w:rPr>
            </w:pPr>
            <w:r>
              <w:rPr>
                <w:b/>
              </w:rPr>
              <w:t>M</w:t>
            </w:r>
            <w:r>
              <w:rPr>
                <w:rFonts w:hint="eastAsia"/>
                <w:b/>
              </w:rPr>
              <w:t>odule</w:t>
            </w:r>
          </w:p>
        </w:tc>
        <w:tc>
          <w:tcPr>
            <w:tcW w:w="1417" w:type="dxa"/>
            <w:shd w:val="clear" w:color="auto" w:fill="BEBEBE" w:themeFill="background1" w:themeFillShade="BF"/>
            <w:vAlign w:val="center"/>
          </w:tcPr>
          <w:p>
            <w:pPr>
              <w:spacing w:beforeLines="0" w:after="0" w:afterLines="0" w:line="240" w:lineRule="auto"/>
              <w:jc w:val="center"/>
              <w:rPr>
                <w:b/>
              </w:rPr>
            </w:pPr>
            <w:r>
              <w:rPr>
                <w:b/>
              </w:rPr>
              <w:t>Division</w:t>
            </w:r>
          </w:p>
        </w:tc>
        <w:tc>
          <w:tcPr>
            <w:tcW w:w="1559" w:type="dxa"/>
            <w:shd w:val="clear" w:color="auto" w:fill="BEBEBE" w:themeFill="background1" w:themeFillShade="BF"/>
            <w:vAlign w:val="center"/>
          </w:tcPr>
          <w:p>
            <w:pPr>
              <w:spacing w:beforeLines="0" w:after="0" w:afterLines="0" w:line="240" w:lineRule="auto"/>
              <w:jc w:val="center"/>
              <w:rPr>
                <w:b/>
              </w:rPr>
            </w:pPr>
            <w:r>
              <w:rPr>
                <w:b/>
              </w:rPr>
              <w:t>Multiplication</w:t>
            </w:r>
          </w:p>
        </w:tc>
        <w:tc>
          <w:tcPr>
            <w:tcW w:w="3083" w:type="dxa"/>
            <w:shd w:val="clear" w:color="auto" w:fill="BEBEBE" w:themeFill="background1" w:themeFillShade="BF"/>
            <w:vAlign w:val="center"/>
          </w:tcPr>
          <w:p>
            <w:pPr>
              <w:spacing w:beforeLines="0" w:after="0" w:afterLines="0" w:line="240" w:lineRule="auto"/>
              <w:jc w:val="center"/>
              <w:rPr>
                <w:b/>
              </w:rPr>
            </w:pPr>
            <w:r>
              <w:rPr>
                <w:b/>
                <w:iCs/>
              </w:rPr>
              <w:t>Addition, subtraction and comparison in total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877" w:type="dxa"/>
            <w:vAlign w:val="center"/>
          </w:tcPr>
          <w:p>
            <w:pPr>
              <w:spacing w:beforeLines="0" w:after="0" w:afterLines="0" w:line="240" w:lineRule="auto"/>
              <w:jc w:val="center"/>
            </w:pPr>
            <w:r>
              <w:t>L</w:t>
            </w:r>
            <w:r>
              <w:rPr>
                <w:rFonts w:hint="eastAsia"/>
              </w:rPr>
              <w:t>egacy QAM demodulation for 1 symbol</w:t>
            </w:r>
          </w:p>
        </w:tc>
        <w:tc>
          <w:tcPr>
            <w:tcW w:w="1417" w:type="dxa"/>
            <w:vAlign w:val="center"/>
          </w:tcPr>
          <w:p>
            <w:pPr>
              <w:spacing w:beforeLines="0" w:after="0" w:afterLines="0" w:line="240" w:lineRule="auto"/>
              <w:jc w:val="center"/>
            </w:pPr>
            <w:r>
              <w:rPr>
                <w:rFonts w:hint="eastAsia"/>
              </w:rPr>
              <w:t>1</w:t>
            </w:r>
          </w:p>
        </w:tc>
        <w:tc>
          <w:tcPr>
            <w:tcW w:w="1559" w:type="dxa"/>
            <w:vAlign w:val="center"/>
          </w:tcPr>
          <w:p>
            <w:pPr>
              <w:spacing w:beforeLines="0" w:after="0" w:afterLines="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ctrlPr>
                      <w:rPr>
                        <w:rFonts w:ascii="Cambria Math" w:hAnsi="Cambria Math"/>
                        <w:iCs/>
                      </w:rPr>
                    </m:ctrlPr>
                  </m:e>
                  <m:sub>
                    <m:r>
                      <m:rPr>
                        <m:sty m:val="p"/>
                      </m:rPr>
                      <w:rPr>
                        <w:rFonts w:ascii="Cambria Math" w:hAnsi="Cambria Math"/>
                      </w:rPr>
                      <m:t>m</m:t>
                    </m:r>
                    <m:ctrlPr>
                      <w:rPr>
                        <w:rFonts w:ascii="Cambria Math" w:hAnsi="Cambria Math"/>
                        <w:iCs/>
                      </w:rPr>
                    </m:ctrlPr>
                  </m:sub>
                </m:sSub>
                <m:r>
                  <m:rPr>
                    <m:sty m:val="p"/>
                  </m:rPr>
                  <w:rPr>
                    <w:rFonts w:ascii="Cambria Math" w:hAnsi="Cambria Math"/>
                  </w:rPr>
                  <m:t>+1</m:t>
                </m:r>
              </m:oMath>
            </m:oMathPara>
          </w:p>
        </w:tc>
        <w:tc>
          <w:tcPr>
            <w:tcW w:w="3083" w:type="dxa"/>
            <w:vAlign w:val="center"/>
          </w:tcPr>
          <w:p>
            <w:pPr>
              <w:spacing w:beforeLines="0" w:after="0" w:afterLines="0" w:line="240" w:lineRule="auto"/>
              <w:jc w:val="center"/>
              <w:rPr>
                <w:iCs/>
              </w:rPr>
            </w:pPr>
            <w:r>
              <w:rPr>
                <w:rFonts w:hint="eastAsia" w:hAnsi="Cambria Math"/>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ctrlPr>
                        <w:rPr>
                          <w:rFonts w:ascii="Cambria Math" w:hAnsi="Cambria Math"/>
                          <w:iCs/>
                        </w:rPr>
                      </m:ctrlPr>
                    </m:e>
                    <m:sub>
                      <m:r>
                        <m:rPr>
                          <m:sty m:val="p"/>
                        </m:rPr>
                        <w:rPr>
                          <w:rFonts w:ascii="Cambria Math" w:hAnsi="Cambria Math"/>
                        </w:rPr>
                        <m:t>m</m:t>
                      </m:r>
                      <m:ctrlPr>
                        <w:rPr>
                          <w:rFonts w:ascii="Cambria Math" w:hAnsi="Cambria Math"/>
                          <w:iCs/>
                        </w:rPr>
                      </m:ctrlPr>
                    </m:sub>
                  </m:sSub>
                  <m:r>
                    <m:rPr>
                      <m:sty m:val="p"/>
                    </m:rPr>
                    <w:rPr>
                      <w:rFonts w:ascii="Cambria Math" w:hAnsi="Cambria Math"/>
                      <w:kern w:val="0"/>
                      <w:szCs w:val="21"/>
                    </w:rPr>
                    <m:t>+1</m:t>
                  </m:r>
                  <m:ctrlPr>
                    <w:rPr>
                      <w:rFonts w:ascii="Cambria Math" w:hAnsi="Cambria Math"/>
                      <w:kern w:val="0"/>
                      <w:szCs w:val="21"/>
                    </w:rPr>
                  </m:ctrlPr>
                </m:e>
              </m:d>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2877" w:type="dxa"/>
            <w:vAlign w:val="center"/>
          </w:tcPr>
          <w:p>
            <w:pPr>
              <w:spacing w:beforeLines="0" w:after="0" w:afterLines="0" w:line="240" w:lineRule="auto"/>
              <w:jc w:val="center"/>
            </w:pPr>
            <w:r>
              <w:rPr>
                <w:rFonts w:hint="eastAsia" w:hAnsi="Cambria Math"/>
                <w:iCs/>
                <w:szCs w:val="21"/>
              </w:rPr>
              <w:t>PAS QAM demodulation for 1 symbol</w:t>
            </w:r>
          </w:p>
        </w:tc>
        <w:tc>
          <w:tcPr>
            <w:tcW w:w="1417" w:type="dxa"/>
            <w:vAlign w:val="center"/>
          </w:tcPr>
          <w:p>
            <w:pPr>
              <w:spacing w:beforeLines="0" w:after="0" w:afterLines="0" w:line="240" w:lineRule="auto"/>
              <w:jc w:val="center"/>
            </w:pPr>
            <w:r>
              <w:rPr>
                <w:rFonts w:hint="eastAsia"/>
                <w:iCs/>
              </w:rPr>
              <w:t>2</w:t>
            </w:r>
          </w:p>
        </w:tc>
        <w:tc>
          <w:tcPr>
            <w:tcW w:w="1559" w:type="dxa"/>
            <w:vAlign w:val="center"/>
          </w:tcPr>
          <w:p>
            <w:pPr>
              <w:spacing w:beforeLines="0" w:after="0" w:afterLines="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ctrlPr>
                      <w:rPr>
                        <w:rFonts w:ascii="Cambria Math" w:hAnsi="Cambria Math"/>
                        <w:iCs/>
                      </w:rPr>
                    </m:ctrlPr>
                  </m:e>
                  <m:sub>
                    <m:r>
                      <m:rPr>
                        <m:sty m:val="p"/>
                      </m:rPr>
                      <w:rPr>
                        <w:rFonts w:ascii="Cambria Math" w:hAnsi="Cambria Math"/>
                      </w:rPr>
                      <m:t>m</m:t>
                    </m:r>
                    <m:ctrlPr>
                      <w:rPr>
                        <w:rFonts w:ascii="Cambria Math" w:hAnsi="Cambria Math"/>
                        <w:iCs/>
                      </w:rPr>
                    </m:ctrlPr>
                  </m:sub>
                </m:sSub>
                <m:r>
                  <m:rPr>
                    <m:sty m:val="p"/>
                  </m:rPr>
                  <w:rPr>
                    <w:rFonts w:ascii="Cambria Math" w:hAnsi="Cambria Math"/>
                  </w:rPr>
                  <m:t>+3</m:t>
                </m:r>
              </m:oMath>
            </m:oMathPara>
          </w:p>
        </w:tc>
        <w:tc>
          <w:tcPr>
            <w:tcW w:w="3083" w:type="dxa"/>
            <w:vAlign w:val="center"/>
          </w:tcPr>
          <w:p>
            <w:pPr>
              <w:spacing w:beforeLines="0" w:after="0" w:afterLines="0" w:line="240" w:lineRule="auto"/>
              <w:jc w:val="center"/>
              <w:rPr>
                <w:rFonts w:hAnsi="Cambria Math"/>
                <w:kern w:val="0"/>
                <w:szCs w:val="21"/>
              </w:rPr>
            </w:pPr>
            <m:oMathPara>
              <m:oMath>
                <m:r>
                  <m:rPr>
                    <m:sty m:val="p"/>
                  </m:rPr>
                  <w:rPr>
                    <w:rFonts w:ascii="Cambria Math" w:hAnsi="Cambria Math"/>
                  </w:rPr>
                  <m:t>3∙</m:t>
                </m:r>
                <m:sSub>
                  <m:sSubPr>
                    <m:ctrlPr>
                      <w:rPr>
                        <w:rFonts w:ascii="Cambria Math" w:hAnsi="Cambria Math"/>
                        <w:iCs/>
                      </w:rPr>
                    </m:ctrlPr>
                  </m:sSubPr>
                  <m:e>
                    <m:r>
                      <m:rPr>
                        <m:sty m:val="p"/>
                      </m:rPr>
                      <w:rPr>
                        <w:rFonts w:ascii="Cambria Math" w:hAnsi="Cambria Math"/>
                      </w:rPr>
                      <m:t>Q</m:t>
                    </m:r>
                    <m:ctrlPr>
                      <w:rPr>
                        <w:rFonts w:ascii="Cambria Math" w:hAnsi="Cambria Math"/>
                        <w:iCs/>
                      </w:rPr>
                    </m:ctrlPr>
                  </m:e>
                  <m:sub>
                    <m:r>
                      <m:rPr>
                        <m:sty m:val="p"/>
                      </m:rPr>
                      <w:rPr>
                        <w:rFonts w:ascii="Cambria Math" w:hAnsi="Cambria Math"/>
                      </w:rPr>
                      <m:t>m</m:t>
                    </m:r>
                    <m:ctrlPr>
                      <w:rPr>
                        <w:rFonts w:ascii="Cambria Math" w:hAnsi="Cambria Math"/>
                        <w:iCs/>
                      </w:rPr>
                    </m:ctrlPr>
                  </m:sub>
                </m:sSub>
                <m:r>
                  <m:rPr>
                    <m:sty m:val="p"/>
                  </m:rPr>
                  <w:rPr>
                    <w:rFonts w:ascii="Cambria Math" w:hAnsi="Cambria Math"/>
                  </w:rPr>
                  <m:t>+4</m:t>
                </m:r>
              </m:oMath>
            </m:oMathPara>
          </w:p>
        </w:tc>
      </w:tr>
    </w:tbl>
    <w:p>
      <w:pPr>
        <w:spacing w:before="120" w:after="120"/>
        <w:rPr>
          <w:u w:val="single"/>
        </w:rPr>
      </w:pPr>
      <w:r>
        <w:rPr>
          <w:u w:val="single"/>
        </w:rPr>
        <w:t>Channel decoding complexity</w:t>
      </w:r>
    </w:p>
    <w:p>
      <w:pPr>
        <w:spacing w:before="120" w:after="120"/>
        <w:rPr>
          <w:szCs w:val="21"/>
          <w:highlight w:val="yellow"/>
        </w:rPr>
      </w:pPr>
      <w:r>
        <w:rPr>
          <w:rFonts w:hint="eastAsia"/>
        </w:rPr>
        <w:t xml:space="preserve">For channel decoding, 5G LDPC coding is considered, where the computational complexity is </w:t>
      </w:r>
      <m:oMath>
        <m:r>
          <m:rPr/>
          <w:rPr>
            <w:rFonts w:ascii="Cambria Math" w:hAnsi="Cambria Math"/>
            <w:kern w:val="0"/>
            <w:szCs w:val="21"/>
          </w:rPr>
          <m:t>I</m:t>
        </m:r>
        <m:sSub>
          <m:sSubPr>
            <m:ctrlPr>
              <w:rPr>
                <w:rFonts w:ascii="Cambria Math" w:hAnsi="Cambria Math"/>
                <w:i/>
                <w:kern w:val="0"/>
                <w:szCs w:val="21"/>
              </w:rPr>
            </m:ctrlPr>
          </m:sSubPr>
          <m:e>
            <m:r>
              <m:rPr/>
              <w:rPr>
                <w:rFonts w:ascii="Cambria Math" w:hAnsi="Cambria Math"/>
                <w:kern w:val="0"/>
                <w:szCs w:val="21"/>
              </w:rPr>
              <m:t>M</m:t>
            </m:r>
            <m:ctrlPr>
              <w:rPr>
                <w:rFonts w:ascii="Cambria Math" w:hAnsi="Cambria Math"/>
                <w:i/>
                <w:kern w:val="0"/>
                <w:szCs w:val="21"/>
              </w:rPr>
            </m:ctrlPr>
          </m:e>
          <m:sub>
            <m:r>
              <m:rPr/>
              <w:rPr>
                <w:rFonts w:ascii="Cambria Math" w:hAnsi="Cambria Math"/>
                <w:kern w:val="0"/>
                <w:szCs w:val="21"/>
              </w:rPr>
              <m:t>PAS</m:t>
            </m:r>
            <m:ctrlPr>
              <w:rPr>
                <w:rFonts w:ascii="Cambria Math" w:hAnsi="Cambria Math"/>
                <w:i/>
                <w:kern w:val="0"/>
                <w:szCs w:val="21"/>
              </w:rPr>
            </m:ctrlPr>
          </m:sub>
        </m:sSub>
        <m:d>
          <m:dPr>
            <m:ctrlPr>
              <w:rPr>
                <w:rFonts w:ascii="Cambria Math" w:hAnsi="Cambria Math"/>
                <w:i/>
                <w:kern w:val="0"/>
                <w:szCs w:val="21"/>
              </w:rPr>
            </m:ctrlPr>
          </m:dPr>
          <m:e>
            <m:r>
              <m:rPr/>
              <w:rPr>
                <w:rFonts w:ascii="Cambria Math" w:hAnsi="Cambria Math"/>
                <w:kern w:val="0"/>
                <w:szCs w:val="21"/>
              </w:rPr>
              <m:t>4</m:t>
            </m:r>
            <m:sSub>
              <m:sSubPr>
                <m:ctrlPr>
                  <w:rPr>
                    <w:rFonts w:ascii="Cambria Math" w:hAnsi="Cambria Math"/>
                    <w:i/>
                    <w:kern w:val="0"/>
                    <w:szCs w:val="21"/>
                  </w:rPr>
                </m:ctrlPr>
              </m:sSubPr>
              <m:e>
                <m:r>
                  <m:rPr/>
                  <w:rPr>
                    <w:rFonts w:ascii="Cambria Math" w:hAnsi="Cambria Math"/>
                    <w:kern w:val="0"/>
                    <w:szCs w:val="21"/>
                  </w:rPr>
                  <m:t>d</m:t>
                </m:r>
                <m:ctrlPr>
                  <w:rPr>
                    <w:rFonts w:ascii="Cambria Math" w:hAnsi="Cambria Math"/>
                    <w:i/>
                    <w:kern w:val="0"/>
                    <w:szCs w:val="21"/>
                  </w:rPr>
                </m:ctrlPr>
              </m:e>
              <m:sub>
                <m:r>
                  <m:rPr/>
                  <w:rPr>
                    <w:rFonts w:ascii="Cambria Math" w:hAnsi="Cambria Math"/>
                    <w:kern w:val="0"/>
                    <w:szCs w:val="21"/>
                  </w:rPr>
                  <m:t>c,PAS</m:t>
                </m:r>
                <m:ctrlPr>
                  <w:rPr>
                    <w:rFonts w:ascii="Cambria Math" w:hAnsi="Cambria Math"/>
                    <w:i/>
                    <w:kern w:val="0"/>
                    <w:szCs w:val="21"/>
                  </w:rPr>
                </m:ctrlPr>
              </m:sub>
            </m:sSub>
            <m:r>
              <m:rPr/>
              <w:rPr>
                <w:rFonts w:ascii="Cambria Math" w:hAnsi="Cambria Math"/>
                <w:kern w:val="0"/>
                <w:szCs w:val="21"/>
              </w:rPr>
              <m:t>−1</m:t>
            </m:r>
            <m:ctrlPr>
              <w:rPr>
                <w:rFonts w:ascii="Cambria Math" w:hAnsi="Cambria Math"/>
                <w:i/>
                <w:kern w:val="0"/>
                <w:szCs w:val="21"/>
              </w:rPr>
            </m:ctrlPr>
          </m:e>
        </m:d>
      </m:oMath>
      <w:r>
        <w:rPr>
          <w:rFonts w:hint="eastAsia" w:hAnsi="Cambria Math"/>
          <w:kern w:val="0"/>
          <w:szCs w:val="21"/>
        </w:rPr>
        <w:t xml:space="preserve"> </w:t>
      </w:r>
      <w:r>
        <w:rPr>
          <w:rFonts w:hint="eastAsia" w:hAnsi="Cambria Math"/>
          <w:iCs/>
        </w:rPr>
        <w:t xml:space="preserve">addition </w:t>
      </w:r>
      <w:r>
        <w:rPr>
          <w:rFonts w:hint="eastAsia"/>
        </w:rPr>
        <w:t>[</w:t>
      </w:r>
      <w:r>
        <w:t>9</w:t>
      </w:r>
      <w:r>
        <w:rPr>
          <w:rFonts w:hint="eastAsia"/>
        </w:rPr>
        <w:t xml:space="preserve">] with </w:t>
      </w:r>
      <w:r>
        <w:rPr>
          <w:rFonts w:hint="eastAsia"/>
          <w:i/>
          <w:iCs/>
        </w:rPr>
        <w:t>I</w:t>
      </w:r>
      <w:r>
        <w:rPr>
          <w:rFonts w:hint="eastAsia"/>
        </w:rPr>
        <w:t xml:space="preserve"> being the number of iterations, </w:t>
      </w:r>
      <m:oMath>
        <m:sSub>
          <m:sSubPr>
            <m:ctrlPr>
              <w:rPr>
                <w:rFonts w:ascii="Cambria Math" w:hAnsi="Cambria Math"/>
                <w:i/>
                <w:kern w:val="0"/>
                <w:szCs w:val="21"/>
              </w:rPr>
            </m:ctrlPr>
          </m:sSubPr>
          <m:e>
            <m:r>
              <m:rPr/>
              <w:rPr>
                <w:rFonts w:ascii="Cambria Math" w:hAnsi="Cambria Math"/>
                <w:kern w:val="0"/>
                <w:szCs w:val="21"/>
              </w:rPr>
              <m:t>M</m:t>
            </m:r>
            <m:ctrlPr>
              <w:rPr>
                <w:rFonts w:ascii="Cambria Math" w:hAnsi="Cambria Math"/>
                <w:i/>
                <w:kern w:val="0"/>
                <w:szCs w:val="21"/>
              </w:rPr>
            </m:ctrlPr>
          </m:e>
          <m:sub>
            <m:r>
              <m:rPr/>
              <w:rPr>
                <w:rFonts w:ascii="Cambria Math" w:hAnsi="Cambria Math"/>
                <w:kern w:val="0"/>
                <w:szCs w:val="21"/>
              </w:rPr>
              <m:t>PAS</m:t>
            </m:r>
            <m:ctrlPr>
              <w:rPr>
                <w:rFonts w:ascii="Cambria Math" w:hAnsi="Cambria Math"/>
                <w:i/>
                <w:kern w:val="0"/>
                <w:szCs w:val="21"/>
              </w:rPr>
            </m:ctrlPr>
          </m:sub>
        </m:sSub>
      </m:oMath>
      <w:r>
        <w:rPr>
          <w:szCs w:val="21"/>
        </w:rPr>
        <w:t xml:space="preserve"> </w:t>
      </w:r>
      <w:r>
        <w:rPr>
          <w:rFonts w:hint="eastAsia"/>
          <w:szCs w:val="21"/>
        </w:rPr>
        <w:t>being</w:t>
      </w:r>
      <w:r>
        <w:rPr>
          <w:szCs w:val="21"/>
        </w:rPr>
        <w:t xml:space="preserve"> the number of rows of the binary parity check matrix </w:t>
      </w:r>
      <w:r>
        <w:rPr>
          <w:b/>
          <w:bCs/>
          <w:i/>
          <w:iCs/>
          <w:szCs w:val="21"/>
        </w:rPr>
        <w:t>H</w:t>
      </w:r>
      <w:r>
        <w:rPr>
          <w:rFonts w:hint="eastAsia"/>
          <w:b/>
          <w:bCs/>
          <w:i/>
          <w:iCs/>
          <w:szCs w:val="21"/>
        </w:rPr>
        <w:t xml:space="preserve"> </w:t>
      </w:r>
      <w:r>
        <w:rPr>
          <w:rFonts w:hint="eastAsia"/>
          <w:szCs w:val="21"/>
        </w:rPr>
        <w:t>for PAS modulation</w:t>
      </w:r>
      <w:r>
        <w:rPr>
          <w:szCs w:val="21"/>
        </w:rPr>
        <w:t xml:space="preserve">, and </w:t>
      </w:r>
      <m:oMath>
        <m:sSub>
          <m:sSubPr>
            <m:ctrlPr>
              <w:rPr>
                <w:rFonts w:ascii="Cambria Math" w:hAnsi="Cambria Math"/>
                <w:i/>
                <w:kern w:val="0"/>
                <w:szCs w:val="21"/>
              </w:rPr>
            </m:ctrlPr>
          </m:sSubPr>
          <m:e>
            <m:r>
              <m:rPr/>
              <w:rPr>
                <w:rFonts w:ascii="Cambria Math" w:hAnsi="Cambria Math"/>
                <w:kern w:val="0"/>
                <w:szCs w:val="21"/>
              </w:rPr>
              <m:t>d</m:t>
            </m:r>
            <m:ctrlPr>
              <w:rPr>
                <w:rFonts w:ascii="Cambria Math" w:hAnsi="Cambria Math"/>
                <w:i/>
                <w:kern w:val="0"/>
                <w:szCs w:val="21"/>
              </w:rPr>
            </m:ctrlPr>
          </m:e>
          <m:sub>
            <m:r>
              <m:rPr/>
              <w:rPr>
                <w:rFonts w:ascii="Cambria Math" w:hAnsi="Cambria Math"/>
                <w:kern w:val="0"/>
                <w:szCs w:val="21"/>
              </w:rPr>
              <m:t>c,PAS</m:t>
            </m:r>
            <m:ctrlPr>
              <w:rPr>
                <w:rFonts w:ascii="Cambria Math" w:hAnsi="Cambria Math"/>
                <w:i/>
                <w:kern w:val="0"/>
                <w:szCs w:val="21"/>
              </w:rPr>
            </m:ctrlPr>
          </m:sub>
        </m:sSub>
      </m:oMath>
      <w:r>
        <w:rPr>
          <w:szCs w:val="21"/>
        </w:rPr>
        <w:t xml:space="preserve"> </w:t>
      </w:r>
      <w:r>
        <w:rPr>
          <w:rFonts w:hint="eastAsia"/>
          <w:szCs w:val="21"/>
        </w:rPr>
        <w:t>being</w:t>
      </w:r>
      <w:r>
        <w:rPr>
          <w:szCs w:val="21"/>
        </w:rPr>
        <w:t xml:space="preserve"> the average </w:t>
      </w:r>
      <w:r>
        <w:rPr>
          <w:rFonts w:hint="eastAsia"/>
          <w:szCs w:val="21"/>
        </w:rPr>
        <w:t>row</w:t>
      </w:r>
      <w:r>
        <w:rPr>
          <w:szCs w:val="21"/>
        </w:rPr>
        <w:t xml:space="preserve"> weight of the binary parity check matrix </w:t>
      </w:r>
      <w:r>
        <w:rPr>
          <w:b/>
          <w:bCs/>
          <w:i/>
          <w:iCs/>
          <w:szCs w:val="21"/>
        </w:rPr>
        <w:t>H</w:t>
      </w:r>
      <w:r>
        <w:rPr>
          <w:rFonts w:hint="eastAsia"/>
          <w:b/>
          <w:bCs/>
          <w:i/>
          <w:iCs/>
          <w:szCs w:val="21"/>
        </w:rPr>
        <w:t xml:space="preserve"> </w:t>
      </w:r>
      <w:r>
        <w:rPr>
          <w:rFonts w:hint="eastAsia"/>
          <w:szCs w:val="21"/>
        </w:rPr>
        <w:t>for PAS modulation.</w:t>
      </w:r>
    </w:p>
    <w:p>
      <w:pPr>
        <w:spacing w:before="120" w:after="120"/>
        <w:rPr>
          <w:u w:val="single"/>
        </w:rPr>
      </w:pPr>
      <w:r>
        <w:rPr>
          <w:rFonts w:hint="eastAsia"/>
          <w:u w:val="single"/>
        </w:rPr>
        <w:t>D</w:t>
      </w:r>
      <w:r>
        <w:rPr>
          <w:u w:val="single"/>
        </w:rPr>
        <w:t>e</w:t>
      </w:r>
      <w:r>
        <w:rPr>
          <w:rFonts w:hint="eastAsia"/>
          <w:u w:val="single"/>
        </w:rPr>
        <w:t>-</w:t>
      </w:r>
      <w:r>
        <w:rPr>
          <w:u w:val="single"/>
        </w:rPr>
        <w:t>matcher complexity</w:t>
      </w:r>
    </w:p>
    <w:p>
      <w:pPr>
        <w:spacing w:before="120" w:after="120"/>
      </w:pPr>
      <w:r>
        <w:rPr>
          <w:rFonts w:hint="eastAsia"/>
          <w:szCs w:val="21"/>
        </w:rPr>
        <w:t xml:space="preserve">For CCDM decoding, </w:t>
      </w:r>
      <w:r>
        <w:rPr>
          <w:rFonts w:hint="eastAsia"/>
        </w:rPr>
        <w:t>computational complexity of CCDM is analyzed. Let N</w:t>
      </w:r>
      <w:r>
        <w:rPr>
          <w:rFonts w:hint="eastAsia"/>
          <w:vertAlign w:val="subscript"/>
        </w:rPr>
        <w:t>1</w:t>
      </w:r>
      <w:r>
        <w:rPr>
          <w:rFonts w:hint="eastAsia"/>
        </w:rPr>
        <w:t>, N</w:t>
      </w:r>
      <w:r>
        <w:rPr>
          <w:rFonts w:hint="eastAsia"/>
          <w:vertAlign w:val="subscript"/>
        </w:rPr>
        <w:t>3</w:t>
      </w:r>
      <w:r>
        <w:rPr>
          <w:rFonts w:hint="eastAsia"/>
        </w:rPr>
        <w:t>, ..., N</w:t>
      </w:r>
      <w:r>
        <w:rPr>
          <w:rFonts w:hint="eastAsia"/>
          <w:vertAlign w:val="subscript"/>
        </w:rPr>
        <w:t>2|</w:t>
      </w:r>
      <w:r>
        <w:rPr>
          <w:rFonts w:asciiTheme="majorHAnsi" w:hAnsiTheme="majorHAnsi"/>
          <w:vertAlign w:val="subscript"/>
        </w:rPr>
        <w:t>A</w:t>
      </w:r>
      <w:r>
        <w:rPr>
          <w:rFonts w:hint="eastAsia"/>
          <w:vertAlign w:val="subscript"/>
        </w:rPr>
        <w:t xml:space="preserve">|-1 </w:t>
      </w:r>
      <w:r>
        <w:rPr>
          <w:rFonts w:hint="eastAsia"/>
        </w:rPr>
        <w:t xml:space="preserve">being the number of amplitudes 1, 3, ..., 2|A|-1 with A = {1, 3, ..., 2|A|-1} is the amplitude set and </w:t>
      </w:r>
      <m:oMath>
        <m:d>
          <m:dPr>
            <m:begChr m:val="|"/>
            <m:endChr m:val="|"/>
            <m:ctrlPr>
              <w:rPr>
                <w:rFonts w:ascii="Cambria Math" w:hAnsi="Cambria Math"/>
                <w:i/>
              </w:rPr>
            </m:ctrlPr>
          </m:dPr>
          <m:e>
            <m:r>
              <m:rPr/>
              <w:rPr>
                <w:rFonts w:ascii="Cambria Math" w:hAnsi="Cambria Math"/>
              </w:rPr>
              <m:t>A</m:t>
            </m:r>
            <m:ctrlPr>
              <w:rPr>
                <w:rFonts w:ascii="Cambria Math" w:hAnsi="Cambria Math"/>
                <w:i/>
              </w:rPr>
            </m:ctrlPr>
          </m:e>
        </m:d>
        <m:r>
          <m:rPr/>
          <w:rPr>
            <w:rFonts w:hint="eastAsia" w:ascii="Cambria Math" w:hAnsi="Cambria Math"/>
          </w:rPr>
          <m:t>=</m:t>
        </m:r>
        <m:sSup>
          <m:sSupPr>
            <m:ctrlPr>
              <w:rPr>
                <w:rFonts w:ascii="Cambria Math" w:hAnsi="Cambria Math"/>
                <w:iCs/>
              </w:rPr>
            </m:ctrlPr>
          </m:sSupPr>
          <m:e>
            <m:r>
              <m:rPr>
                <m:sty m:val="p"/>
              </m:rPr>
              <w:rPr>
                <w:rFonts w:ascii="Cambria Math" w:hAnsi="Cambria Math"/>
              </w:rPr>
              <m:t>2</m:t>
            </m:r>
            <m:ctrlPr>
              <w:rPr>
                <w:rFonts w:ascii="Cambria Math" w:hAnsi="Cambria Math"/>
                <w:iCs/>
              </w:rPr>
            </m:ctrlPr>
          </m:e>
          <m:sup>
            <m:r>
              <m:rPr>
                <m:sty m:val="p"/>
              </m:rPr>
              <w:rPr>
                <w:rFonts w:ascii="Cambria Math" w:hAnsi="Cambria Math"/>
              </w:rPr>
              <m:t>Qm/2−1</m:t>
            </m:r>
            <m:ctrlPr>
              <w:rPr>
                <w:rFonts w:ascii="Cambria Math" w:hAnsi="Cambria Math"/>
                <w:iCs/>
              </w:rPr>
            </m:ctrlPr>
          </m:sup>
        </m:sSup>
      </m:oMath>
      <w:r>
        <w:rPr>
          <w:rFonts w:hint="eastAsia"/>
        </w:rPr>
        <w:t>. v(1), v(2), ..., v(</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rPr>
        <w:t xml:space="preserve">) being the input amplitude sequence of block length with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r>
          <m:rPr>
            <m:sty m:val="p"/>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1</m:t>
            </m:r>
            <m:ctrlPr>
              <w:rPr>
                <w:rFonts w:hint="eastAsia" w:ascii="Cambria Math" w:hAnsi="Cambria Math"/>
                <w:i/>
              </w:rPr>
            </m:ctrlPr>
          </m:sub>
        </m:sSub>
        <m:r>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3</m:t>
            </m:r>
            <m:ctrlPr>
              <w:rPr>
                <w:rFonts w:hint="eastAsia" w:ascii="Cambria Math" w:hAnsi="Cambria Math"/>
                <w:i/>
              </w:rPr>
            </m:ctrlPr>
          </m:sub>
        </m:sSub>
        <m:r>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2|A|−1</m:t>
            </m:r>
            <m:ctrlPr>
              <w:rPr>
                <w:rFonts w:hint="eastAsia" w:ascii="Cambria Math" w:hAnsi="Cambria Math"/>
                <w:i/>
              </w:rPr>
            </m:ctrlPr>
          </m:sub>
        </m:sSub>
      </m:oMath>
      <w:r>
        <w:rPr>
          <w:rFonts w:hint="eastAsia"/>
        </w:rPr>
        <w:t xml:space="preserve"> and w being the processing bit width.</w:t>
      </w:r>
    </w:p>
    <w:p>
      <w:pPr>
        <w:spacing w:before="120" w:after="120"/>
      </w:pPr>
      <w:r>
        <w:rPr>
          <w:rFonts w:hint="eastAsia"/>
        </w:rPr>
        <w:t>Steps for CCDM decoding using arithmetic coding algorithm to obtain k bits for shaping u(1), u(2), ..., u(k) is as follows.</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5" w:type="dxa"/>
          </w:tcPr>
          <w:p>
            <w:pPr>
              <w:numPr>
                <w:ilvl w:val="0"/>
                <w:numId w:val="26"/>
              </w:numPr>
              <w:spacing w:before="120" w:after="120"/>
            </w:pPr>
            <w:r>
              <w:rPr>
                <w:rFonts w:hint="eastAsia"/>
              </w:rPr>
              <w:t>Initialize interval endpoint x = 0, interval width y = 2^w, bit count j = 0</w:t>
            </w:r>
            <w:r>
              <w:rPr>
                <w:rFonts w:hint="eastAsia" w:hAnsi="Cambria Math"/>
              </w:rPr>
              <w:t>, s</w:t>
            </w:r>
            <w:r>
              <w:rPr>
                <w:rFonts w:hint="eastAsia"/>
              </w:rPr>
              <w:t>et number of amplitude</w:t>
            </w:r>
            <w:r>
              <w:t>s</w:t>
            </w:r>
            <w:r>
              <w:rPr>
                <w:rFonts w:hint="eastAsia"/>
              </w:rPr>
              <w:t xml:space="preserve"> left for output: </w:t>
            </w:r>
            <m:oMath>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left</m:t>
                  </m:r>
                  <m:ctrlPr>
                    <w:rPr>
                      <w:rFonts w:hint="eastAsia" w:ascii="Cambria Math" w:hAnsi="Cambria Math"/>
                      <w:i/>
                    </w:rPr>
                  </m:ctrlPr>
                </m:sub>
              </m:sSub>
              <m:r>
                <m:rPr/>
                <w:rPr>
                  <w:rFonts w:ascii="Cambria Math" w:hAnsi="Cambria Math"/>
                </w:rPr>
                <m:t>=</m:t>
              </m:r>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w:t>
            </w:r>
          </w:p>
          <w:p>
            <w:pPr>
              <w:numPr>
                <w:ilvl w:val="0"/>
                <w:numId w:val="26"/>
              </w:numPr>
              <w:spacing w:before="120" w:after="120"/>
              <w:rPr>
                <w:rFonts w:hAnsi="Cambria Math"/>
              </w:rPr>
            </w:pPr>
            <w:r>
              <w:rPr>
                <w:rFonts w:hint="eastAsia"/>
              </w:rPr>
              <w:t xml:space="preserve">Compute cumulative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n</m:t>
                  </m:r>
                  <m:ctrlPr>
                    <w:rPr>
                      <w:rFonts w:ascii="Cambria Math" w:hAnsi="Cambria Math"/>
                      <w:i/>
                    </w:rPr>
                  </m:ctrlPr>
                </m:sub>
              </m:sSub>
              <m:r>
                <m:rPr/>
                <w:rPr>
                  <w:rFonts w:hint="eastAsia" w:ascii="Cambria Math" w:hAnsi="Cambria Math"/>
                </w:rPr>
                <m:t>=</m:t>
              </m:r>
              <m:sSub>
                <m:sSubPr>
                  <m:ctrlPr>
                    <w:rPr>
                      <w:rFonts w:hint="eastAsia" w:ascii="Cambria Math" w:hAnsi="Cambria Math"/>
                      <w:i/>
                    </w:rPr>
                  </m:ctrlPr>
                </m:sSubPr>
                <m:e>
                  <m:r>
                    <m:rPr/>
                    <w:rPr>
                      <w:rFonts w:ascii="Cambria Math" w:hAnsi="Cambria Math"/>
                    </w:rPr>
                    <m:t>F</m:t>
                  </m:r>
                  <m:ctrlPr>
                    <w:rPr>
                      <w:rFonts w:hint="eastAsia" w:ascii="Cambria Math" w:hAnsi="Cambria Math"/>
                      <w:i/>
                    </w:rPr>
                  </m:ctrlPr>
                </m:e>
                <m:sub>
                  <m:r>
                    <m:rPr/>
                    <w:rPr>
                      <w:rFonts w:ascii="Cambria Math" w:hAnsi="Cambria Math"/>
                    </w:rPr>
                    <m:t>n−1</m:t>
                  </m:r>
                  <m:ctrlPr>
                    <w:rPr>
                      <w:rFonts w:hint="eastAsia" w:ascii="Cambria Math" w:hAnsi="Cambria Math"/>
                      <w:i/>
                    </w:rPr>
                  </m:ctrlPr>
                </m:sub>
              </m:sSub>
              <m:r>
                <m:rPr/>
                <w:rPr>
                  <w:rFonts w:hint="eastAsia"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2n−1</m:t>
                  </m:r>
                  <m:ctrlPr>
                    <w:rPr>
                      <w:rFonts w:hint="eastAsia" w:ascii="Cambria Math" w:hAnsi="Cambria Math"/>
                      <w:i/>
                    </w:rPr>
                  </m:ctrlPr>
                </m:sub>
              </m:sSub>
            </m:oMath>
            <w:r>
              <w:rPr>
                <w:rFonts w:hint="eastAsia" w:hAnsi="Cambria Math"/>
              </w:rPr>
              <w:t xml:space="preserve"> with </w:t>
            </w:r>
            <m:oMath>
              <m:sSub>
                <m:sSubPr>
                  <m:ctrlPr>
                    <w:rPr>
                      <w:rFonts w:hint="eastAsia" w:ascii="Cambria Math" w:hAnsi="Cambria Math"/>
                      <w:i/>
                    </w:rPr>
                  </m:ctrlPr>
                </m:sSubPr>
                <m:e>
                  <m:r>
                    <m:rPr/>
                    <w:rPr>
                      <w:rFonts w:ascii="Cambria Math" w:hAnsi="Cambria Math"/>
                    </w:rPr>
                    <m:t>F</m:t>
                  </m:r>
                  <m:ctrlPr>
                    <w:rPr>
                      <w:rFonts w:hint="eastAsia" w:ascii="Cambria Math" w:hAnsi="Cambria Math"/>
                      <w:i/>
                    </w:rPr>
                  </m:ctrlPr>
                </m:e>
                <m:sub>
                  <m:r>
                    <m:rPr/>
                    <w:rPr>
                      <w:rFonts w:ascii="Cambria Math" w:hAnsi="Cambria Math"/>
                    </w:rPr>
                    <m:t>0</m:t>
                  </m:r>
                  <m:ctrlPr>
                    <w:rPr>
                      <w:rFonts w:hint="eastAsia" w:ascii="Cambria Math" w:hAnsi="Cambria Math"/>
                      <w:i/>
                    </w:rPr>
                  </m:ctrlPr>
                </m:sub>
              </m:sSub>
              <m:r>
                <m:rPr/>
                <w:rPr>
                  <w:rFonts w:hint="eastAsia" w:ascii="Cambria Math" w:hAnsi="Cambria Math"/>
                </w:rPr>
                <m:t>=</m:t>
              </m:r>
              <m:r>
                <m:rPr/>
                <w:rPr>
                  <w:rFonts w:ascii="Cambria Math" w:hAnsi="Cambria Math"/>
                </w:rPr>
                <m:t>0</m:t>
              </m:r>
            </m:oMath>
            <w:r>
              <w:rPr>
                <w:rFonts w:hint="eastAsia" w:hAnsi="Cambria Math"/>
              </w:rPr>
              <w:t xml:space="preserve"> for </w:t>
            </w:r>
            <w:r>
              <w:rPr>
                <w:rFonts w:hint="eastAsia" w:hAnsi="Cambria Math"/>
                <w:i/>
                <w:iCs/>
              </w:rPr>
              <w:t>n</w:t>
            </w:r>
            <w:r>
              <w:rPr>
                <w:rFonts w:hint="eastAsia" w:hAnsi="Cambria Math"/>
              </w:rPr>
              <w:t xml:space="preserve"> = 1, 2, ..., |A|.</w:t>
            </w:r>
          </w:p>
          <w:p>
            <w:pPr>
              <w:numPr>
                <w:ilvl w:val="0"/>
                <w:numId w:val="26"/>
              </w:numPr>
              <w:spacing w:before="120" w:after="120"/>
              <w:rPr>
                <w:rFonts w:hAnsi="Cambria Math"/>
              </w:rPr>
            </w:pPr>
            <w:r>
              <w:rPr>
                <w:rFonts w:hint="eastAsia"/>
              </w:rPr>
              <w:t xml:space="preserve">For </w:t>
            </w:r>
            <w:r>
              <w:rPr>
                <w:rFonts w:hint="eastAsia"/>
                <w:i/>
                <w:iCs/>
              </w:rPr>
              <w:t>n</w:t>
            </w:r>
            <w:r>
              <w:rPr>
                <w:rFonts w:hint="eastAsia"/>
              </w:rPr>
              <w:t xml:space="preserve"> = 1 to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p>
          <w:p>
            <w:pPr>
              <w:spacing w:before="120" w:after="120"/>
              <w:ind w:firstLine="420" w:firstLineChars="200"/>
              <w:rPr>
                <w:rFonts w:hAnsi="Cambria Math"/>
              </w:rPr>
            </w:pPr>
            <w:r>
              <w:rPr>
                <w:rFonts w:hint="eastAsia" w:hAnsi="Cambria Math"/>
              </w:rPr>
              <w:t xml:space="preserve">(3-1) Convert </w:t>
            </w:r>
            <w:r>
              <w:rPr>
                <w:rFonts w:hAnsi="Cambria Math"/>
              </w:rPr>
              <w:t>current symbol in v</w:t>
            </w:r>
            <w:r>
              <w:rPr>
                <w:rFonts w:hint="eastAsia" w:hAnsi="Cambria Math"/>
              </w:rPr>
              <w:t xml:space="preserve">(n) to symbol index </w:t>
            </w:r>
            <w:r>
              <w:rPr>
                <w:rFonts w:hint="eastAsia" w:hAnsi="Cambria Math"/>
                <w:i/>
                <w:iCs/>
              </w:rPr>
              <w:t>c</w:t>
            </w:r>
            <w:r>
              <w:rPr>
                <w:rFonts w:hint="eastAsia" w:hAnsi="Cambria Math"/>
              </w:rPr>
              <w:t>.</w:t>
            </w:r>
          </w:p>
          <w:p>
            <w:pPr>
              <w:spacing w:before="120" w:after="120"/>
              <w:ind w:firstLine="420" w:firstLineChars="200"/>
              <w:rPr>
                <w:rFonts w:hAnsi="Cambria Math"/>
              </w:rPr>
            </w:pPr>
            <w:r>
              <w:rPr>
                <w:rFonts w:hint="eastAsia" w:hAnsi="Cambria Math"/>
              </w:rPr>
              <w:t>(3-2) Compute new interval endpoint x and interval width y</w:t>
            </w:r>
          </w:p>
          <w:p>
            <w:pPr>
              <w:spacing w:before="120" w:after="120"/>
              <w:ind w:firstLine="420"/>
              <w:rPr>
                <w:rFonts w:hAnsi="Cambria Math"/>
              </w:rPr>
            </w:pPr>
            <w:r>
              <w:rPr>
                <w:rFonts w:hint="eastAsia" w:hAnsi="Cambria Math"/>
              </w:rPr>
              <w:t xml:space="preserve">(3-3) </w:t>
            </w:r>
            <w:r>
              <w:rPr>
                <w:rFonts w:hint="eastAsia"/>
              </w:rPr>
              <w:t xml:space="preserve">Update cumulative frequency: </w:t>
            </w:r>
            <m:oMath>
              <m:sSub>
                <m:sSubPr>
                  <m:ctrlPr>
                    <w:rPr>
                      <w:rFonts w:ascii="Cambria Math" w:hAnsi="Cambria Math"/>
                      <w:i/>
                    </w:rPr>
                  </m:ctrlPr>
                </m:sSubPr>
                <m:e>
                  <m:r>
                    <m:rPr/>
                    <w:rPr>
                      <w:rFonts w:ascii="Cambria Math" w:hAnsi="Cambria Math"/>
                    </w:rPr>
                    <m:t>F</m:t>
                  </m:r>
                  <m:ctrlPr>
                    <w:rPr>
                      <w:rFonts w:ascii="Cambria Math" w:hAnsi="Cambria Math"/>
                      <w:i/>
                    </w:rPr>
                  </m:ctrlPr>
                </m:e>
                <m:sub>
                  <m:r>
                    <m:rPr/>
                    <w:rPr>
                      <w:rFonts w:ascii="Cambria Math" w:hAnsi="Cambria Math"/>
                    </w:rPr>
                    <m:t>i</m:t>
                  </m:r>
                  <m:ctrlPr>
                    <w:rPr>
                      <w:rFonts w:ascii="Cambria Math" w:hAnsi="Cambria Math"/>
                      <w:i/>
                    </w:rPr>
                  </m:ctrlPr>
                </m:sub>
              </m:sSub>
              <m:r>
                <m:rPr/>
                <w:rPr>
                  <w:rFonts w:hint="eastAsia" w:ascii="Cambria Math" w:hAnsi="Cambria Math"/>
                </w:rPr>
                <m:t>=</m:t>
              </m:r>
              <m:sSub>
                <m:sSubPr>
                  <m:ctrlPr>
                    <w:rPr>
                      <w:rFonts w:hint="eastAsia" w:ascii="Cambria Math" w:hAnsi="Cambria Math"/>
                      <w:i/>
                    </w:rPr>
                  </m:ctrlPr>
                </m:sSubPr>
                <m:e>
                  <m:r>
                    <m:rPr/>
                    <w:rPr>
                      <w:rFonts w:ascii="Cambria Math" w:hAnsi="Cambria Math"/>
                    </w:rPr>
                    <m:t>F</m:t>
                  </m:r>
                  <m:ctrlPr>
                    <w:rPr>
                      <w:rFonts w:hint="eastAsia" w:ascii="Cambria Math" w:hAnsi="Cambria Math"/>
                      <w:i/>
                    </w:rPr>
                  </m:ctrlPr>
                </m:e>
                <m:sub>
                  <m:r>
                    <m:rPr/>
                    <w:rPr>
                      <w:rFonts w:ascii="Cambria Math" w:hAnsi="Cambria Math"/>
                    </w:rPr>
                    <m:t>i</m:t>
                  </m:r>
                  <m:ctrlPr>
                    <w:rPr>
                      <w:rFonts w:hint="eastAsia" w:ascii="Cambria Math" w:hAnsi="Cambria Math"/>
                      <w:i/>
                    </w:rPr>
                  </m:ctrlPr>
                </m:sub>
              </m:sSub>
              <m:r>
                <m:rPr/>
                <w:rPr>
                  <w:rFonts w:ascii="Cambria Math" w:hAnsi="Cambria Math"/>
                </w:rPr>
                <m:t>−1</m:t>
              </m:r>
            </m:oMath>
            <w:r>
              <w:rPr>
                <w:rFonts w:hint="eastAsia" w:hAnsi="Cambria Math"/>
              </w:rPr>
              <w:t xml:space="preserve"> for </w:t>
            </w:r>
            <m:oMath>
              <m:r>
                <m:rPr/>
                <w:rPr>
                  <w:rFonts w:ascii="Cambria Math" w:hAnsi="Cambria Math"/>
                </w:rPr>
                <m:t>i=c,c+1,⋯,</m:t>
              </m:r>
              <m:d>
                <m:dPr>
                  <m:begChr m:val="|"/>
                  <m:endChr m:val="|"/>
                  <m:ctrlPr>
                    <w:rPr>
                      <w:rFonts w:ascii="Cambria Math" w:hAnsi="Cambria Math"/>
                      <w:i/>
                    </w:rPr>
                  </m:ctrlPr>
                </m:dPr>
                <m:e>
                  <m:r>
                    <m:rPr/>
                    <w:rPr>
                      <w:rFonts w:ascii="Cambria Math" w:hAnsi="Cambria Math"/>
                    </w:rPr>
                    <m:t>A</m:t>
                  </m:r>
                  <m:ctrlPr>
                    <w:rPr>
                      <w:rFonts w:ascii="Cambria Math" w:hAnsi="Cambria Math"/>
                      <w:i/>
                    </w:rPr>
                  </m:ctrlPr>
                </m:e>
              </m:d>
            </m:oMath>
            <w:r>
              <w:rPr>
                <w:rFonts w:hint="eastAsia" w:hAnsi="Cambria Math"/>
              </w:rPr>
              <w:t>.</w:t>
            </w:r>
          </w:p>
          <w:p>
            <w:pPr>
              <w:spacing w:before="120" w:after="120"/>
              <w:ind w:firstLine="420"/>
              <w:rPr>
                <w:rFonts w:hAnsi="Cambria Math"/>
              </w:rPr>
            </w:pPr>
            <w:r>
              <w:rPr>
                <w:rFonts w:hint="eastAsia" w:hAnsi="Cambria Math"/>
              </w:rPr>
              <w:t xml:space="preserve">(3-4) Update left symbols: </w:t>
            </w:r>
            <m:oMath>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left</m:t>
                  </m:r>
                  <m:ctrlPr>
                    <w:rPr>
                      <w:rFonts w:hint="eastAsia" w:ascii="Cambria Math" w:hAnsi="Cambria Math"/>
                      <w:i/>
                    </w:rPr>
                  </m:ctrlPr>
                </m:sub>
              </m:sSub>
              <m:r>
                <m:rPr/>
                <w:rPr>
                  <w:rFonts w:ascii="Cambria Math" w:hAnsi="Cambria Math"/>
                </w:rPr>
                <m:t>=</m:t>
              </m:r>
              <m:sSub>
                <m:sSubPr>
                  <m:ctrlPr>
                    <w:rPr>
                      <w:rFonts w:hint="eastAsia" w:ascii="Cambria Math" w:hAnsi="Cambria Math"/>
                      <w:i/>
                    </w:rPr>
                  </m:ctrlPr>
                </m:sSubPr>
                <m:e>
                  <m:r>
                    <m:rPr/>
                    <w:rPr>
                      <w:rFonts w:ascii="Cambria Math" w:hAnsi="Cambria Math"/>
                    </w:rPr>
                    <m:t>N</m:t>
                  </m:r>
                  <m:ctrlPr>
                    <w:rPr>
                      <w:rFonts w:hint="eastAsia" w:ascii="Cambria Math" w:hAnsi="Cambria Math"/>
                      <w:i/>
                    </w:rPr>
                  </m:ctrlPr>
                </m:e>
                <m:sub>
                  <m:r>
                    <m:rPr/>
                    <w:rPr>
                      <w:rFonts w:ascii="Cambria Math" w:hAnsi="Cambria Math"/>
                    </w:rPr>
                    <m:t>left</m:t>
                  </m:r>
                  <m:ctrlPr>
                    <w:rPr>
                      <w:rFonts w:hint="eastAsia" w:ascii="Cambria Math" w:hAnsi="Cambria Math"/>
                      <w:i/>
                    </w:rPr>
                  </m:ctrlPr>
                </m:sub>
              </m:sSub>
              <m:r>
                <m:rPr/>
                <w:rPr>
                  <w:rFonts w:ascii="Cambria Math" w:hAnsi="Cambria Math"/>
                </w:rPr>
                <m:t>−1</m:t>
              </m:r>
            </m:oMath>
            <w:r>
              <w:rPr>
                <w:rFonts w:hint="eastAsia" w:hAnsi="Cambria Math"/>
              </w:rPr>
              <w:t>.</w:t>
            </w:r>
          </w:p>
          <w:p>
            <w:pPr>
              <w:spacing w:before="120" w:after="120"/>
              <w:ind w:left="420"/>
            </w:pPr>
            <w:r>
              <w:rPr>
                <w:rFonts w:hint="eastAsia" w:hAnsi="Cambria Math"/>
              </w:rPr>
              <w:t xml:space="preserve">(3-5) Store prefix of </w:t>
            </w:r>
            <w:r>
              <w:rPr>
                <w:rFonts w:hint="eastAsia"/>
              </w:rPr>
              <w:t>interval endpoint x into u(j) and scale interval width y</w:t>
            </w:r>
            <w:r>
              <w:t xml:space="preserve"> a value between 2</w:t>
            </w:r>
            <w:r>
              <w:rPr>
                <w:i/>
                <w:vertAlign w:val="superscript"/>
              </w:rPr>
              <w:t>w</w:t>
            </w:r>
            <w:r>
              <w:t xml:space="preserve"> and 2</w:t>
            </w:r>
            <w:r>
              <w:rPr>
                <w:i/>
                <w:vertAlign w:val="superscript"/>
              </w:rPr>
              <w:t>w+</w:t>
            </w:r>
            <w:r>
              <w:rPr>
                <w:vertAlign w:val="superscript"/>
              </w:rPr>
              <w:t>1</w:t>
            </w:r>
            <w:r>
              <w:t>.</w:t>
            </w:r>
          </w:p>
          <w:p>
            <w:pPr>
              <w:numPr>
                <w:ilvl w:val="0"/>
                <w:numId w:val="26"/>
              </w:numPr>
              <w:spacing w:before="120" w:after="120"/>
              <w:rPr>
                <w:i/>
                <w:iCs/>
              </w:rPr>
            </w:pPr>
            <w:r>
              <w:rPr>
                <w:rFonts w:hint="eastAsia" w:hAnsi="Cambria Math"/>
              </w:rPr>
              <w:t xml:space="preserve">Store prefix of </w:t>
            </w:r>
            <w:r>
              <w:rPr>
                <w:rFonts w:hint="eastAsia"/>
              </w:rPr>
              <w:t>interval endpoint x into u(j) in the end.</w:t>
            </w:r>
          </w:p>
        </w:tc>
      </w:tr>
    </w:tbl>
    <w:p>
      <w:pPr>
        <w:spacing w:before="120" w:after="120"/>
        <w:rPr>
          <w:rFonts w:hAnsi="Cambria Math"/>
        </w:rPr>
      </w:pPr>
      <w:r>
        <w:rPr>
          <w:rFonts w:hint="eastAsia" w:hAnsi="Cambria Math"/>
        </w:rPr>
        <w:t>The number of operations in the above steps are counted</w:t>
      </w:r>
      <w:r>
        <w:rPr>
          <w:rFonts w:hAnsi="Cambria Math"/>
        </w:rPr>
        <w:t xml:space="preserve"> and shown as follows</w:t>
      </w:r>
      <w:r>
        <w:rPr>
          <w:rFonts w:hint="eastAsia" w:hAnsi="Cambria Math"/>
        </w:rPr>
        <w:t xml:space="preserve"> and summarized in Table </w:t>
      </w:r>
      <w:r>
        <w:rPr>
          <w:rFonts w:hAnsi="Cambria Math"/>
        </w:rPr>
        <w:t>8</w:t>
      </w:r>
      <w:r>
        <w:rPr>
          <w:rFonts w:hint="eastAsia" w:hAnsi="Cambria Math"/>
        </w:rPr>
        <w:t>.</w:t>
      </w:r>
    </w:p>
    <w:p>
      <w:pPr>
        <w:numPr>
          <w:ilvl w:val="0"/>
          <w:numId w:val="27"/>
        </w:numPr>
        <w:spacing w:before="120" w:after="120"/>
        <w:rPr>
          <w:rFonts w:hAnsi="Cambria Math"/>
        </w:rPr>
      </w:pPr>
      <w:r>
        <w:rPr>
          <w:rFonts w:hint="eastAsia" w:hAnsi="Cambria Math"/>
        </w:rPr>
        <w:t>Step (1) has no complexity;</w:t>
      </w:r>
    </w:p>
    <w:p>
      <w:pPr>
        <w:numPr>
          <w:ilvl w:val="0"/>
          <w:numId w:val="27"/>
        </w:numPr>
        <w:spacing w:before="120" w:after="120"/>
        <w:rPr>
          <w:rFonts w:hAnsi="Cambria Math"/>
        </w:rPr>
      </w:pPr>
      <w:r>
        <w:rPr>
          <w:rFonts w:hint="eastAsia" w:hAnsi="Cambria Math"/>
        </w:rPr>
        <w:t xml:space="preserve">Step (2) has </w:t>
      </w:r>
      <m:oMath>
        <m:d>
          <m:dPr>
            <m:begChr m:val="|"/>
            <m:endChr m:val="|"/>
            <m:ctrlPr>
              <w:rPr>
                <w:rFonts w:ascii="Cambria Math" w:hAnsi="Cambria Math"/>
                <w:i/>
              </w:rPr>
            </m:ctrlPr>
          </m:dPr>
          <m:e>
            <m:r>
              <m:rPr/>
              <w:rPr>
                <w:rFonts w:ascii="Cambria Math" w:hAnsi="Cambria Math"/>
              </w:rPr>
              <m:t>A</m:t>
            </m:r>
            <m:ctrlPr>
              <w:rPr>
                <w:rFonts w:ascii="Cambria Math" w:hAnsi="Cambria Math"/>
                <w:i/>
              </w:rPr>
            </m:ctrlPr>
          </m:e>
        </m:d>
        <m:r>
          <m:rPr/>
          <w:rPr>
            <w:rFonts w:ascii="Cambria Math" w:hAnsi="Cambria Math"/>
          </w:rPr>
          <m:t>−1</m:t>
        </m:r>
      </m:oMath>
      <w:r>
        <w:rPr>
          <w:rFonts w:hint="eastAsia" w:hAnsi="Cambria Math"/>
        </w:rPr>
        <w:t xml:space="preserve"> additions;</w:t>
      </w:r>
    </w:p>
    <w:p>
      <w:pPr>
        <w:numPr>
          <w:ilvl w:val="0"/>
          <w:numId w:val="27"/>
        </w:numPr>
        <w:spacing w:before="120" w:after="120"/>
        <w:rPr>
          <w:rFonts w:hAnsi="Cambria Math"/>
        </w:rPr>
      </w:pPr>
      <w:r>
        <w:rPr>
          <w:rFonts w:hint="eastAsia" w:hAnsi="Cambria Math"/>
        </w:rPr>
        <w:t xml:space="preserve">Step (3-1) has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additions, where divided by 2 is bit operation and is omitted;</w:t>
      </w:r>
    </w:p>
    <w:p>
      <w:pPr>
        <w:numPr>
          <w:ilvl w:val="0"/>
          <w:numId w:val="27"/>
        </w:numPr>
        <w:spacing w:before="120" w:after="120"/>
        <w:rPr>
          <w:rFonts w:hAnsi="Cambria Math"/>
        </w:rPr>
      </w:pPr>
      <w:r>
        <w:rPr>
          <w:rFonts w:hint="eastAsia" w:hAnsi="Cambria Math"/>
        </w:rPr>
        <w:t xml:space="preserve">Step (3-2) has </w:t>
      </w:r>
      <m:oMath>
        <m:sSub>
          <m:sSubPr>
            <m:ctrlPr>
              <w:rPr>
                <w:rFonts w:hint="eastAsia" w:ascii="Cambria Math" w:hAnsi="Cambria Math"/>
              </w:rPr>
            </m:ctrlPr>
          </m:sSubPr>
          <m:e>
            <m:r>
              <m:rPr/>
              <w:rPr>
                <w:rFonts w:ascii="Cambria Math" w:hAnsi="Cambria Math"/>
              </w:rPr>
              <m:t>2N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divisions, </w:t>
      </w:r>
      <m:oMath>
        <m:r>
          <m:rPr>
            <m:sty m:val="p"/>
          </m:rPr>
          <w:rPr>
            <w:rFonts w:ascii="Cambria Math" w:hAnsi="Cambria Math"/>
          </w:rPr>
          <m:t>2</m:t>
        </m:r>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multiplications, </w:t>
      </w:r>
      <m:oMath>
        <m:sSub>
          <m:sSubPr>
            <m:ctrlPr>
              <w:rPr>
                <w:rFonts w:hint="eastAsia" w:ascii="Cambria Math" w:hAnsi="Cambria Math"/>
              </w:rPr>
            </m:ctrlPr>
          </m:sSubPr>
          <m:e>
            <m:r>
              <m:rPr/>
              <w:rPr>
                <w:rFonts w:ascii="Cambria Math" w:hAnsi="Cambria Math"/>
              </w:rPr>
              <m:t>3N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additions,</w:t>
      </w:r>
      <w:r>
        <w:rPr>
          <w:rFonts w:hAnsi="Cambria Math"/>
        </w:rPr>
        <w:t xml:space="preserve"> and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subtraction where multiplication of 2 is bit operation and is omitted;</w:t>
      </w:r>
    </w:p>
    <w:p>
      <w:pPr>
        <w:numPr>
          <w:ilvl w:val="0"/>
          <w:numId w:val="27"/>
        </w:numPr>
        <w:spacing w:before="120" w:after="120"/>
        <w:rPr>
          <w:rFonts w:hAnsi="Cambria Math"/>
        </w:rPr>
      </w:pPr>
      <w:r>
        <w:rPr>
          <w:rFonts w:hint="eastAsia" w:hAnsi="Cambria Math"/>
        </w:rPr>
        <w:t xml:space="preserve">Step (3-3) has </w:t>
      </w:r>
      <m:oMath>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33</m:t>
            </m:r>
            <m:ctrlPr>
              <w:rPr>
                <w:rFonts w:ascii="Cambria Math" w:hAnsi="Cambria Math"/>
                <w:i/>
              </w:rPr>
            </m:ctrlPr>
          </m:sub>
        </m:sSub>
      </m:oMath>
      <w:r>
        <w:rPr>
          <w:rFonts w:hint="eastAsia" w:hAnsi="Cambria Math"/>
        </w:rPr>
        <w:t xml:space="preserve"> subtractions, where </w:t>
      </w:r>
      <m:oMath>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33</m:t>
            </m:r>
            <m:ctrlPr>
              <w:rPr>
                <w:rFonts w:ascii="Cambria Math" w:hAnsi="Cambria Math"/>
                <w:i/>
              </w:rPr>
            </m:ctrlPr>
          </m:sub>
        </m:sSub>
        <m:r>
          <m:rPr/>
          <w:rPr>
            <w:rFonts w:ascii="Cambria Math" w:hAnsi="Cambria Math"/>
          </w:rPr>
          <m:t>=</m:t>
        </m:r>
        <m:nary>
          <m:naryPr>
            <m:chr m:val="∑"/>
            <m:limLoc m:val="undOvr"/>
            <m:ctrlPr>
              <w:rPr>
                <w:rFonts w:ascii="Cambria Math" w:hAnsi="Cambria Math"/>
                <w:i/>
                <w:szCs w:val="21"/>
              </w:rPr>
            </m:ctrlPr>
          </m:naryPr>
          <m:sub>
            <m:r>
              <m:rPr/>
              <w:rPr>
                <w:rFonts w:ascii="Cambria Math" w:hAnsi="Cambria Math"/>
                <w:szCs w:val="21"/>
              </w:rPr>
              <m:t>j=1</m:t>
            </m:r>
            <m:ctrlPr>
              <w:rPr>
                <w:rFonts w:ascii="Cambria Math" w:hAnsi="Cambria Math"/>
                <w:i/>
                <w:szCs w:val="21"/>
              </w:rPr>
            </m:ctrlPr>
          </m:sub>
          <m:sup>
            <m:r>
              <m:rPr/>
              <w:rPr>
                <w:rFonts w:ascii="Cambria Math" w:hAnsi="Cambria Math"/>
                <w:szCs w:val="21"/>
              </w:rPr>
              <m:t>|A|</m:t>
            </m:r>
            <m:ctrlPr>
              <w:rPr>
                <w:rFonts w:ascii="Cambria Math" w:hAnsi="Cambria Math"/>
                <w:i/>
                <w:szCs w:val="21"/>
              </w:rPr>
            </m:ctrlPr>
          </m:sup>
          <m:e>
            <m:d>
              <m:dPr>
                <m:ctrlPr>
                  <w:rPr>
                    <w:rFonts w:ascii="Cambria Math" w:hAnsi="Cambria Math"/>
                    <w:i/>
                    <w:szCs w:val="21"/>
                  </w:rPr>
                </m:ctrlPr>
              </m:dPr>
              <m:e>
                <m:d>
                  <m:dPr>
                    <m:begChr m:val="|"/>
                    <m:endChr m:val="|"/>
                    <m:ctrlPr>
                      <w:rPr>
                        <w:rFonts w:ascii="Cambria Math" w:hAnsi="Cambria Math"/>
                        <w:i/>
                        <w:szCs w:val="21"/>
                      </w:rPr>
                    </m:ctrlPr>
                  </m:dPr>
                  <m:e>
                    <m:r>
                      <m:rPr/>
                      <w:rPr>
                        <w:rFonts w:ascii="Cambria Math" w:hAnsi="Cambria Math"/>
                        <w:szCs w:val="21"/>
                      </w:rPr>
                      <m:t>A</m:t>
                    </m:r>
                    <m:ctrlPr>
                      <w:rPr>
                        <w:rFonts w:ascii="Cambria Math" w:hAnsi="Cambria Math"/>
                        <w:i/>
                        <w:szCs w:val="21"/>
                      </w:rPr>
                    </m:ctrlPr>
                  </m:e>
                </m:d>
                <m:r>
                  <m:rPr/>
                  <w:rPr>
                    <w:rFonts w:ascii="Cambria Math" w:hAnsi="Cambria Math"/>
                    <w:szCs w:val="21"/>
                  </w:rPr>
                  <m:t>+1−j</m:t>
                </m:r>
                <m:ctrlPr>
                  <w:rPr>
                    <w:rFonts w:ascii="Cambria Math" w:hAnsi="Cambria Math"/>
                    <w:i/>
                    <w:szCs w:val="21"/>
                  </w:rPr>
                </m:ctrlPr>
              </m:e>
            </m:d>
            <m:r>
              <m:rPr/>
              <w:rPr>
                <w:rFonts w:ascii="Cambria Math" w:hAnsi="Cambria Math"/>
                <w:szCs w:val="21"/>
              </w:rPr>
              <m:t>∙</m:t>
            </m:r>
            <m:sSub>
              <m:sSubPr>
                <m:ctrlPr>
                  <w:rPr>
                    <w:rFonts w:ascii="Cambria Math" w:hAnsi="Cambria Math"/>
                    <w:i/>
                    <w:szCs w:val="21"/>
                  </w:rPr>
                </m:ctrlPr>
              </m:sSubPr>
              <m:e>
                <m:r>
                  <m:rPr/>
                  <w:rPr>
                    <w:rFonts w:ascii="Cambria Math" w:hAnsi="Cambria Math"/>
                    <w:szCs w:val="21"/>
                  </w:rPr>
                  <m:t>N</m:t>
                </m:r>
                <m:ctrlPr>
                  <w:rPr>
                    <w:rFonts w:ascii="Cambria Math" w:hAnsi="Cambria Math"/>
                    <w:i/>
                    <w:szCs w:val="21"/>
                  </w:rPr>
                </m:ctrlPr>
              </m:e>
              <m:sub>
                <m:r>
                  <m:rPr/>
                  <w:rPr>
                    <w:rFonts w:ascii="Cambria Math" w:hAnsi="Cambria Math"/>
                    <w:szCs w:val="21"/>
                  </w:rPr>
                  <m:t>2j−1</m:t>
                </m:r>
                <m:ctrlPr>
                  <w:rPr>
                    <w:rFonts w:ascii="Cambria Math" w:hAnsi="Cambria Math"/>
                    <w:i/>
                    <w:szCs w:val="21"/>
                  </w:rPr>
                </m:ctrlPr>
              </m:sub>
            </m:sSub>
            <m:ctrlPr>
              <w:rPr>
                <w:rFonts w:ascii="Cambria Math" w:hAnsi="Cambria Math"/>
                <w:i/>
                <w:szCs w:val="21"/>
              </w:rPr>
            </m:ctrlPr>
          </m:e>
        </m:nary>
      </m:oMath>
      <w:r>
        <w:rPr>
          <w:rFonts w:hint="eastAsia" w:hAnsi="Cambria Math"/>
          <w:szCs w:val="21"/>
        </w:rPr>
        <w:t xml:space="preserve"> is at most </w:t>
      </w:r>
      <m:oMath>
        <m:r>
          <m:rPr/>
          <w:rPr>
            <w:rFonts w:ascii="Cambria Math" w:hAnsi="Cambria Math"/>
            <w:szCs w:val="21"/>
          </w:rPr>
          <m:t>|A|∙</m:t>
        </m:r>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w:t>
      </w:r>
    </w:p>
    <w:p>
      <w:pPr>
        <w:numPr>
          <w:ilvl w:val="0"/>
          <w:numId w:val="27"/>
        </w:numPr>
        <w:spacing w:before="120" w:after="120"/>
        <w:rPr>
          <w:rFonts w:hAnsi="Cambria Math"/>
        </w:rPr>
      </w:pPr>
      <w:r>
        <w:rPr>
          <w:rFonts w:hint="eastAsia" w:hAnsi="Cambria Math"/>
        </w:rPr>
        <w:t xml:space="preserve">Step (3-4) has </w:t>
      </w:r>
      <m:oMath>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w:r>
        <w:rPr>
          <w:rFonts w:hint="eastAsia" w:hAnsi="Cambria Math"/>
        </w:rPr>
        <w:t xml:space="preserve"> subtractions;</w:t>
      </w:r>
    </w:p>
    <w:p>
      <w:pPr>
        <w:numPr>
          <w:ilvl w:val="0"/>
          <w:numId w:val="27"/>
        </w:numPr>
        <w:spacing w:before="120" w:after="120"/>
        <w:rPr>
          <w:rFonts w:hAnsi="Cambria Math"/>
        </w:rPr>
      </w:pPr>
      <w:r>
        <w:rPr>
          <w:rFonts w:hint="eastAsia" w:hAnsi="Cambria Math"/>
        </w:rPr>
        <w:t xml:space="preserve">Step (3-5) and Step (4) have at most </w:t>
      </w:r>
      <m:oMath>
        <m:r>
          <m:rPr>
            <m:sty m:val="p"/>
          </m:rPr>
          <w:rPr>
            <w:rFonts w:ascii="Cambria Math" w:hAnsi="Cambria Math"/>
          </w:rPr>
          <m:t>2k</m:t>
        </m:r>
      </m:oMath>
      <w:r>
        <w:rPr>
          <w:rFonts w:hint="eastAsia" w:hAnsi="Cambria Math"/>
        </w:rPr>
        <w:t xml:space="preserve"> comparisons, </w:t>
      </w:r>
      <m:oMath>
        <m:r>
          <m:rPr>
            <m:sty m:val="p"/>
          </m:rPr>
          <w:rPr>
            <w:rFonts w:ascii="Cambria Math" w:hAnsi="Cambria Math"/>
          </w:rPr>
          <m:t>3k</m:t>
        </m:r>
      </m:oMath>
      <w:r>
        <w:rPr>
          <w:rFonts w:hint="eastAsia" w:hAnsi="Cambria Math"/>
        </w:rPr>
        <w:t xml:space="preserve"> additions, </w:t>
      </w:r>
      <m:oMath>
        <m:r>
          <m:rPr>
            <m:sty m:val="p"/>
          </m:rPr>
          <w:rPr>
            <w:rFonts w:ascii="Cambria Math" w:hAnsi="Cambria Math"/>
          </w:rPr>
          <m:t>k</m:t>
        </m:r>
      </m:oMath>
      <w:r>
        <w:rPr>
          <w:rFonts w:hint="eastAsia" w:hAnsi="Cambria Math"/>
        </w:rPr>
        <w:t xml:space="preserve"> subtractions, where assigning, multiplication of 2, division of </w:t>
      </w:r>
      <m:oMath>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w</m:t>
            </m:r>
            <m:ctrlPr>
              <w:rPr>
                <w:rFonts w:ascii="Cambria Math" w:hAnsi="Cambria Math"/>
              </w:rPr>
            </m:ctrlPr>
          </m:sup>
        </m:sSup>
      </m:oMath>
      <w:r>
        <w:rPr>
          <w:rFonts w:hint="eastAsia" w:hAnsi="Cambria Math"/>
        </w:rPr>
        <w:t xml:space="preserve">, module of </w:t>
      </w:r>
      <m:oMath>
        <m:sSup>
          <m:sSupPr>
            <m:ctrlPr>
              <w:rPr>
                <w:rFonts w:ascii="Cambria Math" w:hAnsi="Cambria Math"/>
              </w:rPr>
            </m:ctrlPr>
          </m:sSupPr>
          <m:e>
            <m:r>
              <m:rPr>
                <m:sty m:val="p"/>
              </m:rPr>
              <w:rPr>
                <w:rFonts w:ascii="Cambria Math" w:hAnsi="Cambria Math"/>
              </w:rPr>
              <m:t>2</m:t>
            </m:r>
            <m:ctrlPr>
              <w:rPr>
                <w:rFonts w:ascii="Cambria Math" w:hAnsi="Cambria Math"/>
              </w:rPr>
            </m:ctrlPr>
          </m:e>
          <m:sup>
            <m:r>
              <m:rPr>
                <m:sty m:val="p"/>
              </m:rPr>
              <w:rPr>
                <w:rFonts w:ascii="Cambria Math" w:hAnsi="Cambria Math"/>
              </w:rPr>
              <m:t>w</m:t>
            </m:r>
            <m:ctrlPr>
              <w:rPr>
                <w:rFonts w:ascii="Cambria Math" w:hAnsi="Cambria Math"/>
              </w:rPr>
            </m:ctrlPr>
          </m:sup>
        </m:sSup>
      </m:oMath>
      <w:r>
        <w:rPr>
          <w:rFonts w:hint="eastAsia" w:hAnsi="Cambria Math"/>
        </w:rPr>
        <w:t>, floor are bit operations and are omitted</w:t>
      </w:r>
      <w:r>
        <w:rPr>
          <w:rFonts w:hAnsi="Cambria Math"/>
        </w:rPr>
        <w:t>, where k denotes TB size of shaped bits</w:t>
      </w:r>
      <w:r>
        <w:rPr>
          <w:rFonts w:hint="eastAsia" w:hAnsi="Cambria Math"/>
        </w:rPr>
        <w:t>.</w:t>
      </w:r>
    </w:p>
    <w:p>
      <w:pPr>
        <w:spacing w:before="120" w:after="120"/>
        <w:jc w:val="center"/>
        <w:rPr>
          <w:vertAlign w:val="subscript"/>
        </w:rPr>
      </w:pPr>
      <w:r>
        <w:rPr>
          <w:rFonts w:hint="eastAsia"/>
        </w:rPr>
        <w:t xml:space="preserve">Table </w:t>
      </w:r>
      <w:r>
        <w:t>8</w:t>
      </w:r>
      <w:r>
        <w:rPr>
          <w:rFonts w:hint="eastAsia"/>
        </w:rPr>
        <w:t xml:space="preserve"> </w:t>
      </w:r>
      <w:r>
        <w:rPr>
          <w:rFonts w:hint="eastAsia" w:hAnsi="Cambria Math"/>
          <w:szCs w:val="21"/>
        </w:rPr>
        <w:t xml:space="preserve">Number </w:t>
      </w:r>
      <w:r>
        <w:rPr>
          <w:rFonts w:hint="eastAsia"/>
        </w:rPr>
        <w:t xml:space="preserve">of operations of </w:t>
      </w:r>
      <w:r>
        <w:t xml:space="preserve">CCDM decoding </w:t>
      </w:r>
      <w:r>
        <w:rPr>
          <w:rFonts w:hint="eastAsia"/>
        </w:rPr>
        <w:t>in PAS receiver</w:t>
      </w:r>
    </w:p>
    <w:tbl>
      <w:tblPr>
        <w:tblStyle w:val="17"/>
        <w:tblW w:w="0" w:type="auto"/>
        <w:tblInd w:w="3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1"/>
        <w:gridCol w:w="1730"/>
        <w:gridCol w:w="1866"/>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371" w:type="dxa"/>
            <w:shd w:val="clear" w:color="auto" w:fill="BEBEBE" w:themeFill="background1" w:themeFillShade="BF"/>
            <w:vAlign w:val="center"/>
          </w:tcPr>
          <w:p>
            <w:pPr>
              <w:spacing w:beforeLines="0" w:after="0" w:afterLines="0" w:line="240" w:lineRule="auto"/>
              <w:jc w:val="center"/>
              <w:rPr>
                <w:b/>
              </w:rPr>
            </w:pPr>
            <w:r>
              <w:rPr>
                <w:rFonts w:hint="eastAsia"/>
                <w:b/>
              </w:rPr>
              <w:t>D</w:t>
            </w:r>
            <w:r>
              <w:rPr>
                <w:b/>
              </w:rPr>
              <w:t>e-matcher</w:t>
            </w:r>
          </w:p>
        </w:tc>
        <w:tc>
          <w:tcPr>
            <w:tcW w:w="1730" w:type="dxa"/>
            <w:shd w:val="clear" w:color="auto" w:fill="BEBEBE" w:themeFill="background1" w:themeFillShade="BF"/>
            <w:vAlign w:val="center"/>
          </w:tcPr>
          <w:p>
            <w:pPr>
              <w:spacing w:beforeLines="0" w:after="0" w:afterLines="0" w:line="240" w:lineRule="auto"/>
              <w:jc w:val="center"/>
              <w:rPr>
                <w:b/>
              </w:rPr>
            </w:pPr>
            <w:r>
              <w:rPr>
                <w:b/>
              </w:rPr>
              <w:t>Division</w:t>
            </w:r>
          </w:p>
        </w:tc>
        <w:tc>
          <w:tcPr>
            <w:tcW w:w="1866" w:type="dxa"/>
            <w:shd w:val="clear" w:color="auto" w:fill="BEBEBE" w:themeFill="background1" w:themeFillShade="BF"/>
            <w:vAlign w:val="center"/>
          </w:tcPr>
          <w:p>
            <w:pPr>
              <w:spacing w:beforeLines="0" w:after="0" w:afterLines="0" w:line="240" w:lineRule="auto"/>
              <w:jc w:val="center"/>
              <w:rPr>
                <w:b/>
              </w:rPr>
            </w:pPr>
            <w:r>
              <w:rPr>
                <w:b/>
              </w:rPr>
              <w:t>Multiplication</w:t>
            </w:r>
          </w:p>
        </w:tc>
        <w:tc>
          <w:tcPr>
            <w:tcW w:w="3969" w:type="dxa"/>
            <w:shd w:val="clear" w:color="auto" w:fill="BEBEBE" w:themeFill="background1" w:themeFillShade="BF"/>
            <w:vAlign w:val="center"/>
          </w:tcPr>
          <w:p>
            <w:pPr>
              <w:spacing w:beforeLines="0" w:after="0" w:afterLines="0" w:line="240" w:lineRule="auto"/>
              <w:jc w:val="center"/>
              <w:rPr>
                <w:b/>
              </w:rPr>
            </w:pPr>
            <w:r>
              <w:rPr>
                <w:b/>
                <w:iCs/>
              </w:rPr>
              <w:t>Addition, subtraction and comparison in total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1" w:type="dxa"/>
            <w:vAlign w:val="center"/>
          </w:tcPr>
          <w:p>
            <w:pPr>
              <w:spacing w:beforeLines="0" w:after="0" w:afterLines="0" w:line="240" w:lineRule="auto"/>
              <w:jc w:val="center"/>
              <w:rPr>
                <w:rFonts w:hAnsi="Cambria Math"/>
                <w:iCs/>
                <w:szCs w:val="21"/>
              </w:rPr>
            </w:pPr>
            <w:r>
              <w:rPr>
                <w:rFonts w:hint="eastAsia" w:hAnsi="Cambria Math"/>
                <w:iCs/>
                <w:szCs w:val="21"/>
              </w:rPr>
              <w:t>CCDM decoding</w:t>
            </w:r>
          </w:p>
        </w:tc>
        <w:tc>
          <w:tcPr>
            <w:tcW w:w="1730" w:type="dxa"/>
            <w:vAlign w:val="center"/>
          </w:tcPr>
          <w:p>
            <w:pPr>
              <w:spacing w:beforeLines="0" w:after="0" w:afterLines="0" w:line="240" w:lineRule="auto"/>
              <w:jc w:val="center"/>
              <w:rPr>
                <w:rFonts w:ascii="Cambria Math" w:hAnsi="Cambria Math"/>
                <w:szCs w:val="21"/>
                <w:oMath/>
              </w:rPr>
            </w:pPr>
            <m:oMathPara>
              <m:oMath>
                <m:r>
                  <m:rPr>
                    <m:sty m:val="p"/>
                  </m:rPr>
                  <w:rPr>
                    <w:rFonts w:ascii="Cambria Math" w:hAnsi="Cambria Math"/>
                  </w:rPr>
                  <m:t>2∙</m:t>
                </m:r>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m:oMathPara>
          </w:p>
        </w:tc>
        <w:tc>
          <w:tcPr>
            <w:tcW w:w="1866" w:type="dxa"/>
            <w:vAlign w:val="center"/>
          </w:tcPr>
          <w:p>
            <w:pPr>
              <w:spacing w:beforeLines="0" w:after="0" w:afterLines="0" w:line="240" w:lineRule="auto"/>
              <w:jc w:val="center"/>
              <w:rPr>
                <w:rFonts w:ascii="Cambria Math" w:hAnsi="Cambria Math"/>
                <w:szCs w:val="21"/>
                <w:oMath/>
              </w:rPr>
            </w:pPr>
            <m:oMathPara>
              <m:oMath>
                <m:r>
                  <m:rPr>
                    <m:sty m:val="p"/>
                  </m:rPr>
                  <w:rPr>
                    <w:rFonts w:ascii="Cambria Math" w:hAnsi="Cambria Math"/>
                  </w:rPr>
                  <m:t>2∙</m:t>
                </m:r>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oMath>
            </m:oMathPara>
          </w:p>
        </w:tc>
        <w:tc>
          <w:tcPr>
            <w:tcW w:w="3969" w:type="dxa"/>
            <w:vAlign w:val="center"/>
          </w:tcPr>
          <w:p>
            <w:pPr>
              <w:spacing w:beforeLines="0" w:after="0" w:afterLines="0" w:line="240" w:lineRule="auto"/>
              <w:jc w:val="center"/>
              <w:rPr>
                <w:rFonts w:ascii="Cambria Math" w:hAnsi="Cambria Math"/>
                <w:oMath/>
              </w:rPr>
            </w:pPr>
            <m:oMathPara>
              <m:oMath>
                <m:d>
                  <m:dPr>
                    <m:ctrlPr>
                      <w:rPr>
                        <w:rFonts w:ascii="Cambria Math" w:hAnsi="Cambria Math"/>
                        <w:i/>
                        <w:iCs/>
                      </w:rPr>
                    </m:ctrlPr>
                  </m:dPr>
                  <m:e>
                    <m:r>
                      <m:rPr/>
                      <w:rPr>
                        <w:rFonts w:ascii="Cambria Math" w:hAnsi="Cambria Math"/>
                      </w:rPr>
                      <m:t>6+</m:t>
                    </m:r>
                    <m:sSup>
                      <m:sSupPr>
                        <m:ctrlPr>
                          <w:rPr>
                            <w:rFonts w:ascii="Cambria Math" w:hAnsi="Cambria Math"/>
                            <w:i/>
                            <w:iCs/>
                          </w:rPr>
                        </m:ctrlPr>
                      </m:sSupPr>
                      <m:e>
                        <m:r>
                          <m:rPr/>
                          <w:rPr>
                            <w:rFonts w:ascii="Cambria Math" w:hAnsi="Cambria Math"/>
                          </w:rPr>
                          <m:t>2</m:t>
                        </m:r>
                        <m:ctrlPr>
                          <w:rPr>
                            <w:rFonts w:ascii="Cambria Math" w:hAnsi="Cambria Math"/>
                            <w:i/>
                            <w:iCs/>
                          </w:rPr>
                        </m:ctrlPr>
                      </m:e>
                      <m:sup>
                        <m:sSub>
                          <m:sSubPr>
                            <m:ctrlPr>
                              <w:rPr>
                                <w:rFonts w:ascii="Cambria Math" w:hAnsi="Cambria Math"/>
                                <w:i/>
                                <w:iCs/>
                              </w:rPr>
                            </m:ctrlPr>
                          </m:sSubPr>
                          <m:e>
                            <m:r>
                              <m:rPr/>
                              <w:rPr>
                                <w:rFonts w:ascii="Cambria Math" w:hAnsi="Cambria Math"/>
                              </w:rPr>
                              <m:t>Q</m:t>
                            </m:r>
                            <m:ctrlPr>
                              <w:rPr>
                                <w:rFonts w:ascii="Cambria Math" w:hAnsi="Cambria Math"/>
                                <w:i/>
                                <w:iCs/>
                              </w:rPr>
                            </m:ctrlPr>
                          </m:e>
                          <m:sub>
                            <m:r>
                              <m:rPr/>
                              <w:rPr>
                                <w:rFonts w:ascii="Cambria Math" w:hAnsi="Cambria Math"/>
                              </w:rPr>
                              <m:t>m</m:t>
                            </m:r>
                            <m:ctrlPr>
                              <w:rPr>
                                <w:rFonts w:ascii="Cambria Math" w:hAnsi="Cambria Math"/>
                                <w:i/>
                                <w:iCs/>
                              </w:rPr>
                            </m:ctrlPr>
                          </m:sub>
                        </m:sSub>
                        <m:r>
                          <m:rPr/>
                          <w:rPr>
                            <w:rFonts w:ascii="Cambria Math" w:hAnsi="Cambria Math"/>
                          </w:rPr>
                          <m:t>/2−1</m:t>
                        </m:r>
                        <m:ctrlPr>
                          <w:rPr>
                            <w:rFonts w:ascii="Cambria Math" w:hAnsi="Cambria Math"/>
                            <w:i/>
                            <w:iCs/>
                          </w:rPr>
                        </m:ctrlPr>
                      </m:sup>
                    </m:sSup>
                    <m:ctrlPr>
                      <w:rPr>
                        <w:rFonts w:ascii="Cambria Math" w:hAnsi="Cambria Math"/>
                        <w:i/>
                        <w:iCs/>
                      </w:rPr>
                    </m:ctrlPr>
                  </m:e>
                </m:d>
                <m:r>
                  <m:rPr/>
                  <w:rPr>
                    <w:rFonts w:ascii="Cambria Math" w:hAnsi="Cambria Math"/>
                  </w:rPr>
                  <m:t>×</m:t>
                </m:r>
                <m:sSub>
                  <m:sSubPr>
                    <m:ctrlPr>
                      <w:rPr>
                        <w:rFonts w:hint="eastAsia" w:ascii="Cambria Math" w:hAnsi="Cambria Math"/>
                      </w:rPr>
                    </m:ctrlPr>
                  </m:sSubPr>
                  <m:e>
                    <m:r>
                      <m:rPr/>
                      <w:rPr>
                        <w:rFonts w:ascii="Cambria Math" w:hAnsi="Cambria Math"/>
                      </w:rPr>
                      <m:t>N</m:t>
                    </m:r>
                    <m:ctrlPr>
                      <w:rPr>
                        <w:rFonts w:hint="eastAsia" w:ascii="Cambria Math" w:hAnsi="Cambria Math"/>
                      </w:rPr>
                    </m:ctrlPr>
                  </m:e>
                  <m:sub>
                    <m:r>
                      <m:rPr>
                        <m:sty m:val="p"/>
                      </m:rPr>
                      <w:rPr>
                        <w:rFonts w:hint="eastAsia" w:ascii="Cambria Math" w:hAnsi="Cambria Math"/>
                      </w:rPr>
                      <m:t>DM</m:t>
                    </m:r>
                    <m:ctrlPr>
                      <w:rPr>
                        <w:rFonts w:hint="eastAsia" w:ascii="Cambria Math" w:hAnsi="Cambria Math"/>
                      </w:rPr>
                    </m:ctrlPr>
                  </m:sub>
                </m:sSub>
                <m:r>
                  <m:rPr>
                    <m:sty m:val="p"/>
                  </m:rPr>
                  <w:rPr>
                    <w:rFonts w:ascii="Cambria Math" w:hAnsi="Cambria Math"/>
                  </w:rPr>
                  <m:t>+</m:t>
                </m:r>
                <m:sSup>
                  <m:sSupPr>
                    <m:ctrlPr>
                      <w:rPr>
                        <w:rFonts w:ascii="Cambria Math" w:hAnsi="Cambria Math"/>
                        <w:i/>
                        <w:iCs/>
                      </w:rPr>
                    </m:ctrlPr>
                  </m:sSupPr>
                  <m:e>
                    <m:r>
                      <m:rPr/>
                      <w:rPr>
                        <w:rFonts w:ascii="Cambria Math" w:hAnsi="Cambria Math"/>
                      </w:rPr>
                      <m:t>2</m:t>
                    </m:r>
                    <m:ctrlPr>
                      <w:rPr>
                        <w:rFonts w:ascii="Cambria Math" w:hAnsi="Cambria Math"/>
                        <w:i/>
                        <w:iCs/>
                      </w:rPr>
                    </m:ctrlPr>
                  </m:e>
                  <m:sup>
                    <m:sSub>
                      <m:sSubPr>
                        <m:ctrlPr>
                          <w:rPr>
                            <w:rFonts w:ascii="Cambria Math" w:hAnsi="Cambria Math"/>
                            <w:i/>
                            <w:iCs/>
                          </w:rPr>
                        </m:ctrlPr>
                      </m:sSubPr>
                      <m:e>
                        <m:r>
                          <m:rPr/>
                          <w:rPr>
                            <w:rFonts w:ascii="Cambria Math" w:hAnsi="Cambria Math"/>
                          </w:rPr>
                          <m:t>Q</m:t>
                        </m:r>
                        <m:ctrlPr>
                          <w:rPr>
                            <w:rFonts w:ascii="Cambria Math" w:hAnsi="Cambria Math"/>
                            <w:i/>
                            <w:iCs/>
                          </w:rPr>
                        </m:ctrlPr>
                      </m:e>
                      <m:sub>
                        <m:r>
                          <m:rPr/>
                          <w:rPr>
                            <w:rFonts w:ascii="Cambria Math" w:hAnsi="Cambria Math"/>
                          </w:rPr>
                          <m:t>m</m:t>
                        </m:r>
                        <m:ctrlPr>
                          <w:rPr>
                            <w:rFonts w:ascii="Cambria Math" w:hAnsi="Cambria Math"/>
                            <w:i/>
                            <w:iCs/>
                          </w:rPr>
                        </m:ctrlPr>
                      </m:sub>
                    </m:sSub>
                    <m:r>
                      <m:rPr/>
                      <w:rPr>
                        <w:rFonts w:ascii="Cambria Math" w:hAnsi="Cambria Math"/>
                      </w:rPr>
                      <m:t>/2−1</m:t>
                    </m:r>
                    <m:ctrlPr>
                      <w:rPr>
                        <w:rFonts w:ascii="Cambria Math" w:hAnsi="Cambria Math"/>
                        <w:i/>
                        <w:iCs/>
                      </w:rPr>
                    </m:ctrlPr>
                  </m:sup>
                </m:sSup>
                <m:r>
                  <m:rPr>
                    <m:sty m:val="p"/>
                  </m:rPr>
                  <w:rPr>
                    <w:rFonts w:ascii="Cambria Math" w:hAnsi="Cambria Math"/>
                  </w:rPr>
                  <m:t>+6k</m:t>
                </m:r>
                <m:r>
                  <m:rPr/>
                  <w:rPr>
                    <w:rFonts w:ascii="Cambria Math" w:hAnsi="Cambria Math"/>
                  </w:rPr>
                  <m:t>−1</m:t>
                </m:r>
              </m:oMath>
            </m:oMathPara>
          </w:p>
        </w:tc>
      </w:tr>
    </w:tbl>
    <w:p>
      <w:pPr>
        <w:pStyle w:val="52"/>
        <w:numPr>
          <w:ilvl w:val="0"/>
          <w:numId w:val="0"/>
        </w:numPr>
        <w:spacing w:before="120" w:after="120"/>
        <w:jc w:val="both"/>
        <w:rPr>
          <w:b w:val="0"/>
          <w:i w:val="0"/>
          <w:lang w:eastAsia="zh-CN"/>
        </w:rPr>
      </w:pPr>
      <w:bookmarkStart w:id="234" w:name="_Toc213435906"/>
      <w:r>
        <w:rPr>
          <w:rFonts w:hint="eastAsia"/>
          <w:b w:val="0"/>
          <w:i w:val="0"/>
          <w:lang w:eastAsia="zh-CN"/>
        </w:rPr>
        <w:t>F</w:t>
      </w:r>
      <w:r>
        <w:rPr>
          <w:b w:val="0"/>
          <w:i w:val="0"/>
          <w:lang w:eastAsia="zh-CN"/>
        </w:rPr>
        <w:t>or MIMO scenarios, the complexity of LMMSE MIMO detector is same as above.</w:t>
      </w:r>
      <w:bookmarkEnd w:id="234"/>
    </w:p>
    <w:p>
      <w:pPr>
        <w:spacing w:before="120" w:after="120"/>
        <w:rPr>
          <w:b/>
          <w:iCs/>
          <w:u w:val="single"/>
        </w:rPr>
      </w:pPr>
      <w:r>
        <w:rPr>
          <w:rFonts w:hint="eastAsia"/>
          <w:b/>
          <w:iCs/>
          <w:u w:val="single"/>
        </w:rPr>
        <w:t>C</w:t>
      </w:r>
      <w:r>
        <w:rPr>
          <w:b/>
          <w:iCs/>
          <w:u w:val="single"/>
        </w:rPr>
        <w:t>omputational complexity at receiver for SISO/MIMO scenarios</w:t>
      </w:r>
    </w:p>
    <w:p>
      <w:pPr>
        <w:spacing w:before="120" w:after="120"/>
        <w:rPr>
          <w:iCs/>
        </w:rPr>
      </w:pPr>
      <w:r>
        <w:rPr>
          <w:rFonts w:hint="eastAsia"/>
          <w:iCs/>
        </w:rPr>
        <w:t>Same as the analysis of NUC, both one</w:t>
      </w:r>
      <w:r>
        <w:rPr>
          <w:iCs/>
        </w:rPr>
        <w:t xml:space="preserve"> multipl</w:t>
      </w:r>
      <w:r>
        <w:rPr>
          <w:rFonts w:hint="eastAsia"/>
          <w:iCs/>
        </w:rPr>
        <w:t>ication</w:t>
      </w:r>
      <w:r>
        <w:rPr>
          <w:iCs/>
        </w:rPr>
        <w:t xml:space="preserve"> operation and </w:t>
      </w:r>
      <w:r>
        <w:rPr>
          <w:rFonts w:hint="eastAsia"/>
          <w:iCs/>
        </w:rPr>
        <w:t xml:space="preserve">one </w:t>
      </w:r>
      <w:r>
        <w:rPr>
          <w:iCs/>
        </w:rPr>
        <w:t>division operation</w:t>
      </w:r>
      <w:r>
        <w:rPr>
          <w:rFonts w:hint="eastAsia"/>
          <w:iCs/>
        </w:rPr>
        <w:t xml:space="preserve"> are set to</w:t>
      </w:r>
      <w:r>
        <w:rPr>
          <w:iCs/>
        </w:rPr>
        <w:t xml:space="preserve"> </w:t>
      </w:r>
      <w:r>
        <w:rPr>
          <w:rFonts w:hint="eastAsia"/>
          <w:iCs/>
        </w:rPr>
        <w:t xml:space="preserve">equivalent to </w:t>
      </w:r>
      <w:r>
        <w:rPr>
          <w:iCs/>
        </w:rPr>
        <w:t xml:space="preserve">10 addition operations. Based on MCS level </w:t>
      </w:r>
      <w:r>
        <w:rPr>
          <w:rFonts w:hint="eastAsia"/>
          <w:iCs/>
        </w:rPr>
        <w:t>19</w:t>
      </w:r>
      <w:r>
        <w:rPr>
          <w:iCs/>
        </w:rPr>
        <w:t xml:space="preserve"> </w:t>
      </w:r>
      <w:r>
        <w:rPr>
          <w:rFonts w:hint="eastAsia"/>
          <w:iCs/>
        </w:rPr>
        <w:t>(</w:t>
      </w:r>
      <w:r>
        <w:rPr>
          <w:i/>
        </w:rPr>
        <w:t>Q</w:t>
      </w:r>
      <w:r>
        <w:rPr>
          <w:iCs/>
          <w:vertAlign w:val="subscript"/>
        </w:rPr>
        <w:t>m</w:t>
      </w:r>
      <w:r>
        <w:rPr>
          <w:iCs/>
        </w:rPr>
        <w:t xml:space="preserve"> = 6, SE = </w:t>
      </w:r>
      <w:r>
        <w:rPr>
          <w:rFonts w:hint="eastAsia"/>
          <w:iCs/>
        </w:rPr>
        <w:t>5</w:t>
      </w:r>
      <w:r>
        <w:rPr>
          <w:iCs/>
        </w:rPr>
        <w:t>.</w:t>
      </w:r>
      <w:r>
        <w:rPr>
          <w:rFonts w:hint="eastAsia"/>
          <w:iCs/>
        </w:rPr>
        <w:t>1152</w:t>
      </w:r>
      <w:r>
        <w:rPr>
          <w:iCs/>
        </w:rPr>
        <w:t>) provided in Section 3.2.</w:t>
      </w:r>
      <w:r>
        <w:rPr>
          <w:rFonts w:hint="eastAsia"/>
          <w:iCs/>
        </w:rPr>
        <w:t>2</w:t>
      </w:r>
      <w:r>
        <w:rPr>
          <w:iCs/>
        </w:rPr>
        <w:t>.2</w:t>
      </w:r>
      <w:r>
        <w:rPr>
          <w:rFonts w:hint="eastAsia"/>
          <w:iCs/>
        </w:rPr>
        <w:t xml:space="preserve"> under 6 RBs</w:t>
      </w:r>
      <w:r>
        <w:rPr>
          <w:iCs/>
        </w:rPr>
        <w:t xml:space="preserve">, the computational complexities for </w:t>
      </w:r>
      <w:r>
        <w:rPr>
          <w:rFonts w:hint="eastAsia"/>
          <w:iCs/>
        </w:rPr>
        <w:t xml:space="preserve">CCDM-based </w:t>
      </w:r>
      <w:r>
        <w:rPr>
          <w:iCs/>
        </w:rPr>
        <w:t>PAS and legacy QAM are shown as below:</w:t>
      </w:r>
    </w:p>
    <w:p>
      <w:pPr>
        <w:spacing w:before="120" w:after="120"/>
        <w:jc w:val="center"/>
        <w:rPr>
          <w:iCs/>
        </w:rPr>
      </w:pPr>
      <w:r>
        <w:rPr>
          <w:rFonts w:hint="eastAsia"/>
          <w:iCs/>
        </w:rPr>
        <w:t>T</w:t>
      </w:r>
      <w:r>
        <w:rPr>
          <w:iCs/>
        </w:rPr>
        <w:t>able 9: Number of operations (Normalized to addition operations) for receiver complexity of PS for SISO scenario</w:t>
      </w:r>
    </w:p>
    <w:tbl>
      <w:tblPr>
        <w:tblStyle w:val="17"/>
        <w:tblW w:w="0" w:type="auto"/>
        <w:tblInd w:w="2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40"/>
        <w:gridCol w:w="4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40" w:type="dxa"/>
            <w:shd w:val="clear" w:color="auto" w:fill="BEBEBE" w:themeFill="background1" w:themeFillShade="BF"/>
            <w:vAlign w:val="center"/>
          </w:tcPr>
          <w:p>
            <w:pPr>
              <w:spacing w:beforeLines="0" w:after="0" w:afterLines="0" w:line="240" w:lineRule="auto"/>
              <w:jc w:val="center"/>
              <w:rPr>
                <w:b/>
                <w:iCs/>
              </w:rPr>
            </w:pPr>
            <w:r>
              <w:rPr>
                <w:b/>
                <w:iCs/>
              </w:rPr>
              <w:t>Modulation schemes</w:t>
            </w:r>
          </w:p>
        </w:tc>
        <w:tc>
          <w:tcPr>
            <w:tcW w:w="4658" w:type="dxa"/>
            <w:shd w:val="clear" w:color="auto" w:fill="BEBEBE" w:themeFill="background1" w:themeFillShade="BF"/>
            <w:vAlign w:val="center"/>
          </w:tcPr>
          <w:p>
            <w:pPr>
              <w:spacing w:beforeLines="0" w:after="0" w:afterLines="0" w:line="240" w:lineRule="auto"/>
              <w:jc w:val="center"/>
              <w:rPr>
                <w:b/>
                <w:iCs/>
              </w:rPr>
            </w:pPr>
            <w:r>
              <w:rPr>
                <w:rFonts w:hint="eastAsia"/>
                <w:b/>
                <w:iCs/>
              </w:rPr>
              <w:t>N</w:t>
            </w:r>
            <w:r>
              <w:rPr>
                <w:b/>
                <w:iCs/>
              </w:rPr>
              <w:t>umber of operations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40" w:type="dxa"/>
          </w:tcPr>
          <w:p>
            <w:pPr>
              <w:spacing w:beforeLines="0" w:after="0" w:afterLines="0" w:line="240" w:lineRule="auto"/>
              <w:jc w:val="center"/>
              <w:rPr>
                <w:iCs/>
              </w:rPr>
            </w:pPr>
            <w:r>
              <w:rPr>
                <w:rFonts w:hint="eastAsia"/>
                <w:iCs/>
              </w:rPr>
              <w:t>U</w:t>
            </w:r>
            <w:r>
              <w:rPr>
                <w:iCs/>
              </w:rPr>
              <w:t>niform QAM</w:t>
            </w:r>
          </w:p>
        </w:tc>
        <w:tc>
          <w:tcPr>
            <w:tcW w:w="4658" w:type="dxa"/>
          </w:tcPr>
          <w:p>
            <w:pPr>
              <w:spacing w:beforeLines="0" w:after="0" w:afterLines="0" w:line="240" w:lineRule="auto"/>
              <w:jc w:val="center"/>
              <w:rPr>
                <w:iCs/>
              </w:rPr>
            </w:pPr>
            <w:r>
              <w:rPr>
                <w:iCs/>
              </w:rPr>
              <w:t>762755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40" w:type="dxa"/>
          </w:tcPr>
          <w:p>
            <w:pPr>
              <w:spacing w:beforeLines="0" w:after="0" w:afterLines="0" w:line="240" w:lineRule="auto"/>
              <w:jc w:val="center"/>
              <w:rPr>
                <w:iCs/>
              </w:rPr>
            </w:pPr>
            <w:r>
              <w:rPr>
                <w:rFonts w:hint="eastAsia"/>
                <w:iCs/>
              </w:rPr>
              <w:t>C</w:t>
            </w:r>
            <w:r>
              <w:rPr>
                <w:iCs/>
              </w:rPr>
              <w:t>CDM-PAS</w:t>
            </w:r>
          </w:p>
        </w:tc>
        <w:tc>
          <w:tcPr>
            <w:tcW w:w="4658" w:type="dxa"/>
          </w:tcPr>
          <w:p>
            <w:pPr>
              <w:spacing w:beforeLines="0" w:after="0" w:afterLines="0" w:line="240" w:lineRule="auto"/>
              <w:jc w:val="center"/>
              <w:rPr>
                <w:iCs/>
              </w:rPr>
            </w:pPr>
            <w:r>
              <w:rPr>
                <w:iCs/>
              </w:rPr>
              <w:t>891375</w:t>
            </w:r>
          </w:p>
        </w:tc>
      </w:tr>
    </w:tbl>
    <w:p>
      <w:pPr>
        <w:pStyle w:val="52"/>
        <w:spacing w:before="120" w:after="120"/>
      </w:pPr>
      <w:bookmarkStart w:id="235" w:name="_Toc213435907"/>
      <w:r>
        <w:t>For MCS level 1</w:t>
      </w:r>
      <w:r>
        <w:rPr>
          <w:rFonts w:hint="eastAsia"/>
          <w:lang w:val="en-US" w:eastAsia="zh-CN"/>
        </w:rPr>
        <w:t>9</w:t>
      </w:r>
      <w:r>
        <w:t xml:space="preserve"> in SISO scenarios, computational complexities of </w:t>
      </w:r>
      <w:r>
        <w:rPr>
          <w:rFonts w:hint="eastAsia"/>
          <w:lang w:val="en-US" w:eastAsia="zh-CN"/>
        </w:rPr>
        <w:t xml:space="preserve">CCDM-based </w:t>
      </w:r>
      <w:r>
        <w:t>PAS and QAM are as below</w:t>
      </w:r>
      <w:bookmarkEnd w:id="235"/>
      <w:r>
        <w:t xml:space="preserve"> </w:t>
      </w:r>
    </w:p>
    <w:p>
      <w:pPr>
        <w:pStyle w:val="52"/>
        <w:numPr>
          <w:ilvl w:val="0"/>
          <w:numId w:val="17"/>
        </w:numPr>
        <w:spacing w:before="120" w:after="120"/>
      </w:pPr>
      <w:bookmarkStart w:id="236" w:name="_Toc213435908"/>
      <w:r>
        <w:rPr>
          <w:lang w:eastAsia="zh-CN"/>
        </w:rPr>
        <w:t>Computational complexity of PAS is ~</w:t>
      </w:r>
      <w:r>
        <w:rPr>
          <w:rFonts w:hint="eastAsia"/>
          <w:lang w:val="en-US" w:eastAsia="zh-CN"/>
        </w:rPr>
        <w:t>8</w:t>
      </w:r>
      <w:r>
        <w:rPr>
          <w:lang w:val="en-US" w:eastAsia="zh-CN"/>
        </w:rPr>
        <w:t>91</w:t>
      </w:r>
      <w:r>
        <w:rPr>
          <w:lang w:eastAsia="zh-CN"/>
        </w:rPr>
        <w:t>K operations</w:t>
      </w:r>
      <w:bookmarkEnd w:id="236"/>
    </w:p>
    <w:p>
      <w:pPr>
        <w:pStyle w:val="52"/>
        <w:numPr>
          <w:ilvl w:val="0"/>
          <w:numId w:val="17"/>
        </w:numPr>
        <w:spacing w:before="120" w:after="120"/>
      </w:pPr>
      <w:bookmarkStart w:id="237" w:name="_Toc213435909"/>
      <w:r>
        <w:rPr>
          <w:rFonts w:hint="eastAsia"/>
          <w:lang w:eastAsia="zh-CN"/>
        </w:rPr>
        <w:t>C</w:t>
      </w:r>
      <w:r>
        <w:rPr>
          <w:lang w:eastAsia="zh-CN"/>
        </w:rPr>
        <w:t>omputational complexity of uniform QAM is ~</w:t>
      </w:r>
      <w:r>
        <w:rPr>
          <w:rFonts w:hint="eastAsia"/>
          <w:lang w:val="en-US" w:eastAsia="zh-CN"/>
        </w:rPr>
        <w:t>7</w:t>
      </w:r>
      <w:r>
        <w:rPr>
          <w:lang w:val="en-US" w:eastAsia="zh-CN"/>
        </w:rPr>
        <w:t>62</w:t>
      </w:r>
      <w:r>
        <w:rPr>
          <w:lang w:eastAsia="zh-CN"/>
        </w:rPr>
        <w:t>K operations</w:t>
      </w:r>
      <w:bookmarkEnd w:id="237"/>
    </w:p>
    <w:p>
      <w:pPr>
        <w:spacing w:before="120" w:after="120"/>
        <w:rPr>
          <w:iCs/>
        </w:rPr>
      </w:pPr>
      <w:r>
        <w:rPr>
          <w:rFonts w:hint="eastAsia"/>
        </w:rPr>
        <w:t>F</w:t>
      </w:r>
      <w:r>
        <w:t xml:space="preserve">or MIMO scenarios, we consider the same </w:t>
      </w:r>
      <w:r>
        <w:rPr>
          <w:iCs/>
        </w:rPr>
        <w:t xml:space="preserve">factors for multiplex operations and division operation as mentioned above, based on MCS level MCS level </w:t>
      </w:r>
      <w:r>
        <w:rPr>
          <w:rFonts w:hint="eastAsia"/>
          <w:iCs/>
        </w:rPr>
        <w:t>19</w:t>
      </w:r>
      <w:r>
        <w:rPr>
          <w:iCs/>
        </w:rPr>
        <w:t xml:space="preserve"> </w:t>
      </w:r>
      <w:r>
        <w:rPr>
          <w:rFonts w:hint="eastAsia"/>
          <w:iCs/>
        </w:rPr>
        <w:t>(</w:t>
      </w:r>
      <w:r>
        <w:rPr>
          <w:i/>
        </w:rPr>
        <w:t>Q</w:t>
      </w:r>
      <w:r>
        <w:rPr>
          <w:iCs/>
          <w:vertAlign w:val="subscript"/>
        </w:rPr>
        <w:t>m</w:t>
      </w:r>
      <w:r>
        <w:rPr>
          <w:iCs/>
        </w:rPr>
        <w:t xml:space="preserve"> = 6, SE = </w:t>
      </w:r>
      <w:r>
        <w:rPr>
          <w:rFonts w:hint="eastAsia"/>
          <w:iCs/>
        </w:rPr>
        <w:t>5</w:t>
      </w:r>
      <w:r>
        <w:rPr>
          <w:iCs/>
        </w:rPr>
        <w:t>.</w:t>
      </w:r>
      <w:r>
        <w:rPr>
          <w:rFonts w:hint="eastAsia"/>
          <w:iCs/>
        </w:rPr>
        <w:t>1152</w:t>
      </w:r>
      <w:r>
        <w:rPr>
          <w:iCs/>
        </w:rPr>
        <w:t>), we provided in Section 3.2.2.2, the computational complexities of PAS and legacy QAM in MMSE receiver are shown as below:</w:t>
      </w:r>
    </w:p>
    <w:p>
      <w:pPr>
        <w:spacing w:before="120" w:after="120"/>
        <w:jc w:val="center"/>
        <w:rPr>
          <w:iCs/>
        </w:rPr>
      </w:pPr>
      <w:r>
        <w:rPr>
          <w:rFonts w:hint="eastAsia"/>
          <w:iCs/>
        </w:rPr>
        <w:t>T</w:t>
      </w:r>
      <w:r>
        <w:rPr>
          <w:iCs/>
        </w:rPr>
        <w:t>able 10: Number of operations (Normalized to addition operations) for receiver complexity of PS for MIMO scenarios under LMMSE receiver</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7"/>
        <w:gridCol w:w="46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7" w:type="dxa"/>
            <w:shd w:val="clear" w:color="auto" w:fill="BEBEBE" w:themeFill="background1" w:themeFillShade="BF"/>
            <w:vAlign w:val="center"/>
          </w:tcPr>
          <w:p>
            <w:pPr>
              <w:spacing w:beforeLines="0" w:after="0" w:afterLines="0" w:line="240" w:lineRule="auto"/>
              <w:jc w:val="center"/>
              <w:rPr>
                <w:b/>
                <w:iCs/>
              </w:rPr>
            </w:pPr>
            <w:r>
              <w:rPr>
                <w:b/>
                <w:iCs/>
              </w:rPr>
              <w:t>Modulation schemes</w:t>
            </w:r>
          </w:p>
        </w:tc>
        <w:tc>
          <w:tcPr>
            <w:tcW w:w="4658" w:type="dxa"/>
            <w:shd w:val="clear" w:color="auto" w:fill="BEBEBE" w:themeFill="background1" w:themeFillShade="BF"/>
            <w:vAlign w:val="center"/>
          </w:tcPr>
          <w:p>
            <w:pPr>
              <w:spacing w:beforeLines="0" w:after="0" w:afterLines="0" w:line="240" w:lineRule="auto"/>
              <w:jc w:val="center"/>
              <w:rPr>
                <w:b/>
                <w:iCs/>
              </w:rPr>
            </w:pPr>
            <w:r>
              <w:rPr>
                <w:rFonts w:hint="eastAsia"/>
                <w:b/>
                <w:iCs/>
              </w:rPr>
              <w:t>N</w:t>
            </w:r>
            <w:r>
              <w:rPr>
                <w:b/>
                <w:iCs/>
              </w:rPr>
              <w:t>umber of operations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7" w:type="dxa"/>
          </w:tcPr>
          <w:p>
            <w:pPr>
              <w:spacing w:beforeLines="0" w:after="0" w:afterLines="0" w:line="240" w:lineRule="auto"/>
              <w:jc w:val="center"/>
              <w:rPr>
                <w:iCs/>
              </w:rPr>
            </w:pPr>
            <w:r>
              <w:rPr>
                <w:rFonts w:hint="eastAsia"/>
                <w:iCs/>
              </w:rPr>
              <w:t>U</w:t>
            </w:r>
            <w:r>
              <w:rPr>
                <w:iCs/>
              </w:rPr>
              <w:t>niform QAM</w:t>
            </w:r>
          </w:p>
        </w:tc>
        <w:tc>
          <w:tcPr>
            <w:tcW w:w="4658" w:type="dxa"/>
          </w:tcPr>
          <w:p>
            <w:pPr>
              <w:spacing w:beforeLines="0" w:after="0" w:afterLines="0" w:line="240" w:lineRule="auto"/>
              <w:jc w:val="center"/>
              <w:rPr>
                <w:iCs/>
              </w:rPr>
            </w:pPr>
            <w:r>
              <w:rPr>
                <w:iCs/>
              </w:rPr>
              <w:t>4489204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7" w:type="dxa"/>
          </w:tcPr>
          <w:p>
            <w:pPr>
              <w:spacing w:beforeLines="0" w:after="0" w:afterLines="0" w:line="240" w:lineRule="auto"/>
              <w:jc w:val="center"/>
              <w:rPr>
                <w:iCs/>
              </w:rPr>
            </w:pPr>
            <w:r>
              <w:rPr>
                <w:rFonts w:hint="eastAsia"/>
                <w:iCs/>
              </w:rPr>
              <w:t>C</w:t>
            </w:r>
            <w:r>
              <w:rPr>
                <w:iCs/>
              </w:rPr>
              <w:t>CDM-PAS</w:t>
            </w:r>
          </w:p>
        </w:tc>
        <w:tc>
          <w:tcPr>
            <w:tcW w:w="4658" w:type="dxa"/>
          </w:tcPr>
          <w:p>
            <w:pPr>
              <w:spacing w:beforeLines="0" w:after="0" w:afterLines="0" w:line="240" w:lineRule="auto"/>
              <w:jc w:val="center"/>
              <w:rPr>
                <w:iCs/>
              </w:rPr>
            </w:pPr>
            <w:r>
              <w:rPr>
                <w:iCs/>
              </w:rPr>
              <w:t>5005859</w:t>
            </w:r>
          </w:p>
        </w:tc>
      </w:tr>
    </w:tbl>
    <w:p>
      <w:pPr>
        <w:pStyle w:val="52"/>
        <w:spacing w:before="120" w:after="120"/>
      </w:pPr>
      <w:bookmarkStart w:id="238" w:name="_Toc213435910"/>
      <w:r>
        <w:t xml:space="preserve">For MCS level 19 in MIMO </w:t>
      </w:r>
      <w:r>
        <w:rPr>
          <w:rFonts w:hint="eastAsia"/>
          <w:lang w:eastAsia="zh-CN"/>
        </w:rPr>
        <w:t>(</w:t>
      </w:r>
      <w:r>
        <w:rPr>
          <w:lang w:eastAsia="zh-CN"/>
        </w:rPr>
        <w:t>4T4R)</w:t>
      </w:r>
      <w:r>
        <w:t xml:space="preserve"> scenarios, computational complexities of PAS and QAM </w:t>
      </w:r>
      <w:r>
        <w:rPr>
          <w:rFonts w:hint="eastAsia"/>
          <w:lang w:eastAsia="zh-CN"/>
        </w:rPr>
        <w:t>f</w:t>
      </w:r>
      <w:r>
        <w:t>or LMMSE receiver are as below.</w:t>
      </w:r>
      <w:bookmarkEnd w:id="238"/>
      <w:r>
        <w:t xml:space="preserve"> </w:t>
      </w:r>
    </w:p>
    <w:p>
      <w:pPr>
        <w:pStyle w:val="52"/>
        <w:numPr>
          <w:ilvl w:val="0"/>
          <w:numId w:val="17"/>
        </w:numPr>
        <w:spacing w:before="120" w:after="120"/>
      </w:pPr>
      <w:bookmarkStart w:id="239" w:name="_Toc213435911"/>
      <w:r>
        <w:rPr>
          <w:lang w:eastAsia="zh-CN"/>
        </w:rPr>
        <w:t>Computational complexity of PAS is ~5M operations</w:t>
      </w:r>
      <w:bookmarkEnd w:id="239"/>
    </w:p>
    <w:p>
      <w:pPr>
        <w:pStyle w:val="52"/>
        <w:numPr>
          <w:ilvl w:val="0"/>
          <w:numId w:val="17"/>
        </w:numPr>
        <w:spacing w:before="120" w:after="120"/>
      </w:pPr>
      <w:bookmarkStart w:id="240" w:name="_Toc213435912"/>
      <w:r>
        <w:rPr>
          <w:rFonts w:hint="eastAsia"/>
          <w:lang w:eastAsia="zh-CN"/>
        </w:rPr>
        <w:t>C</w:t>
      </w:r>
      <w:r>
        <w:rPr>
          <w:lang w:eastAsia="zh-CN"/>
        </w:rPr>
        <w:t>omputational complexity of uniform QAM is ~4.5M operations</w:t>
      </w:r>
      <w:bookmarkEnd w:id="240"/>
    </w:p>
    <w:bookmarkEnd w:id="220"/>
    <w:p>
      <w:pPr>
        <w:pStyle w:val="2"/>
        <w:spacing w:before="120" w:after="120"/>
        <w:ind w:left="0"/>
      </w:pPr>
      <w:bookmarkStart w:id="241" w:name="_Toc5561"/>
      <w:bookmarkEnd w:id="241"/>
      <w:r>
        <w:rPr>
          <w:rFonts w:hint="eastAsia" w:eastAsia="宋体"/>
        </w:rPr>
        <w:t>Discussion on low PAPR modulation</w:t>
      </w:r>
      <w:r>
        <w:rPr>
          <w:rFonts w:eastAsia="宋体"/>
        </w:rPr>
        <w:t xml:space="preserve"> </w:t>
      </w:r>
      <w:bookmarkStart w:id="242" w:name="_Toc82"/>
      <w:bookmarkEnd w:id="242"/>
      <w:bookmarkStart w:id="243" w:name="_Toc525"/>
      <w:bookmarkEnd w:id="243"/>
      <w:bookmarkStart w:id="244" w:name="_Toc29089"/>
      <w:bookmarkEnd w:id="244"/>
      <w:bookmarkStart w:id="245" w:name="_Toc29400"/>
      <w:bookmarkEnd w:id="245"/>
    </w:p>
    <w:p>
      <w:pPr>
        <w:pStyle w:val="3"/>
        <w:spacing w:before="120" w:after="120"/>
        <w:ind w:left="991" w:right="210" w:hanging="991" w:hangingChars="354"/>
        <w:rPr>
          <w:rFonts w:eastAsia="宋体"/>
        </w:rPr>
      </w:pPr>
      <w:r>
        <w:rPr>
          <w:rFonts w:hint="eastAsia" w:eastAsia="宋体"/>
        </w:rPr>
        <w:t xml:space="preserve">Interpolation-based modulation </w:t>
      </w:r>
    </w:p>
    <w:p>
      <w:pPr>
        <w:spacing w:beforeLines="0" w:after="120" w:afterLines="0" w:line="240" w:lineRule="auto"/>
        <w:rPr>
          <w:szCs w:val="21"/>
        </w:rPr>
      </w:pPr>
      <w:r>
        <w:rPr>
          <w:rFonts w:hint="eastAsia"/>
          <w:szCs w:val="21"/>
        </w:rPr>
        <w:t>For DFT-s-OFDM, an interpolation-based modulation (I-modulation) scheme can be implemented via either a time-domain or frequency-domain approach to reduce PAPR while maintaining spectral efficiency and link performance.</w:t>
      </w:r>
    </w:p>
    <w:p>
      <w:pPr>
        <w:pStyle w:val="4"/>
        <w:spacing w:after="120"/>
      </w:pPr>
      <w:r>
        <w:rPr>
          <w:rFonts w:hint="eastAsia"/>
        </w:rPr>
        <w:t>Time-domain description</w:t>
      </w:r>
    </w:p>
    <w:p>
      <w:pPr>
        <w:spacing w:beforeLines="0" w:after="120" w:afterLines="0" w:line="240" w:lineRule="auto"/>
        <w:rPr>
          <w:szCs w:val="21"/>
        </w:rPr>
      </w:pPr>
      <w:r>
        <w:rPr>
          <w:rFonts w:hint="eastAsia"/>
          <w:szCs w:val="21"/>
        </w:rPr>
        <w:t xml:space="preserve">I-modulation inserts a new symbol between each pair of adjacent time-domain modulation symbols for </w:t>
      </w:r>
      <w:r>
        <w:rPr>
          <w:szCs w:val="21"/>
        </w:rPr>
        <w:t>π</w:t>
      </w:r>
      <w:r>
        <w:rPr>
          <w:rFonts w:hint="eastAsia"/>
          <w:szCs w:val="21"/>
        </w:rPr>
        <w:t xml:space="preserve">/2-BPSK, QPSK, or QAM modulation, generating the I-modulation sequence. The I-modulation sequence then undergoes a DFT transformation, followed by frequency- domain truncation and an optional transparent frequency-domain spectral shaping (FDSS). The overall procedure is illustrated in Figure </w:t>
      </w:r>
      <w:r>
        <w:rPr>
          <w:szCs w:val="21"/>
        </w:rPr>
        <w:t>12</w:t>
      </w:r>
      <w:r>
        <w:rPr>
          <w:rFonts w:hint="eastAsia"/>
          <w:szCs w:val="21"/>
        </w:rPr>
        <w:t>.</w:t>
      </w:r>
    </w:p>
    <w:p>
      <w:pPr>
        <w:spacing w:beforeLines="0" w:after="120" w:afterLines="0" w:line="240" w:lineRule="auto"/>
        <w:jc w:val="center"/>
        <w:rPr>
          <w:szCs w:val="21"/>
        </w:rPr>
      </w:pPr>
      <w:r>
        <w:rPr>
          <w:szCs w:val="21"/>
        </w:rPr>
        <w:object>
          <v:shape id="_x0000_i1026" o:spt="75" type="#_x0000_t75" style="height:52.65pt;width:465.3pt;" o:ole="t" filled="f" o:preferrelative="t" stroked="f" coordsize="21600,21600">
            <v:path/>
            <v:fill on="f" focussize="0,0"/>
            <v:stroke on="f" joinstyle="miter"/>
            <v:imagedata r:id="rId32" o:title=""/>
            <o:lock v:ext="edit" aspectratio="f"/>
            <w10:wrap type="none"/>
            <w10:anchorlock/>
          </v:shape>
          <o:OLEObject Type="Embed" ProgID="Visio.Drawing.11" ShapeID="_x0000_i1026" DrawAspect="Content" ObjectID="_1468075726" r:id="rId31">
            <o:LockedField>false</o:LockedField>
          </o:OLEObject>
        </w:object>
      </w:r>
    </w:p>
    <w:p>
      <w:pPr>
        <w:spacing w:beforeLines="0" w:after="120" w:afterLines="0" w:line="240" w:lineRule="auto"/>
        <w:jc w:val="center"/>
        <w:rPr>
          <w:szCs w:val="21"/>
        </w:rPr>
      </w:pPr>
      <w:r>
        <w:rPr>
          <w:rFonts w:hint="eastAsia"/>
          <w:szCs w:val="21"/>
        </w:rPr>
        <w:t xml:space="preserve">Figure </w:t>
      </w:r>
      <w:r>
        <w:rPr>
          <w:szCs w:val="21"/>
        </w:rPr>
        <w:t>12</w:t>
      </w:r>
      <w:r>
        <w:rPr>
          <w:rFonts w:hint="eastAsia"/>
          <w:szCs w:val="21"/>
        </w:rPr>
        <w:t xml:space="preserve"> </w:t>
      </w:r>
      <w:r>
        <w:rPr>
          <w:rFonts w:hint="eastAsia"/>
        </w:rPr>
        <w:t>I-</w:t>
      </w:r>
      <w:r>
        <w:rPr>
          <w:rFonts w:hint="eastAsia"/>
          <w:szCs w:val="21"/>
        </w:rPr>
        <w:t>modulation procedure for time-domain</w:t>
      </w:r>
    </w:p>
    <w:p>
      <w:pPr>
        <w:numPr>
          <w:ilvl w:val="0"/>
          <w:numId w:val="28"/>
        </w:numPr>
        <w:spacing w:beforeLines="0" w:after="120" w:afterLines="0" w:line="240" w:lineRule="auto"/>
        <w:ind w:left="403" w:hanging="403"/>
        <w:rPr>
          <w:szCs w:val="21"/>
        </w:rPr>
      </w:pPr>
      <w:r>
        <w:rPr>
          <w:rFonts w:hint="eastAsia"/>
          <w:szCs w:val="21"/>
        </w:rPr>
        <w:t>Interpolation</w:t>
      </w:r>
    </w:p>
    <w:p>
      <w:pPr>
        <w:spacing w:beforeLines="0" w:afterLines="0" w:line="240" w:lineRule="auto"/>
        <w:rPr>
          <w:szCs w:val="21"/>
        </w:rPr>
      </w:pPr>
      <w:r>
        <w:rPr>
          <w:szCs w:val="21"/>
        </w:rPr>
        <w:t xml:space="preserve">The encoded </w:t>
      </w:r>
      <w:r>
        <w:rPr>
          <w:rFonts w:hint="eastAsia"/>
          <w:szCs w:val="21"/>
        </w:rPr>
        <w:t xml:space="preserve">bits are </w:t>
      </w:r>
      <w:r>
        <w:rPr>
          <w:szCs w:val="21"/>
        </w:rPr>
        <w:t>modulat</w:t>
      </w:r>
      <w:r>
        <w:rPr>
          <w:rFonts w:hint="eastAsia"/>
          <w:szCs w:val="21"/>
        </w:rPr>
        <w:t>ed</w:t>
      </w:r>
      <w:r>
        <w:rPr>
          <w:szCs w:val="21"/>
        </w:rPr>
        <w:t xml:space="preserve"> to generate </w:t>
      </w:r>
      <w:r>
        <w:rPr>
          <w:rFonts w:hint="eastAsia"/>
          <w:szCs w:val="21"/>
        </w:rPr>
        <w:t xml:space="preserve">the original </w:t>
      </w:r>
      <w:r>
        <w:rPr>
          <w:szCs w:val="21"/>
        </w:rPr>
        <w:t>π</w:t>
      </w:r>
      <w:r>
        <w:rPr>
          <w:rFonts w:hint="eastAsia"/>
          <w:szCs w:val="21"/>
        </w:rPr>
        <w:t xml:space="preserve">/2-BPSK, QPSK or QAM modulation </w:t>
      </w:r>
      <w:r>
        <w:rPr>
          <w:szCs w:val="21"/>
        </w:rPr>
        <w:t>symbols</w:t>
      </w:r>
      <w:r>
        <w:rPr>
          <w:rFonts w:hint="eastAsia"/>
          <w:szCs w:val="21"/>
        </w:rPr>
        <w:t xml:space="preserve"> </w:t>
      </w:r>
      <m:oMath>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0</m:t>
            </m:r>
            <m:ctrlPr>
              <w:rPr>
                <w:rFonts w:ascii="Cambria Math" w:hAnsi="Cambria Math"/>
                <w:i/>
                <w:szCs w:val="21"/>
              </w:rPr>
            </m:ctrlPr>
          </m:sub>
        </m:sSub>
        <m:r>
          <m:rPr/>
          <w:rPr>
            <w:rFonts w:ascii="Cambria Math" w:hAnsi="Cambria Math"/>
            <w:szCs w:val="21"/>
          </w:rPr>
          <m:t>,</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1</m:t>
            </m:r>
            <m:ctrlPr>
              <w:rPr>
                <w:rFonts w:ascii="Cambria Math" w:hAnsi="Cambria Math"/>
                <w:i/>
                <w:szCs w:val="21"/>
              </w:rPr>
            </m:ctrlPr>
          </m:sub>
        </m:sSub>
        <m:r>
          <m:rPr/>
          <w:rPr>
            <w:rFonts w:ascii="Cambria Math" w:hAnsi="Cambria Math"/>
            <w:szCs w:val="21"/>
          </w:rPr>
          <m:t>,</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2</m:t>
            </m:r>
            <m:ctrlPr>
              <w:rPr>
                <w:rFonts w:ascii="Cambria Math" w:hAnsi="Cambria Math"/>
                <w:i/>
                <w:szCs w:val="21"/>
              </w:rPr>
            </m:ctrlPr>
          </m:sub>
        </m:sSub>
        <m:r>
          <m:rPr/>
          <w:rPr>
            <w:rFonts w:ascii="Cambria Math" w:hAnsi="Cambria Math"/>
            <w:szCs w:val="21"/>
          </w:rPr>
          <m:t>,...,</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N−1</m:t>
            </m:r>
            <m:ctrlPr>
              <w:rPr>
                <w:rFonts w:ascii="Cambria Math" w:hAnsi="Cambria Math"/>
                <w:i/>
                <w:szCs w:val="21"/>
              </w:rPr>
            </m:ctrlPr>
          </m:sub>
        </m:sSub>
      </m:oMath>
      <w:r>
        <w:rPr>
          <w:szCs w:val="21"/>
        </w:rPr>
        <w:t>.</w:t>
      </w:r>
      <w:r>
        <w:rPr>
          <w:rFonts w:hint="eastAsia"/>
          <w:szCs w:val="21"/>
        </w:rPr>
        <w:t xml:space="preserve"> Then</w:t>
      </w:r>
      <w:r>
        <w:rPr>
          <w:szCs w:val="21"/>
        </w:rPr>
        <w:t xml:space="preserve">, a new modulation symbol </w:t>
      </w:r>
      <w:r>
        <w:rPr>
          <w:rFonts w:hint="eastAsia"/>
          <w:szCs w:val="21"/>
        </w:rPr>
        <w:t>is interpolated</w:t>
      </w:r>
      <w:r>
        <w:rPr>
          <w:szCs w:val="21"/>
        </w:rPr>
        <w:t xml:space="preserve"> between every pair of adjacent </w:t>
      </w:r>
      <w:r>
        <w:rPr>
          <w:rFonts w:hint="eastAsia"/>
          <w:szCs w:val="21"/>
        </w:rPr>
        <w:t xml:space="preserve">modulation </w:t>
      </w:r>
      <w:r>
        <w:rPr>
          <w:szCs w:val="21"/>
        </w:rPr>
        <w:t>symbols</w:t>
      </w:r>
      <w:r>
        <w:rPr>
          <w:rFonts w:hint="eastAsia"/>
          <w:szCs w:val="21"/>
        </w:rPr>
        <w:t xml:space="preserve"> </w:t>
      </w:r>
      <m:oMath>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m:t>
            </m:r>
            <m:ctrlPr>
              <w:rPr>
                <w:rFonts w:ascii="Cambria Math" w:hAnsi="Cambria Math"/>
                <w:i/>
                <w:szCs w:val="21"/>
              </w:rPr>
            </m:ctrlPr>
          </m:sub>
        </m:sSub>
      </m:oMath>
      <w:r>
        <w:rPr>
          <w:rFonts w:hint="eastAsia"/>
          <w:szCs w:val="21"/>
        </w:rPr>
        <w:t xml:space="preserve"> and </w:t>
      </w:r>
      <m:oMath>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n+1</m:t>
            </m:r>
            <m:ctrlPr>
              <w:rPr>
                <w:rFonts w:ascii="Cambria Math" w:hAnsi="Cambria Math"/>
                <w:i/>
                <w:szCs w:val="21"/>
              </w:rPr>
            </m:ctrlPr>
          </m:sub>
        </m:sSub>
      </m:oMath>
      <w:r>
        <w:rPr>
          <w:rFonts w:hint="eastAsia"/>
          <w:szCs w:val="21"/>
        </w:rPr>
        <w:t xml:space="preserve">, </w:t>
      </w:r>
      <w:r>
        <w:rPr>
          <w:szCs w:val="21"/>
        </w:rPr>
        <w:t xml:space="preserve">where the </w:t>
      </w:r>
      <w:r>
        <w:rPr>
          <w:rFonts w:hint="eastAsia"/>
          <w:szCs w:val="21"/>
        </w:rPr>
        <w:t>interpolated</w:t>
      </w:r>
      <w:r>
        <w:rPr>
          <w:szCs w:val="21"/>
        </w:rPr>
        <w:t xml:space="preserve"> symbol is computed as</w:t>
      </w:r>
      <w:r>
        <w:rPr>
          <w:rFonts w:hint="eastAsia"/>
          <w:szCs w:val="21"/>
        </w:rPr>
        <w:t xml:space="preserve"> </w:t>
      </w:r>
      <m:oMath>
        <m:r>
          <m:rPr>
            <m:sty m:val="p"/>
          </m:rPr>
          <w:rPr>
            <w:rFonts w:ascii="Cambria Math" w:hAnsi="Cambria Math"/>
            <w:szCs w:val="21"/>
          </w:rPr>
          <m:t>(Re{</m:t>
        </m:r>
        <m:sSub>
          <m:sSubPr>
            <m:ctrlPr>
              <w:rPr>
                <w:rFonts w:ascii="Cambria Math" w:hAnsi="Cambria Math"/>
                <w:szCs w:val="21"/>
              </w:rPr>
            </m:ctrlPr>
          </m:sSubPr>
          <m:e>
            <m:r>
              <m:rPr>
                <m:sty m:val="p"/>
              </m:rPr>
              <w:rPr>
                <w:rFonts w:ascii="Cambria Math" w:hAnsi="Cambria Math"/>
                <w:szCs w:val="21"/>
              </w:rPr>
              <m:t>s</m:t>
            </m:r>
            <m:ctrlPr>
              <w:rPr>
                <w:rFonts w:ascii="Cambria Math" w:hAnsi="Cambria Math"/>
                <w:szCs w:val="21"/>
              </w:rPr>
            </m:ctrlPr>
          </m:e>
          <m:sub>
            <m:r>
              <m:rPr>
                <m:sty m:val="p"/>
              </m:rPr>
              <w:rPr>
                <w:rFonts w:ascii="Cambria Math" w:hAnsi="Cambria Math"/>
                <w:szCs w:val="21"/>
              </w:rPr>
              <m:t>n</m:t>
            </m:r>
            <m:ctrlPr>
              <w:rPr>
                <w:rFonts w:ascii="Cambria Math" w:hAnsi="Cambria Math"/>
                <w:szCs w:val="21"/>
              </w:rPr>
            </m:ctrlPr>
          </m:sub>
        </m:sSub>
        <m:r>
          <m:rPr>
            <m:sty m:val="p"/>
          </m:rPr>
          <w:rPr>
            <w:rFonts w:ascii="Cambria Math" w:hAnsi="Cambria Math"/>
            <w:szCs w:val="21"/>
          </w:rPr>
          <m:t>}+Im{</m:t>
        </m:r>
        <m:sSub>
          <m:sSubPr>
            <m:ctrlPr>
              <w:rPr>
                <w:rFonts w:ascii="Cambria Math" w:hAnsi="Cambria Math"/>
                <w:szCs w:val="21"/>
              </w:rPr>
            </m:ctrlPr>
          </m:sSubPr>
          <m:e>
            <m:r>
              <m:rPr>
                <m:sty m:val="p"/>
              </m:rPr>
              <w:rPr>
                <w:rFonts w:ascii="Cambria Math" w:hAnsi="Cambria Math"/>
                <w:szCs w:val="21"/>
              </w:rPr>
              <m:t>s</m:t>
            </m:r>
            <m:ctrlPr>
              <w:rPr>
                <w:rFonts w:ascii="Cambria Math" w:hAnsi="Cambria Math"/>
                <w:szCs w:val="21"/>
              </w:rPr>
            </m:ctrlPr>
          </m:e>
          <m:sub>
            <m:r>
              <m:rPr>
                <m:sty m:val="p"/>
              </m:rPr>
              <w:rPr>
                <w:rFonts w:ascii="Cambria Math" w:hAnsi="Cambria Math"/>
                <w:szCs w:val="21"/>
              </w:rPr>
              <m:t>n+1</m:t>
            </m:r>
            <m:ctrlPr>
              <w:rPr>
                <w:rFonts w:ascii="Cambria Math" w:hAnsi="Cambria Math"/>
                <w:szCs w:val="21"/>
              </w:rPr>
            </m:ctrlPr>
          </m:sub>
        </m:sSub>
        <m:r>
          <m:rPr>
            <m:sty m:val="p"/>
          </m:rPr>
          <w:rPr>
            <w:rFonts w:ascii="Cambria Math" w:hAnsi="Cambria Math"/>
            <w:szCs w:val="21"/>
          </w:rPr>
          <m:t>}∙j)∙</m:t>
        </m:r>
        <m:sSup>
          <m:sSupPr>
            <m:ctrlPr>
              <w:rPr>
                <w:rFonts w:ascii="Cambria Math" w:hAnsi="Cambria Math"/>
                <w:szCs w:val="21"/>
              </w:rPr>
            </m:ctrlPr>
          </m:sSupPr>
          <m:e>
            <m:r>
              <m:rPr>
                <m:sty m:val="p"/>
              </m:rPr>
              <w:rPr>
                <w:rFonts w:ascii="Cambria Math" w:hAnsi="Cambria Math"/>
                <w:szCs w:val="21"/>
              </w:rPr>
              <m:t>e</m:t>
            </m:r>
            <m:ctrlPr>
              <w:rPr>
                <w:rFonts w:ascii="Cambria Math" w:hAnsi="Cambria Math"/>
                <w:szCs w:val="21"/>
              </w:rPr>
            </m:ctrlPr>
          </m:e>
          <m:sup>
            <m:r>
              <m:rPr>
                <m:sty m:val="p"/>
              </m:rPr>
              <w:rPr>
                <w:rFonts w:ascii="Cambria Math" w:hAnsi="Cambria Math"/>
                <w:szCs w:val="21"/>
              </w:rPr>
              <m:t>jθ</m:t>
            </m:r>
            <m:ctrlPr>
              <w:rPr>
                <w:rFonts w:ascii="Cambria Math" w:hAnsi="Cambria Math"/>
                <w:szCs w:val="21"/>
              </w:rPr>
            </m:ctrlPr>
          </m:sup>
        </m:sSup>
      </m:oMath>
      <w:r>
        <w:rPr>
          <w:rFonts w:hint="eastAsia"/>
          <w:szCs w:val="21"/>
        </w:rPr>
        <w:t>.</w:t>
      </w:r>
      <w:r>
        <w:rPr>
          <w:rFonts w:hint="eastAsia" w:hAnsi="Cambria Math"/>
          <w:szCs w:val="21"/>
        </w:rPr>
        <w:t xml:space="preserve"> Consequently, </w:t>
      </w:r>
      <w:r>
        <w:rPr>
          <w:szCs w:val="21"/>
        </w:rPr>
        <w:t xml:space="preserve">the generated </w:t>
      </w:r>
      <w:r>
        <w:rPr>
          <w:rFonts w:hint="eastAsia"/>
          <w:szCs w:val="21"/>
        </w:rPr>
        <w:t xml:space="preserve">I-modulation sequence can be expressed in Figure </w:t>
      </w:r>
      <w:r>
        <w:rPr>
          <w:szCs w:val="21"/>
        </w:rPr>
        <w:t>13</w:t>
      </w:r>
      <w:r>
        <w:rPr>
          <w:rFonts w:hint="eastAsia"/>
          <w:szCs w:val="21"/>
        </w:rPr>
        <w:t>.</w:t>
      </w:r>
    </w:p>
    <w:p>
      <w:pPr>
        <w:spacing w:beforeLines="0" w:after="120" w:afterLines="0" w:line="240" w:lineRule="auto"/>
        <w:jc w:val="center"/>
        <w:rPr>
          <w:szCs w:val="21"/>
        </w:rPr>
      </w:pPr>
      <w:r>
        <w:rPr>
          <w:szCs w:val="21"/>
        </w:rPr>
        <w:object>
          <v:shape id="_x0000_i1027" o:spt="75" type="#_x0000_t75" style="height:96.7pt;width:397.05pt;" o:ole="t" filled="f" o:preferrelative="t" stroked="f" coordsize="21600,21600">
            <v:path/>
            <v:fill on="f" focussize="0,0"/>
            <v:stroke on="f" joinstyle="miter"/>
            <v:imagedata r:id="rId34" o:title=""/>
            <o:lock v:ext="edit" aspectratio="f"/>
            <w10:wrap type="none"/>
            <w10:anchorlock/>
          </v:shape>
          <o:OLEObject Type="Embed" ProgID="Visio.Drawing.11" ShapeID="_x0000_i1027" DrawAspect="Content" ObjectID="_1468075727" r:id="rId33">
            <o:LockedField>false</o:LockedField>
          </o:OLEObject>
        </w:object>
      </w:r>
    </w:p>
    <w:p>
      <w:pPr>
        <w:spacing w:beforeLines="0" w:after="120" w:afterLines="0" w:line="240" w:lineRule="auto"/>
        <w:jc w:val="center"/>
        <w:rPr>
          <w:szCs w:val="21"/>
        </w:rPr>
      </w:pPr>
      <w:r>
        <w:rPr>
          <w:rFonts w:hint="eastAsia"/>
          <w:szCs w:val="21"/>
        </w:rPr>
        <w:t xml:space="preserve">Figure </w:t>
      </w:r>
      <w:r>
        <w:rPr>
          <w:szCs w:val="21"/>
        </w:rPr>
        <w:t>13</w:t>
      </w:r>
      <w:r>
        <w:rPr>
          <w:rFonts w:hint="eastAsia"/>
          <w:szCs w:val="21"/>
        </w:rPr>
        <w:t xml:space="preserve"> Interpolation-based modulation sequence</w:t>
      </w:r>
    </w:p>
    <w:p>
      <w:pPr>
        <w:spacing w:beforeLines="0" w:afterLines="0" w:line="240" w:lineRule="auto"/>
        <w:rPr>
          <w:szCs w:val="21"/>
        </w:rPr>
      </w:pPr>
      <w:r>
        <w:rPr>
          <w:szCs w:val="21"/>
        </w:rPr>
        <w:t xml:space="preserve">Therefore, </w:t>
      </w:r>
      <w:r>
        <w:rPr>
          <w:rFonts w:hint="eastAsia"/>
          <w:szCs w:val="21"/>
        </w:rPr>
        <w:t xml:space="preserve">I-modulation </w:t>
      </w:r>
      <w:r>
        <w:rPr>
          <w:szCs w:val="21"/>
        </w:rPr>
        <w:t>symbols</w:t>
      </w:r>
      <w:r>
        <w:rPr>
          <w:rFonts w:hint="eastAsia"/>
          <w:szCs w:val="21"/>
        </w:rPr>
        <w:t xml:space="preserve"> </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m:t>
        </m:r>
      </m:oMath>
      <w:r>
        <w:rPr>
          <w:rFonts w:hint="eastAsia"/>
          <w:szCs w:val="21"/>
        </w:rPr>
        <w:t>...,</w:t>
      </w:r>
      <m:oMath>
        <m:sSub>
          <m:sSubPr>
            <m:ctrlPr>
              <w:rPr>
                <w:rFonts w:ascii="Cambria Math" w:hAnsi="Cambria Math"/>
                <w:szCs w:val="21"/>
              </w:rPr>
            </m:ctrlPr>
          </m:sSubPr>
          <m:e>
            <m:r>
              <m:rPr>
                <m:sty m:val="p"/>
              </m:rPr>
              <w:rPr>
                <w:rFonts w:ascii="Cambria Math" w:hAnsi="Cambria Math"/>
                <w:szCs w:val="21"/>
              </w:rPr>
              <m:t>a</m:t>
            </m:r>
            <m:ctrlPr>
              <w:rPr>
                <w:rFonts w:ascii="Cambria Math" w:hAnsi="Cambria Math"/>
                <w:szCs w:val="21"/>
              </w:rPr>
            </m:ctrlPr>
          </m:e>
          <m:sub>
            <m:r>
              <m:rPr>
                <m:sty m:val="p"/>
              </m:rPr>
              <w:rPr>
                <w:rFonts w:ascii="Cambria Math" w:hAnsi="Cambria Math"/>
                <w:szCs w:val="21"/>
              </w:rPr>
              <m:t>2N−1</m:t>
            </m:r>
            <m:ctrlPr>
              <w:rPr>
                <w:rFonts w:ascii="Cambria Math" w:hAnsi="Cambria Math"/>
                <w:szCs w:val="21"/>
              </w:rPr>
            </m:ctrlPr>
          </m:sub>
        </m:sSub>
      </m:oMath>
      <w:r>
        <w:rPr>
          <w:rFonts w:hint="eastAsia"/>
          <w:szCs w:val="21"/>
        </w:rPr>
        <w:t xml:space="preserve"> can be expressed as:</w:t>
      </w:r>
    </w:p>
    <w:p>
      <w:pPr>
        <w:spacing w:beforeLines="0" w:afterLines="0" w:line="240" w:lineRule="auto"/>
        <w:rPr>
          <w:rFonts w:hAnsi="Cambria Math"/>
          <w:szCs w:val="21"/>
        </w:rPr>
      </w:pPr>
      <m:oMathPara>
        <m:oMathParaPr>
          <m:jc m:val="center"/>
        </m:oMathParaPr>
        <m:oMath>
          <m:d>
            <m:dPr>
              <m:begChr m:val="{"/>
              <m:endChr m:val=""/>
              <m:ctrlPr>
                <w:rPr>
                  <w:rFonts w:ascii="Cambria Math" w:hAnsi="Cambria Math"/>
                  <w:i/>
                  <w:szCs w:val="21"/>
                </w:rPr>
              </m:ctrlPr>
            </m:dPr>
            <m:e>
              <m:eqArr>
                <m:eqArrPr>
                  <m:ctrlPr>
                    <w:rPr>
                      <w:rFonts w:ascii="Cambria Math" w:hAnsi="Cambria Math"/>
                      <w:i/>
                      <w:szCs w:val="21"/>
                    </w:rPr>
                  </m:ctrlPr>
                </m:eqArrPr>
                <m:e>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2n</m:t>
                      </m:r>
                      <m:ctrlPr>
                        <w:rPr>
                          <w:rFonts w:ascii="Cambria Math" w:hAnsi="Cambria Math"/>
                          <w:i/>
                          <w:szCs w:val="21"/>
                        </w:rPr>
                      </m:ctrlPr>
                    </m:sub>
                  </m:sSub>
                  <m:r>
                    <m:rPr/>
                    <w:rPr>
                      <w:rFonts w:ascii="Cambria Math" w:hAnsi="Cambria Math"/>
                      <w:szCs w:val="21"/>
                    </w:rPr>
                    <m:t>=</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m:t>
                      </m:r>
                      <m:ctrlPr>
                        <w:rPr>
                          <w:rFonts w:ascii="Cambria Math" w:hAnsi="Cambria Math"/>
                          <w:i/>
                          <w:szCs w:val="21"/>
                        </w:rPr>
                      </m:ctrlPr>
                    </m:sub>
                  </m:sSub>
                  <m:ctrlPr>
                    <w:rPr>
                      <w:rFonts w:ascii="Cambria Math" w:hAnsi="Cambria Math"/>
                      <w:i/>
                      <w:szCs w:val="21"/>
                    </w:rPr>
                  </m:ctrlPr>
                </m:e>
                <m:e>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2n+1</m:t>
                      </m:r>
                      <m:ctrlPr>
                        <w:rPr>
                          <w:rFonts w:ascii="Cambria Math" w:hAnsi="Cambria Math"/>
                          <w:i/>
                          <w:szCs w:val="21"/>
                        </w:rPr>
                      </m:ctrlPr>
                    </m:sub>
                  </m:sSub>
                  <m:r>
                    <m:rPr/>
                    <w:rPr>
                      <w:rFonts w:ascii="Cambria Math" w:hAnsi="Cambria Math"/>
                      <w:szCs w:val="21"/>
                    </w:rPr>
                    <m:t>=(Re{</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m:t>
                      </m:r>
                      <m:ctrlPr>
                        <w:rPr>
                          <w:rFonts w:ascii="Cambria Math" w:hAnsi="Cambria Math"/>
                          <w:i/>
                          <w:szCs w:val="21"/>
                        </w:rPr>
                      </m:ctrlPr>
                    </m:sub>
                  </m:sSub>
                  <m:r>
                    <m:rPr/>
                    <w:rPr>
                      <w:rFonts w:ascii="Cambria Math" w:hAnsi="Cambria Math"/>
                      <w:szCs w:val="21"/>
                    </w:rPr>
                    <m:t>}+Im{</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n+1</m:t>
                      </m:r>
                      <m:ctrlPr>
                        <w:rPr>
                          <w:rFonts w:ascii="Cambria Math" w:hAnsi="Cambria Math"/>
                          <w:i/>
                          <w:szCs w:val="21"/>
                        </w:rPr>
                      </m:ctrlPr>
                    </m:sub>
                  </m:sSub>
                  <m:r>
                    <m:rPr/>
                    <w:rPr>
                      <w:rFonts w:ascii="Cambria Math" w:hAnsi="Cambria Math"/>
                      <w:szCs w:val="21"/>
                    </w:rPr>
                    <m:t>}∙j)∙</m:t>
                  </m:r>
                  <m:sSup>
                    <m:sSupPr>
                      <m:ctrlPr>
                        <w:rPr>
                          <w:rFonts w:ascii="Cambria Math" w:hAnsi="Cambria Math"/>
                          <w:i/>
                          <w:szCs w:val="21"/>
                        </w:rPr>
                      </m:ctrlPr>
                    </m:sSupPr>
                    <m:e>
                      <m:r>
                        <m:rPr/>
                        <w:rPr>
                          <w:rFonts w:ascii="Cambria Math" w:hAnsi="Cambria Math"/>
                          <w:szCs w:val="21"/>
                        </w:rPr>
                        <m:t>e</m:t>
                      </m:r>
                      <m:ctrlPr>
                        <w:rPr>
                          <w:rFonts w:ascii="Cambria Math" w:hAnsi="Cambria Math"/>
                          <w:i/>
                          <w:szCs w:val="21"/>
                        </w:rPr>
                      </m:ctrlPr>
                    </m:e>
                    <m:sup>
                      <m:r>
                        <m:rPr/>
                        <w:rPr>
                          <w:rFonts w:ascii="Cambria Math" w:hAnsi="Cambria Math"/>
                          <w:szCs w:val="21"/>
                        </w:rPr>
                        <m:t>jθ</m:t>
                      </m:r>
                      <m:ctrlPr>
                        <w:rPr>
                          <w:rFonts w:ascii="Cambria Math" w:hAnsi="Cambria Math"/>
                          <w:i/>
                          <w:szCs w:val="21"/>
                        </w:rPr>
                      </m:ctrlPr>
                    </m:sup>
                  </m:sSup>
                  <m:ctrlPr>
                    <w:rPr>
                      <w:rFonts w:ascii="Cambria Math" w:hAnsi="Cambria Math"/>
                      <w:i/>
                      <w:szCs w:val="21"/>
                    </w:rPr>
                  </m:ctrlPr>
                </m:e>
              </m:eqArr>
              <m:ctrlPr>
                <w:rPr>
                  <w:rFonts w:ascii="Cambria Math" w:hAnsi="Cambria Math"/>
                  <w:i/>
                  <w:szCs w:val="21"/>
                </w:rPr>
              </m:ctrlPr>
            </m:e>
          </m:d>
        </m:oMath>
      </m:oMathPara>
    </w:p>
    <w:p>
      <w:pPr>
        <w:spacing w:beforeLines="0" w:after="120" w:afterLines="0" w:line="240" w:lineRule="auto"/>
        <w:rPr>
          <w:szCs w:val="21"/>
        </w:rPr>
      </w:pPr>
      <w:r>
        <w:rPr>
          <w:rFonts w:hint="eastAsia"/>
          <w:szCs w:val="21"/>
        </w:rPr>
        <w:t xml:space="preserve">Wherein, </w:t>
      </w:r>
    </w:p>
    <w:p>
      <w:pPr>
        <w:numPr>
          <w:ilvl w:val="0"/>
          <w:numId w:val="29"/>
        </w:numPr>
        <w:spacing w:beforeLines="0" w:after="120" w:afterLines="0" w:line="240" w:lineRule="auto"/>
        <w:rPr>
          <w:rFonts w:hAnsi="Cambria Math"/>
          <w:szCs w:val="21"/>
        </w:rPr>
      </w:pPr>
      <w:r>
        <w:rPr>
          <w:rFonts w:hint="eastAsia"/>
          <w:szCs w:val="21"/>
        </w:rPr>
        <w:t xml:space="preserve">n = 0, ... , N−1 and </w:t>
      </w:r>
      <m:oMath>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2N−1</m:t>
            </m:r>
            <m:ctrlPr>
              <w:rPr>
                <w:rFonts w:ascii="Cambria Math" w:hAnsi="Cambria Math"/>
                <w:i/>
                <w:szCs w:val="21"/>
              </w:rPr>
            </m:ctrlPr>
          </m:sub>
        </m:sSub>
        <m:r>
          <m:rPr/>
          <w:rPr>
            <w:rFonts w:ascii="Cambria Math" w:hAnsi="Cambria Math"/>
            <w:szCs w:val="21"/>
          </w:rPr>
          <m:t>=(Re{</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N−1</m:t>
            </m:r>
            <m:ctrlPr>
              <w:rPr>
                <w:rFonts w:ascii="Cambria Math" w:hAnsi="Cambria Math"/>
                <w:i/>
                <w:szCs w:val="21"/>
              </w:rPr>
            </m:ctrlPr>
          </m:sub>
        </m:sSub>
        <m:r>
          <m:rPr/>
          <w:rPr>
            <w:rFonts w:ascii="Cambria Math" w:hAnsi="Cambria Math"/>
            <w:szCs w:val="21"/>
          </w:rPr>
          <m:t>}+Im{</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0</m:t>
            </m:r>
            <m:ctrlPr>
              <w:rPr>
                <w:rFonts w:ascii="Cambria Math" w:hAnsi="Cambria Math"/>
                <w:i/>
                <w:szCs w:val="21"/>
              </w:rPr>
            </m:ctrlPr>
          </m:sub>
        </m:sSub>
        <m:r>
          <m:rPr/>
          <w:rPr>
            <w:rFonts w:ascii="Cambria Math" w:hAnsi="Cambria Math"/>
            <w:szCs w:val="21"/>
          </w:rPr>
          <m:t>}∙j)∙</m:t>
        </m:r>
        <m:sSup>
          <m:sSupPr>
            <m:ctrlPr>
              <w:rPr>
                <w:rFonts w:ascii="Cambria Math" w:hAnsi="Cambria Math"/>
                <w:i/>
                <w:szCs w:val="21"/>
              </w:rPr>
            </m:ctrlPr>
          </m:sSupPr>
          <m:e>
            <m:r>
              <m:rPr/>
              <w:rPr>
                <w:rFonts w:ascii="Cambria Math" w:hAnsi="Cambria Math"/>
                <w:szCs w:val="21"/>
              </w:rPr>
              <m:t>e</m:t>
            </m:r>
            <m:ctrlPr>
              <w:rPr>
                <w:rFonts w:ascii="Cambria Math" w:hAnsi="Cambria Math"/>
                <w:i/>
                <w:szCs w:val="21"/>
              </w:rPr>
            </m:ctrlPr>
          </m:e>
          <m:sup>
            <m:r>
              <m:rPr/>
              <w:rPr>
                <w:rFonts w:ascii="Cambria Math" w:hAnsi="Cambria Math"/>
                <w:szCs w:val="21"/>
              </w:rPr>
              <m:t>jθ</m:t>
            </m:r>
            <m:ctrlPr>
              <w:rPr>
                <w:rFonts w:ascii="Cambria Math" w:hAnsi="Cambria Math"/>
                <w:i/>
                <w:szCs w:val="21"/>
              </w:rPr>
            </m:ctrlPr>
          </m:sup>
        </m:sSup>
      </m:oMath>
    </w:p>
    <w:p>
      <w:pPr>
        <w:numPr>
          <w:ilvl w:val="0"/>
          <w:numId w:val="29"/>
        </w:numPr>
        <w:spacing w:beforeLines="0" w:after="120" w:afterLines="0" w:line="240" w:lineRule="auto"/>
        <w:rPr>
          <w:rFonts w:hAnsi="Cambria Math"/>
          <w:szCs w:val="21"/>
        </w:rPr>
      </w:pPr>
      <w:r>
        <w:rPr>
          <w:rFonts w:hint="eastAsia" w:hAnsi="Cambria Math"/>
          <w:szCs w:val="21"/>
        </w:rPr>
        <w:t xml:space="preserve">For QPSK and QAM, </w:t>
      </w:r>
      <m:oMath>
        <m:r>
          <m:rPr/>
          <w:rPr>
            <w:rFonts w:ascii="Cambria Math" w:hAnsi="Cambria Math"/>
            <w:szCs w:val="21"/>
          </w:rPr>
          <m:t>θ</m:t>
        </m:r>
        <m:r>
          <m:rPr>
            <m:sty m:val="p"/>
          </m:rPr>
          <w:rPr>
            <w:rFonts w:ascii="Cambria Math" w:hAnsi="Cambria Math"/>
            <w:szCs w:val="21"/>
          </w:rPr>
          <m:t xml:space="preserve">=π </m:t>
        </m:r>
      </m:oMath>
    </w:p>
    <w:p>
      <w:pPr>
        <w:numPr>
          <w:ilvl w:val="0"/>
          <w:numId w:val="29"/>
        </w:numPr>
        <w:spacing w:beforeLines="0" w:after="120" w:afterLines="0" w:line="240" w:lineRule="auto"/>
        <w:rPr>
          <w:rFonts w:hAnsi="Cambria Math"/>
          <w:szCs w:val="21"/>
        </w:rPr>
      </w:pPr>
      <w:r>
        <w:rPr>
          <w:rFonts w:hint="eastAsia" w:hAnsi="Cambria Math"/>
          <w:szCs w:val="21"/>
        </w:rPr>
        <w:t xml:space="preserve">For </w:t>
      </w:r>
      <w:r>
        <w:rPr>
          <w:szCs w:val="21"/>
        </w:rPr>
        <w:t>π</w:t>
      </w:r>
      <w:r>
        <w:rPr>
          <w:rFonts w:hint="eastAsia"/>
          <w:szCs w:val="21"/>
        </w:rPr>
        <w:t xml:space="preserve">/2-BPSK, </w:t>
      </w:r>
      <m:oMath>
        <m:r>
          <m:rPr/>
          <w:rPr>
            <w:rFonts w:ascii="Cambria Math" w:hAnsi="Cambria Math"/>
            <w:szCs w:val="21"/>
          </w:rPr>
          <m:t>θ</m:t>
        </m:r>
        <m:r>
          <m:rPr>
            <m:sty m:val="p"/>
          </m:rPr>
          <w:rPr>
            <w:rFonts w:ascii="Cambria Math" w:hAnsi="Cambria Math"/>
            <w:szCs w:val="21"/>
          </w:rPr>
          <m:t>=</m:t>
        </m:r>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 xml:space="preserve">−3π/4 for </m:t>
                </m:r>
                <m:r>
                  <m:rPr>
                    <m:sty m:val="p"/>
                  </m:rPr>
                  <w:rPr>
                    <w:rFonts w:hint="eastAsia" w:ascii="Cambria Math" w:hAnsi="Cambria Math"/>
                    <w:szCs w:val="21"/>
                  </w:rPr>
                  <m:t>n</m:t>
                </m:r>
                <m:r>
                  <m:rPr>
                    <m:sty m:val="p"/>
                  </m:rPr>
                  <w:rPr>
                    <w:rFonts w:ascii="Cambria Math" w:hAnsi="Cambria Math"/>
                    <w:szCs w:val="21"/>
                  </w:rPr>
                  <m:t>=0,2,4,6,...</m:t>
                </m:r>
                <m:ctrlPr>
                  <w:rPr>
                    <w:rFonts w:ascii="Cambria Math" w:hAnsi="Cambria Math"/>
                    <w:szCs w:val="21"/>
                  </w:rPr>
                </m:ctrlPr>
              </m:e>
              <m:e>
                <m:r>
                  <m:rPr>
                    <m:sty m:val="p"/>
                  </m:rPr>
                  <w:rPr>
                    <w:rFonts w:ascii="Cambria Math" w:hAnsi="Cambria Math"/>
                    <w:szCs w:val="21"/>
                  </w:rPr>
                  <m:t xml:space="preserve"> 3π/4 for n=1,3,5,7,...</m:t>
                </m:r>
                <m:ctrlPr>
                  <w:rPr>
                    <w:rFonts w:ascii="Cambria Math" w:hAnsi="Cambria Math"/>
                    <w:szCs w:val="21"/>
                  </w:rPr>
                </m:ctrlPr>
              </m:e>
            </m:eqArr>
            <m:ctrlPr>
              <w:rPr>
                <w:rFonts w:ascii="Cambria Math" w:hAnsi="Cambria Math"/>
                <w:szCs w:val="21"/>
              </w:rPr>
            </m:ctrlPr>
          </m:e>
        </m:d>
      </m:oMath>
    </w:p>
    <w:p>
      <w:pPr>
        <w:spacing w:beforeLines="0" w:after="120" w:afterLines="0" w:line="240" w:lineRule="auto"/>
        <w:rPr>
          <w:szCs w:val="21"/>
        </w:rPr>
      </w:pPr>
      <w:r>
        <w:rPr>
          <w:rFonts w:hint="eastAsia"/>
          <w:szCs w:val="21"/>
        </w:rPr>
        <w:t>I</w:t>
      </w:r>
      <w:r>
        <w:rPr>
          <w:szCs w:val="21"/>
        </w:rPr>
        <w:t>n th</w:t>
      </w:r>
      <w:r>
        <w:rPr>
          <w:rFonts w:hint="eastAsia"/>
          <w:szCs w:val="21"/>
        </w:rPr>
        <w:t>e I-modulation sequence</w:t>
      </w:r>
      <w:r>
        <w:rPr>
          <w:szCs w:val="21"/>
        </w:rPr>
        <w:t xml:space="preserve">, </w:t>
      </w:r>
      <w:r>
        <w:rPr>
          <w:rFonts w:hint="eastAsia"/>
          <w:szCs w:val="21"/>
        </w:rPr>
        <w:t xml:space="preserve">the </w:t>
      </w:r>
      <w:r>
        <w:rPr>
          <w:szCs w:val="21"/>
        </w:rPr>
        <w:t xml:space="preserve">symbols at even indices </w:t>
      </w:r>
      <w:r>
        <w:rPr>
          <w:rFonts w:hint="eastAsia"/>
          <w:szCs w:val="21"/>
        </w:rPr>
        <w:t>(</w:t>
      </w:r>
      <m:oMath>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2n</m:t>
            </m:r>
            <m:ctrlPr>
              <w:rPr>
                <w:rFonts w:ascii="Cambria Math" w:hAnsi="Cambria Math"/>
                <w:i/>
                <w:szCs w:val="21"/>
              </w:rPr>
            </m:ctrlPr>
          </m:sub>
        </m:sSub>
      </m:oMath>
      <w:r>
        <w:rPr>
          <w:rFonts w:hint="eastAsia"/>
          <w:szCs w:val="21"/>
        </w:rPr>
        <w:t xml:space="preserve">) </w:t>
      </w:r>
      <w:r>
        <w:rPr>
          <w:szCs w:val="21"/>
        </w:rPr>
        <w:t>are the original π/2-BPSK</w:t>
      </w:r>
      <w:r>
        <w:rPr>
          <w:rFonts w:hint="eastAsia"/>
          <w:szCs w:val="21"/>
        </w:rPr>
        <w:t>/QPSK/ QAM</w:t>
      </w:r>
      <w:r>
        <w:rPr>
          <w:szCs w:val="21"/>
        </w:rPr>
        <w:t xml:space="preserve"> symbols, while those at odd indices </w:t>
      </w:r>
      <w:r>
        <w:rPr>
          <w:rFonts w:hint="eastAsia"/>
          <w:szCs w:val="21"/>
        </w:rPr>
        <w:t>(</w:t>
      </w:r>
      <m:oMath>
        <m:sSub>
          <m:sSubPr>
            <m:ctrlPr>
              <w:rPr>
                <w:rFonts w:ascii="Cambria Math" w:hAnsi="Cambria Math"/>
                <w:i/>
                <w:szCs w:val="21"/>
              </w:rPr>
            </m:ctrlPr>
          </m:sSubPr>
          <m:e>
            <m:r>
              <m:rPr/>
              <w:rPr>
                <w:rFonts w:ascii="Cambria Math" w:hAnsi="Cambria Math"/>
                <w:szCs w:val="21"/>
              </w:rPr>
              <m:t>a</m:t>
            </m:r>
            <m:ctrlPr>
              <w:rPr>
                <w:rFonts w:ascii="Cambria Math" w:hAnsi="Cambria Math"/>
                <w:i/>
                <w:szCs w:val="21"/>
              </w:rPr>
            </m:ctrlPr>
          </m:e>
          <m:sub>
            <m:r>
              <m:rPr/>
              <w:rPr>
                <w:rFonts w:ascii="Cambria Math" w:hAnsi="Cambria Math"/>
                <w:szCs w:val="21"/>
              </w:rPr>
              <m:t>2n+1</m:t>
            </m:r>
            <m:ctrlPr>
              <w:rPr>
                <w:rFonts w:ascii="Cambria Math" w:hAnsi="Cambria Math"/>
                <w:i/>
                <w:szCs w:val="21"/>
              </w:rPr>
            </m:ctrlPr>
          </m:sub>
        </m:sSub>
      </m:oMath>
      <w:r>
        <w:rPr>
          <w:rFonts w:hint="eastAsia"/>
          <w:szCs w:val="21"/>
        </w:rPr>
        <w:t xml:space="preserve">) </w:t>
      </w:r>
      <w:r>
        <w:rPr>
          <w:szCs w:val="21"/>
        </w:rPr>
        <w:t xml:space="preserve">are the </w:t>
      </w:r>
      <w:r>
        <w:rPr>
          <w:rFonts w:hint="eastAsia"/>
          <w:szCs w:val="21"/>
        </w:rPr>
        <w:t>interpolated</w:t>
      </w:r>
      <w:r>
        <w:rPr>
          <w:szCs w:val="21"/>
        </w:rPr>
        <w:t xml:space="preserve"> symbols.</w:t>
      </w:r>
      <w:r>
        <w:rPr>
          <w:rFonts w:hint="eastAsia"/>
          <w:szCs w:val="21"/>
        </w:rPr>
        <w:t xml:space="preserve"> For </w:t>
      </w:r>
      <w:r>
        <w:rPr>
          <w:szCs w:val="21"/>
        </w:rPr>
        <w:t>π/2-BPSK</w:t>
      </w:r>
      <w:r>
        <w:rPr>
          <w:rFonts w:hint="eastAsia"/>
          <w:szCs w:val="21"/>
        </w:rPr>
        <w:t>, this interpolation scheme is equivalent to the I-</w:t>
      </w:r>
      <w:r>
        <w:rPr>
          <w:szCs w:val="21"/>
        </w:rPr>
        <w:t>π/2-BPSK</w:t>
      </w:r>
      <w:r>
        <w:rPr>
          <w:rFonts w:hint="eastAsia"/>
          <w:szCs w:val="21"/>
        </w:rPr>
        <w:t xml:space="preserve"> scheme described in [</w:t>
      </w:r>
      <w:r>
        <w:rPr>
          <w:szCs w:val="21"/>
        </w:rPr>
        <w:t>16</w:t>
      </w:r>
      <w:r>
        <w:rPr>
          <w:rFonts w:hint="eastAsia"/>
          <w:szCs w:val="21"/>
        </w:rPr>
        <w:t>] (i.e., t</w:t>
      </w:r>
      <w:r>
        <w:rPr>
          <w:szCs w:val="21"/>
        </w:rPr>
        <w:t xml:space="preserve">he </w:t>
      </w:r>
      <w:r>
        <w:rPr>
          <w:rFonts w:hint="eastAsia"/>
          <w:szCs w:val="21"/>
        </w:rPr>
        <w:t>interpolated</w:t>
      </w:r>
      <w:r>
        <w:rPr>
          <w:szCs w:val="21"/>
        </w:rPr>
        <w:t xml:space="preserve"> symbol </w:t>
      </w:r>
      <w:r>
        <w:rPr>
          <w:rFonts w:hint="eastAsia"/>
          <w:szCs w:val="21"/>
        </w:rPr>
        <w:t xml:space="preserve">is equal to </w:t>
      </w:r>
      <m:oMath>
        <m:r>
          <m:rPr>
            <m:sty m:val="p"/>
          </m:rPr>
          <w:rPr>
            <w:rFonts w:ascii="Cambria Math"/>
            <w:szCs w:val="21"/>
          </w:rPr>
          <m:t>−</m:t>
        </m:r>
        <m:r>
          <m:rPr>
            <m:sty m:val="p"/>
          </m:rPr>
          <w:rPr>
            <w:rFonts w:ascii="Cambria Math" w:hAnsi="Cambria Math"/>
            <w:szCs w:val="21"/>
          </w:rPr>
          <m:t>(</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m:t>
            </m:r>
            <m:ctrlPr>
              <w:rPr>
                <w:rFonts w:ascii="Cambria Math" w:hAnsi="Cambria Math"/>
                <w:i/>
                <w:szCs w:val="21"/>
              </w:rPr>
            </m:ctrlPr>
          </m:sub>
        </m:sSub>
        <m:r>
          <m:rPr>
            <m:sty m:val="p"/>
          </m:rPr>
          <w:rPr>
            <w:rFonts w:ascii="Cambria Math" w:hAnsi="Cambria Math"/>
            <w:szCs w:val="21"/>
          </w:rPr>
          <m:t>+</m:t>
        </m:r>
        <m:sSub>
          <m:sSubPr>
            <m:ctrlPr>
              <w:rPr>
                <w:rFonts w:ascii="Cambria Math" w:hAnsi="Cambria Math"/>
                <w:i/>
                <w:szCs w:val="21"/>
              </w:rPr>
            </m:ctrlPr>
          </m:sSubPr>
          <m:e>
            <m:r>
              <m:rPr/>
              <w:rPr>
                <w:rFonts w:ascii="Cambria Math" w:hAnsi="Cambria Math"/>
                <w:szCs w:val="21"/>
              </w:rPr>
              <m:t>s</m:t>
            </m:r>
            <m:ctrlPr>
              <w:rPr>
                <w:rFonts w:ascii="Cambria Math" w:hAnsi="Cambria Math"/>
                <w:i/>
                <w:szCs w:val="21"/>
              </w:rPr>
            </m:ctrlPr>
          </m:e>
          <m:sub>
            <m:r>
              <m:rPr/>
              <w:rPr>
                <w:rFonts w:ascii="Cambria Math" w:hAnsi="Cambria Math"/>
                <w:szCs w:val="21"/>
              </w:rPr>
              <m:t>n+1</m:t>
            </m:r>
            <m:ctrlPr>
              <w:rPr>
                <w:rFonts w:ascii="Cambria Math" w:hAnsi="Cambria Math"/>
                <w:i/>
                <w:szCs w:val="21"/>
              </w:rPr>
            </m:ctrlPr>
          </m:sub>
        </m:sSub>
        <m:r>
          <m:rPr>
            <m:sty m:val="p"/>
          </m:rPr>
          <w:rPr>
            <w:rFonts w:ascii="Cambria Math" w:hAnsi="Cambria Math"/>
            <w:szCs w:val="21"/>
          </w:rPr>
          <m:t>)/</m:t>
        </m:r>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2</m:t>
            </m:r>
            <m:ctrlPr>
              <w:rPr>
                <w:rFonts w:ascii="Cambria Math" w:hAnsi="Cambria Math"/>
                <w:szCs w:val="21"/>
              </w:rPr>
            </m:ctrlPr>
          </m:e>
        </m:rad>
      </m:oMath>
      <w:r>
        <w:rPr>
          <w:rFonts w:hint="eastAsia"/>
          <w:szCs w:val="21"/>
        </w:rPr>
        <w:t>).</w:t>
      </w:r>
    </w:p>
    <w:p>
      <w:pPr>
        <w:numPr>
          <w:ilvl w:val="0"/>
          <w:numId w:val="28"/>
        </w:numPr>
        <w:spacing w:beforeLines="0" w:after="120" w:afterLines="0" w:line="240" w:lineRule="auto"/>
        <w:ind w:left="403" w:hanging="403"/>
        <w:rPr>
          <w:szCs w:val="21"/>
        </w:rPr>
      </w:pPr>
      <w:r>
        <w:rPr>
          <w:rFonts w:hint="eastAsia"/>
          <w:szCs w:val="21"/>
        </w:rPr>
        <w:t>DFT operation</w:t>
      </w:r>
    </w:p>
    <w:p>
      <w:pPr>
        <w:spacing w:beforeLines="0" w:after="120" w:afterLines="0" w:line="240" w:lineRule="auto"/>
        <w:rPr>
          <w:szCs w:val="21"/>
        </w:rPr>
      </w:pPr>
      <w:r>
        <w:rPr>
          <w:rFonts w:hint="eastAsia"/>
          <w:szCs w:val="21"/>
        </w:rPr>
        <w:t>Next, the time-domain I-modulation sequence is transformed into the frequency domain via a DFT operation (i.e., transform precoding). Since the interpolation process doubles the number of time-domain symbols compared to the original modulation sequence, the corresponding DFT output occupies twice the bandwidth of the original signal, which results in a 100% spectrum extension</w:t>
      </w:r>
      <w:r>
        <w:rPr>
          <w:szCs w:val="21"/>
        </w:rPr>
        <w:t>, as show in Figure 14</w:t>
      </w:r>
      <w:r>
        <w:rPr>
          <w:rFonts w:hint="eastAsia"/>
          <w:szCs w:val="21"/>
        </w:rPr>
        <w:t>.</w:t>
      </w:r>
    </w:p>
    <w:p>
      <w:pPr>
        <w:spacing w:beforeLines="0" w:after="120" w:afterLines="0" w:line="240" w:lineRule="auto"/>
        <w:jc w:val="center"/>
        <w:rPr>
          <w:szCs w:val="21"/>
        </w:rPr>
      </w:pPr>
      <w:r>
        <w:rPr>
          <w:szCs w:val="21"/>
        </w:rPr>
        <w:object>
          <v:shape id="_x0000_i1028" o:spt="75" type="#_x0000_t75" style="height:164.4pt;width:250.4pt;" o:ole="t" filled="f" o:preferrelative="t" stroked="f" coordsize="21600,21600">
            <v:path/>
            <v:fill on="f" focussize="0,0"/>
            <v:stroke on="f" joinstyle="miter"/>
            <v:imagedata r:id="rId36" o:title=""/>
            <o:lock v:ext="edit" aspectratio="f"/>
            <w10:wrap type="none"/>
            <w10:anchorlock/>
          </v:shape>
          <o:OLEObject Type="Embed" ProgID="Visio.Drawing.11" ShapeID="_x0000_i1028" DrawAspect="Content" ObjectID="_1468075728" r:id="rId35">
            <o:LockedField>false</o:LockedField>
          </o:OLEObject>
        </w:object>
      </w:r>
    </w:p>
    <w:p>
      <w:pPr>
        <w:spacing w:beforeLines="0" w:after="120" w:afterLines="0" w:line="240" w:lineRule="auto"/>
        <w:jc w:val="center"/>
        <w:rPr>
          <w:szCs w:val="21"/>
        </w:rPr>
      </w:pPr>
      <w:r>
        <w:rPr>
          <w:rFonts w:hint="eastAsia"/>
          <w:szCs w:val="21"/>
        </w:rPr>
        <w:t xml:space="preserve">Figure </w:t>
      </w:r>
      <w:r>
        <w:rPr>
          <w:szCs w:val="21"/>
        </w:rPr>
        <w:t>14</w:t>
      </w:r>
      <w:r>
        <w:rPr>
          <w:rFonts w:hint="eastAsia"/>
          <w:szCs w:val="21"/>
        </w:rPr>
        <w:t xml:space="preserve"> Spectrum extension after time-domain interpolation</w:t>
      </w:r>
    </w:p>
    <w:p>
      <w:pPr>
        <w:numPr>
          <w:ilvl w:val="0"/>
          <w:numId w:val="28"/>
        </w:numPr>
        <w:spacing w:beforeLines="0" w:after="120" w:afterLines="0" w:line="240" w:lineRule="auto"/>
        <w:ind w:left="403" w:hanging="403"/>
        <w:rPr>
          <w:szCs w:val="21"/>
        </w:rPr>
      </w:pPr>
      <w:r>
        <w:rPr>
          <w:rFonts w:hint="eastAsia"/>
          <w:szCs w:val="21"/>
        </w:rPr>
        <w:t>Frequency domain truncation</w:t>
      </w:r>
    </w:p>
    <w:p>
      <w:pPr>
        <w:spacing w:beforeLines="0" w:after="120" w:afterLines="0" w:line="240" w:lineRule="auto"/>
        <w:rPr>
          <w:szCs w:val="21"/>
        </w:rPr>
      </w:pPr>
      <w:r>
        <w:rPr>
          <w:rFonts w:hint="eastAsia"/>
          <w:szCs w:val="21"/>
        </w:rPr>
        <w:t>Then, frequency-domain truncation is applied to achieve a trade-off between PAPR and BLER performance. For example, the aforementioned doubled bandwidth (100% spectrum extension) can be truncated to 1.5</w:t>
      </w:r>
      <w:r>
        <w:rPr>
          <w:rFonts w:ascii="Arial" w:hAnsi="Arial" w:cs="Arial"/>
          <w:szCs w:val="21"/>
        </w:rPr>
        <w:t>×</w:t>
      </w:r>
      <w:r>
        <w:rPr>
          <w:rFonts w:hint="eastAsia"/>
          <w:szCs w:val="21"/>
        </w:rPr>
        <w:t>, 1.2</w:t>
      </w:r>
      <w:r>
        <w:rPr>
          <w:rFonts w:ascii="Arial" w:hAnsi="Arial" w:cs="Arial"/>
          <w:szCs w:val="21"/>
        </w:rPr>
        <w:t>×</w:t>
      </w:r>
      <w:r>
        <w:rPr>
          <w:rFonts w:hint="eastAsia"/>
          <w:szCs w:val="21"/>
        </w:rPr>
        <w:t>, 1</w:t>
      </w:r>
      <w:r>
        <w:rPr>
          <w:rFonts w:ascii="Arial" w:hAnsi="Arial" w:cs="Arial"/>
          <w:szCs w:val="21"/>
        </w:rPr>
        <w:t>×</w:t>
      </w:r>
      <w:r>
        <w:rPr>
          <w:rFonts w:hint="eastAsia"/>
          <w:szCs w:val="21"/>
        </w:rPr>
        <w:t xml:space="preserve">, or even less than the original </w:t>
      </w:r>
      <w:r>
        <w:rPr>
          <w:szCs w:val="21"/>
        </w:rPr>
        <w:t>π</w:t>
      </w:r>
      <w:r>
        <w:rPr>
          <w:rFonts w:hint="eastAsia"/>
          <w:szCs w:val="21"/>
        </w:rPr>
        <w:t xml:space="preserve">/2-BPSK/QPSK/QAM bandwidth. If the truncated bandwidth is greater than the original </w:t>
      </w:r>
      <w:r>
        <w:rPr>
          <w:szCs w:val="21"/>
        </w:rPr>
        <w:t>π</w:t>
      </w:r>
      <w:r>
        <w:rPr>
          <w:rFonts w:hint="eastAsia"/>
          <w:szCs w:val="21"/>
        </w:rPr>
        <w:t>/2-BPSK/QPSK/QAM bandwidth, it corresponds to partial spectrum expansion. And if the truncated bandwidth is smaller, it effectively results in spectrum compression (or spectral truncation). This flexibility allows the network to balance PAPR, link-level performance and spectral efficiency.</w:t>
      </w:r>
    </w:p>
    <w:p>
      <w:pPr>
        <w:pStyle w:val="52"/>
        <w:spacing w:before="120" w:after="120"/>
        <w:jc w:val="both"/>
      </w:pPr>
      <w:bookmarkStart w:id="246" w:name="_Toc213435913"/>
      <w:r>
        <w:t xml:space="preserve">If the bandwidth of </w:t>
      </w:r>
      <w:r>
        <w:rPr>
          <w:rFonts w:hint="eastAsia"/>
        </w:rPr>
        <w:t>I-modulation</w:t>
      </w:r>
      <w:r>
        <w:t xml:space="preserve"> is larger than that of the original π/2-BPSK/QPSK/QAM, it corresponds to spectrum expansion; if the bandwidth of </w:t>
      </w:r>
      <w:r>
        <w:rPr>
          <w:rFonts w:hint="eastAsia"/>
        </w:rPr>
        <w:t>I-modulation</w:t>
      </w:r>
      <w:r>
        <w:t xml:space="preserve"> is smaller than that of the original, it corresponds to spectrum truncation.</w:t>
      </w:r>
      <w:bookmarkEnd w:id="246"/>
    </w:p>
    <w:p>
      <w:pPr>
        <w:spacing w:beforeLines="0" w:after="120" w:afterLines="0" w:line="240" w:lineRule="auto"/>
        <w:rPr>
          <w:szCs w:val="21"/>
        </w:rPr>
      </w:pPr>
      <w:r>
        <w:rPr>
          <w:szCs w:val="21"/>
        </w:rPr>
        <w:t xml:space="preserve">Specifically, with </w:t>
      </w:r>
      <w:r>
        <w:rPr>
          <w:rFonts w:hint="eastAsia"/>
          <w:szCs w:val="21"/>
        </w:rPr>
        <w:t>frequency-domain truncation</w:t>
      </w:r>
      <w:r>
        <w:rPr>
          <w:szCs w:val="21"/>
        </w:rPr>
        <w:t xml:space="preserve">, only the central </w:t>
      </w:r>
      <w:r>
        <w:rPr>
          <w:rFonts w:hint="eastAsia"/>
          <w:szCs w:val="21"/>
        </w:rPr>
        <w:t xml:space="preserve">part </w:t>
      </w:r>
      <w:r>
        <w:rPr>
          <w:szCs w:val="21"/>
        </w:rPr>
        <w:t xml:space="preserve">of the frequency-domain </w:t>
      </w:r>
      <w:r>
        <w:rPr>
          <w:rFonts w:hint="eastAsia"/>
          <w:szCs w:val="21"/>
        </w:rPr>
        <w:t>resource is</w:t>
      </w:r>
      <w:r>
        <w:rPr>
          <w:szCs w:val="21"/>
        </w:rPr>
        <w:t xml:space="preserve"> retained, while the outer portions are discarded</w:t>
      </w:r>
      <w:r>
        <w:rPr>
          <w:rFonts w:hint="eastAsia"/>
          <w:szCs w:val="21"/>
        </w:rPr>
        <w:t xml:space="preserve">, as illustrated in Figure </w:t>
      </w:r>
      <w:r>
        <w:rPr>
          <w:szCs w:val="21"/>
        </w:rPr>
        <w:t>15.</w:t>
      </w:r>
      <w:r>
        <w:rPr>
          <w:rFonts w:hint="eastAsia"/>
          <w:szCs w:val="21"/>
        </w:rPr>
        <w:t xml:space="preserve"> As a result, the occupied bandwidth of I-modulation </w:t>
      </w:r>
      <w:r>
        <w:rPr>
          <w:szCs w:val="21"/>
        </w:rPr>
        <w:t>is reduced to</w:t>
      </w:r>
      <w:r>
        <w:rPr>
          <w:rFonts w:hint="eastAsia"/>
          <w:szCs w:val="21"/>
        </w:rPr>
        <w:t xml:space="preserve"> 2*BW*F, where F </w:t>
      </w:r>
      <w:r>
        <w:rPr>
          <w:szCs w:val="21"/>
        </w:rPr>
        <w:t>denotes the spectral retention ratio</w:t>
      </w:r>
      <w:r>
        <w:rPr>
          <w:rFonts w:hint="eastAsia"/>
          <w:szCs w:val="21"/>
        </w:rPr>
        <w:t xml:space="preserve"> (1/4&lt;F</w:t>
      </w:r>
      <w:r>
        <w:rPr>
          <w:szCs w:val="21"/>
        </w:rPr>
        <w:t>≤</w:t>
      </w:r>
      <w:r>
        <w:rPr>
          <w:rFonts w:hint="eastAsia"/>
          <w:szCs w:val="21"/>
        </w:rPr>
        <w:t>1)</w:t>
      </w:r>
    </w:p>
    <w:p>
      <w:pPr>
        <w:spacing w:beforeLines="0" w:after="120" w:afterLines="0" w:line="240" w:lineRule="auto"/>
        <w:jc w:val="center"/>
        <w:rPr>
          <w:szCs w:val="21"/>
        </w:rPr>
      </w:pPr>
      <w:r>
        <w:rPr>
          <w:szCs w:val="21"/>
        </w:rPr>
        <w:object>
          <v:shape id="_x0000_i1029" o:spt="75" type="#_x0000_t75" style="height:124.1pt;width:267.05pt;" o:ole="t" filled="f" o:preferrelative="t" stroked="f" coordsize="21600,21600">
            <v:path/>
            <v:fill on="f" focussize="0,0"/>
            <v:stroke on="f" joinstyle="miter"/>
            <v:imagedata r:id="rId38" o:title=""/>
            <o:lock v:ext="edit" aspectratio="f"/>
            <w10:wrap type="none"/>
            <w10:anchorlock/>
          </v:shape>
          <o:OLEObject Type="Embed" ProgID="Visio.Drawing.11" ShapeID="_x0000_i1029" DrawAspect="Content" ObjectID="_1468075729" r:id="rId37">
            <o:LockedField>false</o:LockedField>
          </o:OLEObject>
        </w:object>
      </w:r>
    </w:p>
    <w:p>
      <w:pPr>
        <w:spacing w:beforeLines="0" w:after="120" w:afterLines="0" w:line="240" w:lineRule="auto"/>
        <w:jc w:val="center"/>
        <w:rPr>
          <w:szCs w:val="21"/>
        </w:rPr>
      </w:pPr>
      <w:r>
        <w:rPr>
          <w:rFonts w:hint="eastAsia"/>
          <w:szCs w:val="21"/>
        </w:rPr>
        <w:t xml:space="preserve">Figure </w:t>
      </w:r>
      <w:r>
        <w:rPr>
          <w:szCs w:val="21"/>
        </w:rPr>
        <w:t>15</w:t>
      </w:r>
      <w:r>
        <w:rPr>
          <w:rFonts w:hint="eastAsia"/>
          <w:szCs w:val="21"/>
        </w:rPr>
        <w:t xml:space="preserve"> F</w:t>
      </w:r>
      <w:r>
        <w:rPr>
          <w:szCs w:val="21"/>
        </w:rPr>
        <w:t>requency-domain truncation</w:t>
      </w:r>
      <w:r>
        <w:rPr>
          <w:rFonts w:hint="eastAsia"/>
          <w:szCs w:val="21"/>
        </w:rPr>
        <w:t xml:space="preserve"> for I-modulation</w:t>
      </w:r>
    </w:p>
    <w:p>
      <w:pPr>
        <w:numPr>
          <w:ilvl w:val="0"/>
          <w:numId w:val="28"/>
        </w:numPr>
        <w:spacing w:beforeLines="0" w:after="120" w:afterLines="0" w:line="240" w:lineRule="auto"/>
        <w:ind w:left="403" w:hanging="403"/>
        <w:rPr>
          <w:szCs w:val="21"/>
        </w:rPr>
      </w:pPr>
      <w:r>
        <w:rPr>
          <w:rFonts w:hint="eastAsia"/>
          <w:szCs w:val="21"/>
        </w:rPr>
        <w:t>Frequency domain spectral shaping</w:t>
      </w:r>
    </w:p>
    <w:p>
      <w:pPr>
        <w:spacing w:beforeLines="0" w:after="120" w:afterLines="0" w:line="240" w:lineRule="auto"/>
        <w:rPr>
          <w:szCs w:val="21"/>
        </w:rPr>
      </w:pPr>
      <w:r>
        <w:rPr>
          <w:szCs w:val="21"/>
        </w:rPr>
        <w:t xml:space="preserve">Additionally, transparent </w:t>
      </w:r>
      <w:r>
        <w:rPr>
          <w:rFonts w:hint="eastAsia"/>
          <w:szCs w:val="21"/>
        </w:rPr>
        <w:t>f</w:t>
      </w:r>
      <w:r>
        <w:rPr>
          <w:szCs w:val="21"/>
        </w:rPr>
        <w:t xml:space="preserve">requency </w:t>
      </w:r>
      <w:r>
        <w:rPr>
          <w:rFonts w:hint="eastAsia"/>
          <w:szCs w:val="21"/>
        </w:rPr>
        <w:t>d</w:t>
      </w:r>
      <w:r>
        <w:rPr>
          <w:szCs w:val="21"/>
        </w:rPr>
        <w:t xml:space="preserve">omain </w:t>
      </w:r>
      <w:r>
        <w:rPr>
          <w:rFonts w:hint="eastAsia"/>
          <w:szCs w:val="21"/>
        </w:rPr>
        <w:t>s</w:t>
      </w:r>
      <w:r>
        <w:rPr>
          <w:szCs w:val="21"/>
        </w:rPr>
        <w:t xml:space="preserve">pectral </w:t>
      </w:r>
      <w:r>
        <w:rPr>
          <w:rFonts w:hint="eastAsia"/>
          <w:szCs w:val="21"/>
        </w:rPr>
        <w:t>s</w:t>
      </w:r>
      <w:r>
        <w:rPr>
          <w:szCs w:val="21"/>
        </w:rPr>
        <w:t xml:space="preserve">haping </w:t>
      </w:r>
      <w:r>
        <w:rPr>
          <w:rFonts w:hint="eastAsia"/>
          <w:szCs w:val="21"/>
        </w:rPr>
        <w:t xml:space="preserve">can be applied </w:t>
      </w:r>
      <w:r>
        <w:rPr>
          <w:szCs w:val="21"/>
        </w:rPr>
        <w:t xml:space="preserve">to </w:t>
      </w:r>
      <w:r>
        <w:rPr>
          <w:rFonts w:hint="eastAsia"/>
          <w:szCs w:val="21"/>
        </w:rPr>
        <w:t xml:space="preserve">I-modulation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r>
        <w:rPr>
          <w:rFonts w:hint="eastAsia"/>
          <w:szCs w:val="21"/>
        </w:rPr>
        <w:t xml:space="preserve"> </w:t>
      </w:r>
    </w:p>
    <w:p>
      <w:pPr>
        <w:pStyle w:val="4"/>
        <w:spacing w:after="120"/>
      </w:pPr>
      <w:r>
        <w:rPr>
          <w:rFonts w:hint="eastAsia"/>
        </w:rPr>
        <w:t>Equivalent frequency-domain description</w:t>
      </w:r>
    </w:p>
    <w:p>
      <w:pPr>
        <w:spacing w:beforeLines="0" w:after="120" w:afterLines="0" w:line="240" w:lineRule="auto"/>
        <w:rPr>
          <w:szCs w:val="21"/>
        </w:rPr>
      </w:pPr>
      <w:r>
        <w:rPr>
          <w:szCs w:val="21"/>
        </w:rPr>
        <w:t xml:space="preserve">The frequency-domain processing procedure </w:t>
      </w:r>
      <w:r>
        <w:rPr>
          <w:rFonts w:hint="eastAsia"/>
          <w:szCs w:val="21"/>
        </w:rPr>
        <w:t>for I-</w:t>
      </w:r>
      <w:r>
        <w:rPr>
          <w:szCs w:val="21"/>
        </w:rPr>
        <w:t>modulation consist</w:t>
      </w:r>
      <w:r>
        <w:rPr>
          <w:rFonts w:hint="eastAsia"/>
          <w:szCs w:val="21"/>
        </w:rPr>
        <w:t>s</w:t>
      </w:r>
      <w:r>
        <w:rPr>
          <w:szCs w:val="21"/>
        </w:rPr>
        <w:t xml:space="preserve"> of the following steps:</w:t>
      </w:r>
    </w:p>
    <w:p>
      <w:pPr>
        <w:numPr>
          <w:ilvl w:val="0"/>
          <w:numId w:val="29"/>
        </w:numPr>
        <w:snapToGrid w:val="0"/>
        <w:spacing w:before="120" w:beforeLines="0" w:after="120" w:afterLines="0" w:line="240" w:lineRule="auto"/>
        <w:rPr>
          <w:szCs w:val="21"/>
        </w:rPr>
      </w:pPr>
      <w:r>
        <w:rPr>
          <w:szCs w:val="21"/>
        </w:rPr>
        <w:t>The time-domain π/2-BPSK/QPSK/QAM</w:t>
      </w:r>
      <w:r>
        <w:rPr>
          <w:rFonts w:hint="eastAsia"/>
          <w:szCs w:val="21"/>
        </w:rPr>
        <w:t xml:space="preserve"> </w:t>
      </w:r>
      <w:r>
        <w:rPr>
          <w:szCs w:val="21"/>
        </w:rPr>
        <w:t>modulation symbols are transformed into the frequency domain via an N-point DFT.</w:t>
      </w:r>
    </w:p>
    <w:p>
      <w:pPr>
        <w:numPr>
          <w:ilvl w:val="0"/>
          <w:numId w:val="29"/>
        </w:numPr>
        <w:snapToGrid w:val="0"/>
        <w:spacing w:before="120" w:beforeLines="0" w:after="120" w:afterLines="0" w:line="240" w:lineRule="auto"/>
        <w:rPr>
          <w:szCs w:val="21"/>
        </w:rPr>
      </w:pPr>
      <w:r>
        <w:rPr>
          <w:szCs w:val="21"/>
        </w:rPr>
        <w:t>The resulting frequency-domain data undergoes</w:t>
      </w:r>
      <w:r>
        <w:rPr>
          <w:rFonts w:hint="eastAsia"/>
          <w:szCs w:val="21"/>
        </w:rPr>
        <w:t xml:space="preserve"> a </w:t>
      </w:r>
      <w:r>
        <w:rPr>
          <w:szCs w:val="21"/>
        </w:rPr>
        <w:t xml:space="preserve">specific </w:t>
      </w:r>
      <w:r>
        <w:rPr>
          <w:rFonts w:hint="eastAsia"/>
          <w:szCs w:val="21"/>
        </w:rPr>
        <w:t xml:space="preserve">frequency-domain process to achieve spectrum </w:t>
      </w:r>
      <w:r>
        <w:rPr>
          <w:szCs w:val="21"/>
        </w:rPr>
        <w:t>ex</w:t>
      </w:r>
      <w:r>
        <w:rPr>
          <w:rFonts w:hint="eastAsia"/>
          <w:szCs w:val="21"/>
        </w:rPr>
        <w:t>ten</w:t>
      </w:r>
      <w:r>
        <w:rPr>
          <w:szCs w:val="21"/>
        </w:rPr>
        <w:t>sion</w:t>
      </w:r>
      <w:r>
        <w:rPr>
          <w:rFonts w:hint="eastAsia"/>
          <w:szCs w:val="21"/>
        </w:rPr>
        <w:t>. And t</w:t>
      </w:r>
      <w:r>
        <w:rPr>
          <w:szCs w:val="21"/>
        </w:rPr>
        <w:t>he number of REs in frequency</w:t>
      </w:r>
      <w:r>
        <w:rPr>
          <w:rFonts w:hint="eastAsia"/>
          <w:szCs w:val="21"/>
        </w:rPr>
        <w:t>-</w:t>
      </w:r>
      <w:r>
        <w:rPr>
          <w:szCs w:val="21"/>
        </w:rPr>
        <w:t xml:space="preserve">domain after </w:t>
      </w:r>
      <w:r>
        <w:rPr>
          <w:rFonts w:hint="eastAsia"/>
          <w:szCs w:val="21"/>
        </w:rPr>
        <w:t xml:space="preserve">spectrum </w:t>
      </w:r>
      <w:r>
        <w:rPr>
          <w:szCs w:val="21"/>
        </w:rPr>
        <w:t>ex</w:t>
      </w:r>
      <w:r>
        <w:rPr>
          <w:rFonts w:hint="eastAsia"/>
          <w:szCs w:val="21"/>
        </w:rPr>
        <w:t>ten</w:t>
      </w:r>
      <w:r>
        <w:rPr>
          <w:szCs w:val="21"/>
        </w:rPr>
        <w:t xml:space="preserve">sion is </w:t>
      </w:r>
      <w:r>
        <w:rPr>
          <w:rFonts w:hint="eastAsia"/>
          <w:szCs w:val="21"/>
        </w:rPr>
        <w:t>M, where M</w:t>
      </w:r>
      <w:r>
        <w:rPr>
          <w:rFonts w:ascii="Arial" w:hAnsi="Arial" w:cs="Arial"/>
          <w:szCs w:val="21"/>
        </w:rPr>
        <w:t>≥</w:t>
      </w:r>
      <w:r>
        <w:rPr>
          <w:rFonts w:hint="eastAsia"/>
          <w:szCs w:val="21"/>
        </w:rPr>
        <w:t xml:space="preserve"> N</w:t>
      </w:r>
      <w:r>
        <w:rPr>
          <w:szCs w:val="21"/>
        </w:rPr>
        <w:t>.</w:t>
      </w:r>
    </w:p>
    <w:p>
      <w:pPr>
        <w:numPr>
          <w:ilvl w:val="0"/>
          <w:numId w:val="29"/>
        </w:numPr>
        <w:snapToGrid w:val="0"/>
        <w:spacing w:before="120" w:beforeLines="0" w:after="120" w:afterLines="0" w:line="240" w:lineRule="auto"/>
        <w:rPr>
          <w:szCs w:val="21"/>
        </w:rPr>
      </w:pPr>
      <w:r>
        <w:rPr>
          <w:szCs w:val="21"/>
        </w:rPr>
        <w:t xml:space="preserve">The </w:t>
      </w:r>
      <w:r>
        <w:rPr>
          <w:rFonts w:hint="eastAsia"/>
          <w:szCs w:val="21"/>
        </w:rPr>
        <w:t>spectrum-</w:t>
      </w:r>
      <w:r>
        <w:rPr>
          <w:szCs w:val="21"/>
        </w:rPr>
        <w:t>ex</w:t>
      </w:r>
      <w:r>
        <w:rPr>
          <w:rFonts w:hint="eastAsia"/>
          <w:szCs w:val="21"/>
        </w:rPr>
        <w:t>te</w:t>
      </w:r>
      <w:r>
        <w:rPr>
          <w:szCs w:val="21"/>
        </w:rPr>
        <w:t>nded data is then processed by FDSS, which comprises a non-transparent filter and a</w:t>
      </w:r>
      <w:r>
        <w:rPr>
          <w:rFonts w:hint="eastAsia"/>
          <w:szCs w:val="21"/>
        </w:rPr>
        <w:t>n</w:t>
      </w:r>
      <w:r>
        <w:rPr>
          <w:szCs w:val="21"/>
        </w:rPr>
        <w:t xml:space="preserve"> </w:t>
      </w:r>
      <w:r>
        <w:rPr>
          <w:rFonts w:hint="eastAsia"/>
          <w:szCs w:val="21"/>
        </w:rPr>
        <w:t xml:space="preserve">optional </w:t>
      </w:r>
      <w:r>
        <w:rPr>
          <w:szCs w:val="21"/>
        </w:rPr>
        <w:t>transparent filter.</w:t>
      </w:r>
      <w:r>
        <w:rPr>
          <w:rFonts w:hint="eastAsia"/>
          <w:szCs w:val="21"/>
        </w:rPr>
        <w:t xml:space="preserve"> The non-transparent filter can be utilized at the receiver side to process the received signal, thereby ensuring good decoding performance. </w:t>
      </w:r>
      <w:r>
        <w:rPr>
          <w:szCs w:val="21"/>
        </w:rPr>
        <w:t>In implementation, the two filters can be pre-multiplied into a single composite filter, enabling efficient implementation through one module.</w:t>
      </w:r>
    </w:p>
    <w:p>
      <w:pPr>
        <w:spacing w:beforeLines="0" w:after="120" w:afterLines="0" w:line="240" w:lineRule="auto"/>
        <w:rPr>
          <w:szCs w:val="21"/>
        </w:rPr>
      </w:pPr>
      <w:r>
        <w:rPr>
          <w:szCs w:val="21"/>
        </w:rPr>
        <w:t xml:space="preserve">The </w:t>
      </w:r>
      <w:r>
        <w:rPr>
          <w:rFonts w:hint="eastAsia"/>
          <w:szCs w:val="21"/>
        </w:rPr>
        <w:t xml:space="preserve">process </w:t>
      </w:r>
      <w:r>
        <w:rPr>
          <w:szCs w:val="21"/>
        </w:rPr>
        <w:t>flow is illustrated in Figure</w:t>
      </w:r>
      <w:r>
        <w:rPr>
          <w:rFonts w:hint="eastAsia"/>
          <w:szCs w:val="21"/>
        </w:rPr>
        <w:t xml:space="preserve"> 1</w:t>
      </w:r>
      <w:r>
        <w:rPr>
          <w:szCs w:val="21"/>
        </w:rPr>
        <w:t>6.</w:t>
      </w:r>
    </w:p>
    <w:p>
      <w:pPr>
        <w:spacing w:beforeLines="0" w:after="120" w:afterLines="0" w:line="240" w:lineRule="auto"/>
        <w:rPr>
          <w:szCs w:val="21"/>
        </w:rPr>
      </w:pPr>
      <w:r>
        <w:rPr>
          <w:szCs w:val="21"/>
        </w:rPr>
        <w:object>
          <v:shape id="_x0000_i1030" o:spt="75" type="#_x0000_t75" style="height:79pt;width:463.15pt;" o:ole="t" filled="f" o:preferrelative="t" stroked="f" coordsize="21600,21600">
            <v:path/>
            <v:fill on="f" focussize="0,0"/>
            <v:stroke on="f" joinstyle="miter"/>
            <v:imagedata r:id="rId40" o:title=""/>
            <o:lock v:ext="edit" aspectratio="f"/>
            <w10:wrap type="none"/>
            <w10:anchorlock/>
          </v:shape>
          <o:OLEObject Type="Embed" ProgID="Visio.Drawing.11" ShapeID="_x0000_i1030" DrawAspect="Content" ObjectID="_1468075730" r:id="rId39">
            <o:LockedField>false</o:LockedField>
          </o:OLEObject>
        </w:object>
      </w:r>
    </w:p>
    <w:p>
      <w:pPr>
        <w:spacing w:beforeLines="0" w:after="120" w:afterLines="0" w:line="240" w:lineRule="auto"/>
        <w:jc w:val="center"/>
        <w:rPr>
          <w:szCs w:val="21"/>
        </w:rPr>
      </w:pPr>
      <w:r>
        <w:rPr>
          <w:rFonts w:hint="eastAsia"/>
          <w:szCs w:val="21"/>
        </w:rPr>
        <w:t>Figure 1</w:t>
      </w:r>
      <w:r>
        <w:rPr>
          <w:szCs w:val="21"/>
        </w:rPr>
        <w:t>6</w:t>
      </w:r>
      <w:r>
        <w:rPr>
          <w:rFonts w:hint="eastAsia"/>
          <w:szCs w:val="21"/>
        </w:rPr>
        <w:t xml:space="preserve"> </w:t>
      </w:r>
      <w:r>
        <w:rPr>
          <w:rFonts w:hint="eastAsia"/>
        </w:rPr>
        <w:t>I-</w:t>
      </w:r>
      <w:r>
        <w:rPr>
          <w:rFonts w:hint="eastAsia"/>
          <w:szCs w:val="21"/>
        </w:rPr>
        <w:t>modulation procedure for frequency-domain</w:t>
      </w:r>
    </w:p>
    <w:p>
      <w:pPr>
        <w:numPr>
          <w:ilvl w:val="0"/>
          <w:numId w:val="28"/>
        </w:numPr>
        <w:spacing w:beforeLines="0" w:after="120" w:afterLines="0" w:line="240" w:lineRule="auto"/>
        <w:ind w:left="403" w:hanging="403"/>
        <w:rPr>
          <w:szCs w:val="21"/>
        </w:rPr>
      </w:pPr>
      <w:r>
        <w:rPr>
          <w:szCs w:val="21"/>
        </w:rPr>
        <w:t>π</w:t>
      </w:r>
      <w:r>
        <w:rPr>
          <w:rFonts w:hint="eastAsia"/>
          <w:szCs w:val="21"/>
        </w:rPr>
        <w:t>/2-BPSK</w:t>
      </w:r>
    </w:p>
    <w:p>
      <w:pPr>
        <w:snapToGrid w:val="0"/>
        <w:spacing w:before="120" w:after="120"/>
        <w:rPr>
          <w:szCs w:val="21"/>
        </w:rPr>
      </w:pPr>
      <w:r>
        <w:rPr>
          <w:szCs w:val="21"/>
        </w:rPr>
        <w:t xml:space="preserve">For π/2-BPSK, the specific frequency-domain process includes: performing a 100% cyclic </w:t>
      </w:r>
      <w:r>
        <w:rPr>
          <w:rFonts w:hint="eastAsia"/>
          <w:szCs w:val="21"/>
        </w:rPr>
        <w:t xml:space="preserve">spectral </w:t>
      </w:r>
      <w:r>
        <w:rPr>
          <w:szCs w:val="21"/>
        </w:rPr>
        <w:t>extension of the N-point DFT data to obtain frequency-domain data with 2N REs; then, extracting the central M REs from these 2N REs as the output. This process is illustrated in Figure 17.</w:t>
      </w:r>
    </w:p>
    <w:p>
      <w:pPr>
        <w:snapToGrid w:val="0"/>
        <w:spacing w:before="120" w:after="120"/>
        <w:jc w:val="center"/>
        <w:rPr>
          <w:szCs w:val="21"/>
        </w:rPr>
      </w:pPr>
      <w:r>
        <w:rPr>
          <w:rFonts w:hint="eastAsia"/>
          <w:szCs w:val="21"/>
        </w:rPr>
        <w:object>
          <v:shape id="_x0000_i1031" o:spt="75" type="#_x0000_t75" style="height:117.15pt;width:308.95pt;" o:ole="t" filled="f" o:preferrelative="t" stroked="f" coordsize="21600,21600">
            <v:path/>
            <v:fill on="f" focussize="0,0"/>
            <v:stroke on="f" joinstyle="miter"/>
            <v:imagedata r:id="rId42" o:title=""/>
            <o:lock v:ext="edit" aspectratio="f"/>
            <w10:wrap type="none"/>
            <w10:anchorlock/>
          </v:shape>
          <o:OLEObject Type="Embed" ProgID="Visio.Drawing.11" ShapeID="_x0000_i1031" DrawAspect="Content" ObjectID="_1468075731" r:id="rId41">
            <o:LockedField>false</o:LockedField>
          </o:OLEObject>
        </w:object>
      </w:r>
    </w:p>
    <w:p>
      <w:pPr>
        <w:snapToGrid w:val="0"/>
        <w:spacing w:before="120" w:after="120"/>
        <w:jc w:val="center"/>
        <w:rPr>
          <w:szCs w:val="21"/>
        </w:rPr>
      </w:pPr>
      <w:r>
        <w:rPr>
          <w:rFonts w:hint="eastAsia"/>
          <w:szCs w:val="21"/>
        </w:rPr>
        <w:t xml:space="preserve">Figure </w:t>
      </w:r>
      <w:r>
        <w:rPr>
          <w:szCs w:val="21"/>
        </w:rPr>
        <w:t>17</w:t>
      </w:r>
      <w:r>
        <w:rPr>
          <w:rFonts w:hint="eastAsia"/>
          <w:szCs w:val="21"/>
        </w:rPr>
        <w:t xml:space="preserve"> Spectrum </w:t>
      </w:r>
      <w:r>
        <w:rPr>
          <w:szCs w:val="21"/>
        </w:rPr>
        <w:t>ex</w:t>
      </w:r>
      <w:r>
        <w:rPr>
          <w:rFonts w:hint="eastAsia"/>
          <w:szCs w:val="21"/>
        </w:rPr>
        <w:t>ten</w:t>
      </w:r>
      <w:r>
        <w:rPr>
          <w:szCs w:val="21"/>
        </w:rPr>
        <w:t xml:space="preserve">sion </w:t>
      </w:r>
      <w:r>
        <w:rPr>
          <w:rFonts w:hint="eastAsia"/>
          <w:szCs w:val="21"/>
        </w:rPr>
        <w:t xml:space="preserve">for </w:t>
      </w:r>
      <w:r>
        <w:rPr>
          <w:szCs w:val="21"/>
        </w:rPr>
        <w:t>π/2-BPSK</w:t>
      </w:r>
    </w:p>
    <w:p>
      <w:pPr>
        <w:snapToGrid w:val="0"/>
        <w:spacing w:before="120" w:after="120"/>
        <w:rPr>
          <w:rFonts w:hAnsi="Cambria Math"/>
          <w:szCs w:val="21"/>
        </w:rPr>
      </w:pPr>
      <w:r>
        <w:rPr>
          <w:szCs w:val="21"/>
        </w:rPr>
        <w:t xml:space="preserve">Optionally, the value of M in Figure </w:t>
      </w:r>
      <w:r>
        <w:rPr>
          <w:rFonts w:hint="eastAsia"/>
          <w:szCs w:val="21"/>
        </w:rPr>
        <w:t>2.1.2.4-6</w:t>
      </w:r>
      <w:r>
        <w:rPr>
          <w:szCs w:val="21"/>
        </w:rPr>
        <w:t xml:space="preserve"> can also be less than N, effectively implementing a frequency-domain truncation relative to the original N REs. This frequency-domain truncation can be considered to achieve a trade-off among PAPR reduction, link-level reliability, and spectral efficiency.</w:t>
      </w:r>
    </w:p>
    <w:p>
      <w:pPr>
        <w:snapToGrid w:val="0"/>
        <w:spacing w:before="120" w:after="120"/>
        <w:rPr>
          <w:rFonts w:hAnsi="Cambria Math"/>
          <w:szCs w:val="21"/>
        </w:rPr>
      </w:pPr>
      <w:r>
        <w:rPr>
          <w:rFonts w:hint="eastAsia" w:hAnsi="Cambria Math"/>
          <w:szCs w:val="21"/>
        </w:rPr>
        <w:t xml:space="preserve">The </w:t>
      </w:r>
      <w:r>
        <w:rPr>
          <w:rFonts w:hAnsi="Cambria Math"/>
          <w:szCs w:val="21"/>
        </w:rPr>
        <w:t>non-transparent filter</w:t>
      </w:r>
      <w:r>
        <w:rPr>
          <w:rFonts w:hint="eastAsia" w:hAnsi="Cambria Math"/>
          <w:szCs w:val="21"/>
        </w:rPr>
        <w:t xml:space="preserve"> can be represented as:</w:t>
      </w:r>
    </w:p>
    <w:p>
      <w:pPr>
        <w:snapToGrid w:val="0"/>
        <w:spacing w:before="120" w:after="120"/>
        <w:rPr>
          <w:rFonts w:hAnsi="Cambria Math"/>
          <w:sz w:val="20"/>
        </w:rPr>
      </w:pPr>
      <m:oMathPara>
        <m:oMath>
          <m:r>
            <m:rPr>
              <m:sty m:val="p"/>
            </m:rPr>
            <w:rPr>
              <w:rFonts w:ascii="Cambria Math" w:hAnsi="Cambria Math"/>
              <w:sz w:val="20"/>
            </w:rPr>
            <m:t>1/</m:t>
          </m:r>
          <m:rad>
            <m:radPr>
              <m:degHide m:val="1"/>
              <m:ctrlPr>
                <w:rPr>
                  <w:rFonts w:ascii="Cambria Math" w:hAnsi="Cambria Math"/>
                  <w:sz w:val="20"/>
                </w:rPr>
              </m:ctrlPr>
            </m:radPr>
            <m:deg>
              <m:ctrlPr>
                <w:rPr>
                  <w:rFonts w:ascii="Cambria Math" w:hAnsi="Cambria Math"/>
                  <w:sz w:val="20"/>
                </w:rPr>
              </m:ctrlPr>
            </m:deg>
            <m:e>
              <m:r>
                <m:rPr>
                  <m:sty m:val="p"/>
                </m:rPr>
                <w:rPr>
                  <w:rFonts w:ascii="Cambria Math" w:hAnsi="Cambria Math"/>
                  <w:sz w:val="20"/>
                </w:rPr>
                <m:t>2</m:t>
              </m:r>
              <m:ctrlPr>
                <w:rPr>
                  <w:rFonts w:ascii="Cambria Math" w:hAnsi="Cambria Math"/>
                  <w:sz w:val="20"/>
                </w:rPr>
              </m:ctrlPr>
            </m:e>
          </m:rad>
          <m:r>
            <m:rPr>
              <m:sty m:val="p"/>
            </m:rPr>
            <w:rPr>
              <w:rFonts w:ascii="Cambria Math" w:hAnsi="Cambria Math"/>
              <w:sz w:val="20"/>
            </w:rPr>
            <m:t>+cos(2π</m:t>
          </m:r>
          <m:f>
            <m:fPr>
              <m:ctrlPr>
                <w:rPr>
                  <w:rFonts w:hint="eastAsia" w:ascii="Cambria Math" w:hAnsi="Cambria Math"/>
                  <w:sz w:val="20"/>
                </w:rPr>
              </m:ctrlPr>
            </m:fPr>
            <m:num>
              <m:r>
                <m:rPr>
                  <m:sty m:val="p"/>
                </m:rPr>
                <w:rPr>
                  <w:rFonts w:ascii="Cambria Math" w:hAnsi="Cambria Math"/>
                  <w:sz w:val="20"/>
                </w:rPr>
                <m:t>m−M/2</m:t>
              </m:r>
              <m:ctrlPr>
                <w:rPr>
                  <w:rFonts w:hint="eastAsia" w:ascii="Cambria Math" w:hAnsi="Cambria Math"/>
                  <w:sz w:val="20"/>
                </w:rPr>
              </m:ctrlPr>
            </m:num>
            <m:den>
              <m:r>
                <m:rPr>
                  <m:sty m:val="p"/>
                </m:rPr>
                <w:rPr>
                  <w:rFonts w:ascii="Cambria Math" w:hAnsi="Cambria Math"/>
                  <w:sz w:val="20"/>
                </w:rPr>
                <m:t>K</m:t>
              </m:r>
              <m:ctrlPr>
                <w:rPr>
                  <w:rFonts w:hint="eastAsia" w:ascii="Cambria Math" w:hAnsi="Cambria Math"/>
                  <w:sz w:val="20"/>
                </w:rPr>
              </m:ctrlPr>
            </m:den>
          </m:f>
          <m:r>
            <m:rPr>
              <m:sty m:val="p"/>
            </m:rPr>
            <w:rPr>
              <w:rFonts w:ascii="Cambria Math" w:hAnsi="Cambria Math"/>
              <w:sz w:val="20"/>
            </w:rPr>
            <m:t>)</m:t>
          </m:r>
        </m:oMath>
      </m:oMathPara>
    </w:p>
    <w:p>
      <w:pPr>
        <w:spacing w:beforeLines="0" w:after="120" w:afterLines="0" w:line="240" w:lineRule="auto"/>
        <w:rPr>
          <w:rFonts w:hAnsi="Cambria Math"/>
          <w:szCs w:val="21"/>
        </w:rPr>
      </w:pPr>
      <w:r>
        <w:rPr>
          <w:rFonts w:hint="eastAsia" w:hAnsi="Cambria Math"/>
          <w:szCs w:val="21"/>
        </w:rPr>
        <w:t>Wherein,</w:t>
      </w:r>
    </w:p>
    <w:p>
      <w:pPr>
        <w:numPr>
          <w:ilvl w:val="0"/>
          <w:numId w:val="29"/>
        </w:numPr>
        <w:spacing w:beforeLines="0" w:after="120" w:afterLines="0" w:line="240" w:lineRule="auto"/>
        <w:rPr>
          <w:szCs w:val="21"/>
        </w:rPr>
      </w:pPr>
      <m:oMath>
        <m:r>
          <m:rPr>
            <m:sty m:val="p"/>
          </m:rPr>
          <w:rPr>
            <w:rFonts w:ascii="Cambria Math" w:hAnsi="Cambria Math"/>
            <w:szCs w:val="21"/>
          </w:rPr>
          <m:t>m={0,1,2,...,M−1}</m:t>
        </m:r>
      </m:oMath>
      <w:r>
        <w:rPr>
          <w:rFonts w:hint="eastAsia"/>
          <w:szCs w:val="21"/>
        </w:rPr>
        <w:t>;</w:t>
      </w:r>
    </w:p>
    <w:p>
      <w:pPr>
        <w:numPr>
          <w:ilvl w:val="0"/>
          <w:numId w:val="29"/>
        </w:numPr>
        <w:spacing w:beforeLines="0" w:after="120" w:afterLines="0" w:line="240" w:lineRule="auto"/>
        <w:rPr>
          <w:szCs w:val="21"/>
        </w:rPr>
      </w:pPr>
      <w:r>
        <w:rPr>
          <w:rFonts w:hint="eastAsia"/>
          <w:szCs w:val="21"/>
        </w:rPr>
        <w:t>M is the number of REs after spectrum extension;</w:t>
      </w:r>
    </w:p>
    <w:p>
      <w:pPr>
        <w:numPr>
          <w:ilvl w:val="0"/>
          <w:numId w:val="29"/>
        </w:numPr>
        <w:spacing w:beforeLines="0" w:after="120" w:afterLines="0" w:line="240" w:lineRule="auto"/>
        <w:rPr>
          <w:szCs w:val="21"/>
        </w:rPr>
      </w:pPr>
      <w:r>
        <w:rPr>
          <w:rFonts w:hint="eastAsia"/>
          <w:szCs w:val="21"/>
        </w:rPr>
        <w:t>K = 2N and N is the number of REs before spectrum extension.</w:t>
      </w:r>
    </w:p>
    <w:p>
      <w:pPr>
        <w:numPr>
          <w:ilvl w:val="0"/>
          <w:numId w:val="29"/>
        </w:numPr>
        <w:spacing w:beforeLines="0" w:after="120" w:afterLines="0" w:line="240" w:lineRule="auto"/>
        <w:rPr>
          <w:szCs w:val="21"/>
        </w:rPr>
      </w:pPr>
      <w:r>
        <w:rPr>
          <w:rFonts w:hint="eastAsia"/>
          <w:szCs w:val="21"/>
        </w:rPr>
        <w:t xml:space="preserve">Note: This formula is equivalent to the DFT of the time-domain sequence </w:t>
      </w:r>
      <m:oMath>
        <m:r>
          <m:rPr>
            <m:sty m:val="p"/>
          </m:rPr>
          <w:rPr>
            <w:rFonts w:ascii="Cambria Math"/>
            <w:szCs w:val="21"/>
          </w:rPr>
          <m:t>[</m:t>
        </m:r>
        <m:r>
          <m:rPr>
            <m:sty m:val="p"/>
          </m:rPr>
          <w:rPr>
            <w:rFonts w:ascii="Cambria Math" w:hAnsi="Cambria Math"/>
            <w:szCs w:val="21"/>
          </w:rPr>
          <m:t>1,−</m:t>
        </m:r>
        <m:f>
          <m:fPr>
            <m:type m:val="lin"/>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2</m:t>
                </m:r>
                <m:ctrlPr>
                  <w:rPr>
                    <w:rFonts w:ascii="Cambria Math" w:hAnsi="Cambria Math"/>
                    <w:szCs w:val="21"/>
                  </w:rPr>
                </m:ctrlPr>
              </m:e>
            </m:rad>
            <m:ctrlPr>
              <w:rPr>
                <w:rFonts w:ascii="Cambria Math" w:hAnsi="Cambria Math"/>
                <w:szCs w:val="21"/>
              </w:rPr>
            </m:ctrlPr>
          </m:den>
        </m:f>
        <m:r>
          <m:rPr>
            <m:sty m:val="p"/>
          </m:rPr>
          <w:rPr>
            <w:rFonts w:ascii="Cambria Math" w:hAnsi="Cambria Math"/>
            <w:szCs w:val="21"/>
          </w:rPr>
          <m:t>, 0, ...,0,−</m:t>
        </m:r>
        <m:f>
          <m:fPr>
            <m:type m:val="lin"/>
            <m:ctrlPr>
              <w:rPr>
                <w:rFonts w:ascii="Cambria Math" w:hAnsi="Cambria Math"/>
                <w:szCs w:val="21"/>
              </w:rPr>
            </m:ctrlPr>
          </m:fPr>
          <m:num>
            <m:r>
              <m:rPr>
                <m:sty m:val="p"/>
              </m:rPr>
              <w:rPr>
                <w:rFonts w:ascii="Cambria Math" w:hAnsi="Cambria Math"/>
                <w:szCs w:val="21"/>
              </w:rPr>
              <m:t>1</m:t>
            </m:r>
            <m:ctrlPr>
              <w:rPr>
                <w:rFonts w:ascii="Cambria Math" w:hAnsi="Cambria Math"/>
                <w:szCs w:val="21"/>
              </w:rPr>
            </m:ctrlPr>
          </m:num>
          <m:den>
            <m:rad>
              <m:radPr>
                <m:degHide m:val="1"/>
                <m:ctrlPr>
                  <w:rPr>
                    <w:rFonts w:ascii="Cambria Math" w:hAnsi="Cambria Math"/>
                    <w:szCs w:val="21"/>
                  </w:rPr>
                </m:ctrlPr>
              </m:radPr>
              <m:deg>
                <m:ctrlPr>
                  <w:rPr>
                    <w:rFonts w:ascii="Cambria Math" w:hAnsi="Cambria Math"/>
                    <w:szCs w:val="21"/>
                  </w:rPr>
                </m:ctrlPr>
              </m:deg>
              <m:e>
                <m:r>
                  <m:rPr>
                    <m:sty m:val="p"/>
                  </m:rPr>
                  <w:rPr>
                    <w:rFonts w:ascii="Cambria Math" w:hAnsi="Cambria Math"/>
                    <w:szCs w:val="21"/>
                  </w:rPr>
                  <m:t>2</m:t>
                </m:r>
                <m:ctrlPr>
                  <w:rPr>
                    <w:rFonts w:ascii="Cambria Math" w:hAnsi="Cambria Math"/>
                    <w:szCs w:val="21"/>
                  </w:rPr>
                </m:ctrlPr>
              </m:e>
            </m:rad>
            <m:ctrlPr>
              <w:rPr>
                <w:rFonts w:ascii="Cambria Math" w:hAnsi="Cambria Math"/>
                <w:szCs w:val="21"/>
              </w:rPr>
            </m:ctrlPr>
          </m:den>
        </m:f>
        <m:r>
          <m:rPr>
            <m:sty m:val="p"/>
          </m:rPr>
          <w:rPr>
            <w:rFonts w:ascii="Cambria Math" w:hAnsi="Cambria Math"/>
            <w:szCs w:val="21"/>
          </w:rPr>
          <m:t>]</m:t>
        </m:r>
      </m:oMath>
      <w:r>
        <w:rPr>
          <w:rFonts w:hint="eastAsia" w:hAnsi="Cambria Math"/>
          <w:szCs w:val="21"/>
        </w:rPr>
        <w:t>.</w:t>
      </w:r>
    </w:p>
    <w:p>
      <w:pPr>
        <w:spacing w:beforeLines="0" w:after="120" w:afterLines="0" w:line="240" w:lineRule="auto"/>
        <w:rPr>
          <w:rFonts w:hAnsi="Cambria Math"/>
          <w:szCs w:val="21"/>
        </w:rPr>
      </w:pPr>
      <w:r>
        <w:rPr>
          <w:rFonts w:hint="eastAsia" w:hAnsi="Cambria Math"/>
          <w:szCs w:val="21"/>
        </w:rPr>
        <w:t xml:space="preserve">Given this, the non-transparent filter has a total length of </w:t>
      </w:r>
      <w:r>
        <w:rPr>
          <w:rFonts w:hAnsi="Cambria Math"/>
          <w:szCs w:val="21"/>
        </w:rPr>
        <w:t xml:space="preserve">2N. </w:t>
      </w:r>
      <w:r>
        <w:rPr>
          <w:rFonts w:hint="eastAsia" w:hAnsi="Cambria Math"/>
          <w:szCs w:val="21"/>
        </w:rPr>
        <w:t>Then</w:t>
      </w:r>
      <w:r>
        <w:rPr>
          <w:rFonts w:hAnsi="Cambria Math"/>
          <w:szCs w:val="21"/>
        </w:rPr>
        <w:t>, M coefficients from the center portion of these 2N coefficients are utilized in the FDSS process.</w:t>
      </w:r>
      <w:r>
        <w:rPr>
          <w:rFonts w:hint="eastAsia" w:hAnsi="Cambria Math"/>
          <w:szCs w:val="21"/>
        </w:rPr>
        <w:t xml:space="preserve"> Assuming </w:t>
      </w:r>
      <w:r>
        <w:rPr>
          <w:rFonts w:hint="eastAsia"/>
          <w:szCs w:val="21"/>
        </w:rPr>
        <w:t xml:space="preserve">N=300, the filter </w:t>
      </w:r>
      <w:r>
        <w:rPr>
          <w:rFonts w:hAnsi="Cambria Math"/>
          <w:szCs w:val="21"/>
        </w:rPr>
        <w:t xml:space="preserve">coefficients </w:t>
      </w:r>
      <w:r>
        <w:rPr>
          <w:rFonts w:hint="eastAsia" w:hAnsi="Cambria Math"/>
          <w:szCs w:val="21"/>
        </w:rPr>
        <w:t>are illustrated in Figure 1</w:t>
      </w:r>
      <w:r>
        <w:rPr>
          <w:rFonts w:hAnsi="Cambria Math"/>
          <w:szCs w:val="21"/>
        </w:rPr>
        <w:t>8</w:t>
      </w:r>
      <w:r>
        <w:rPr>
          <w:rFonts w:hint="eastAsia" w:hAnsi="Cambria Math"/>
          <w:szCs w:val="21"/>
        </w:rPr>
        <w:t>.</w:t>
      </w:r>
    </w:p>
    <w:p>
      <w:pPr>
        <w:spacing w:beforeLines="0" w:after="120" w:afterLines="0" w:line="240" w:lineRule="auto"/>
        <w:jc w:val="center"/>
        <w:rPr>
          <w:rFonts w:hAnsi="Cambria Math"/>
          <w:szCs w:val="21"/>
        </w:rPr>
      </w:pPr>
      <w:r>
        <w:rPr>
          <w:rFonts w:hint="eastAsia" w:hAnsi="Cambria Math"/>
          <w:szCs w:val="21"/>
        </w:rPr>
        <w:object>
          <v:shape id="_x0000_i1032" o:spt="75" type="#_x0000_t75" style="height:212.8pt;width:243.95pt;" o:ole="t" filled="f" o:preferrelative="t" stroked="f" coordsize="21600,21600">
            <v:path/>
            <v:fill on="f" focussize="0,0"/>
            <v:stroke on="f" joinstyle="miter"/>
            <v:imagedata r:id="rId44" o:title=""/>
            <o:lock v:ext="edit" aspectratio="f"/>
            <w10:wrap type="none"/>
            <w10:anchorlock/>
          </v:shape>
          <o:OLEObject Type="Embed" ProgID="Visio.Drawing.11" ShapeID="_x0000_i1032" DrawAspect="Content" ObjectID="_1468075732" r:id="rId43">
            <o:LockedField>false</o:LockedField>
          </o:OLEObject>
        </w:object>
      </w:r>
    </w:p>
    <w:p>
      <w:pPr>
        <w:spacing w:beforeLines="0" w:after="120" w:afterLines="0" w:line="240" w:lineRule="auto"/>
        <w:jc w:val="center"/>
        <w:rPr>
          <w:rFonts w:hAnsi="Cambria Math"/>
          <w:szCs w:val="21"/>
        </w:rPr>
      </w:pPr>
      <w:r>
        <w:rPr>
          <w:rFonts w:hint="eastAsia" w:hAnsi="Cambria Math"/>
          <w:szCs w:val="21"/>
        </w:rPr>
        <w:t>Figure 1</w:t>
      </w:r>
      <w:r>
        <w:rPr>
          <w:rFonts w:hAnsi="Cambria Math"/>
          <w:szCs w:val="21"/>
        </w:rPr>
        <w:t>8</w:t>
      </w:r>
      <w:r>
        <w:rPr>
          <w:rFonts w:hint="eastAsia" w:hAnsi="Cambria Math"/>
          <w:szCs w:val="21"/>
        </w:rPr>
        <w:t xml:space="preserve"> Non-transparent </w:t>
      </w:r>
      <w:r>
        <w:rPr>
          <w:rFonts w:hint="eastAsia"/>
          <w:szCs w:val="21"/>
        </w:rPr>
        <w:t xml:space="preserve">filter </w:t>
      </w:r>
      <w:r>
        <w:rPr>
          <w:rFonts w:hAnsi="Cambria Math"/>
          <w:szCs w:val="21"/>
        </w:rPr>
        <w:t>coefficients</w:t>
      </w:r>
      <w:r>
        <w:rPr>
          <w:rFonts w:hint="eastAsia" w:hAnsi="Cambria Math"/>
          <w:szCs w:val="21"/>
        </w:rPr>
        <w:t xml:space="preserve"> for </w:t>
      </w:r>
      <w:r>
        <w:rPr>
          <w:rFonts w:hint="eastAsia"/>
          <w:szCs w:val="21"/>
        </w:rPr>
        <w:t xml:space="preserve">I-modulation for </w:t>
      </w:r>
      <w:r>
        <w:rPr>
          <w:szCs w:val="21"/>
        </w:rPr>
        <w:t>π</w:t>
      </w:r>
      <w:r>
        <w:rPr>
          <w:rFonts w:hint="eastAsia"/>
          <w:szCs w:val="21"/>
        </w:rPr>
        <w:t>/2-BPSK</w:t>
      </w:r>
    </w:p>
    <w:p>
      <w:pPr>
        <w:numPr>
          <w:ilvl w:val="0"/>
          <w:numId w:val="28"/>
        </w:numPr>
        <w:spacing w:beforeLines="0" w:after="120" w:afterLines="0" w:line="240" w:lineRule="auto"/>
        <w:ind w:left="403" w:hanging="403"/>
        <w:rPr>
          <w:szCs w:val="21"/>
        </w:rPr>
      </w:pPr>
      <w:r>
        <w:rPr>
          <w:rFonts w:hint="eastAsia"/>
          <w:szCs w:val="21"/>
        </w:rPr>
        <w:t>QPSK/QAM</w:t>
      </w:r>
    </w:p>
    <w:p>
      <w:pPr>
        <w:snapToGrid w:val="0"/>
        <w:spacing w:before="120" w:after="120"/>
        <w:rPr>
          <w:rFonts w:hAnsi="Cambria Math"/>
          <w:sz w:val="20"/>
        </w:rPr>
      </w:pPr>
      <w:r>
        <w:rPr>
          <w:rFonts w:hint="eastAsia" w:hAnsi="Cambria Math"/>
          <w:sz w:val="20"/>
        </w:rPr>
        <w:t>The  I-modulation scheme for QPSK/QAM can also be</w:t>
      </w:r>
      <w:r>
        <w:rPr>
          <w:rFonts w:hint="eastAsia"/>
          <w:sz w:val="20"/>
        </w:rPr>
        <w:t xml:space="preserve"> implemented via frequency-domain approach to reduce PAPR while maintaining spectral efficiency and link performance.</w:t>
      </w:r>
    </w:p>
    <w:p>
      <w:pPr>
        <w:pStyle w:val="52"/>
        <w:spacing w:before="120" w:after="120"/>
        <w:jc w:val="both"/>
      </w:pPr>
      <w:bookmarkStart w:id="247" w:name="_Toc213435914"/>
      <w:r>
        <w:rPr>
          <w:rFonts w:hint="eastAsia"/>
        </w:rPr>
        <w:t>The I-modulation scheme can be achieved using either a time-domain approach or a frequency-domain approach.</w:t>
      </w:r>
      <w:bookmarkEnd w:id="247"/>
    </w:p>
    <w:p>
      <w:pPr>
        <w:spacing w:beforeLines="0" w:after="120" w:afterLines="0" w:line="240" w:lineRule="auto"/>
        <w:rPr>
          <w:rFonts w:hAnsi="Cambria Math"/>
          <w:szCs w:val="21"/>
        </w:rPr>
      </w:pPr>
      <w:r>
        <w:rPr>
          <w:rFonts w:hint="eastAsia" w:hAnsi="Cambria Math"/>
          <w:szCs w:val="21"/>
        </w:rPr>
        <w:t xml:space="preserve">In summary, the I-modulation scheme is applicable to existing </w:t>
      </w:r>
      <w:r>
        <w:rPr>
          <w:szCs w:val="21"/>
        </w:rPr>
        <w:t>π</w:t>
      </w:r>
      <w:r>
        <w:rPr>
          <w:rFonts w:hint="eastAsia" w:hAnsi="Cambria Math"/>
          <w:szCs w:val="21"/>
        </w:rPr>
        <w:t>/2-BPSK, QPSK, and QAM modulations, covering a wide range of spectral efficiency. According to TS 38.214, spectral efficiency can be derived from the ratio of the transport block size to the number of mo</w:t>
      </w:r>
      <w:r>
        <w:rPr>
          <w:rFonts w:hAnsi="Cambria Math"/>
          <w:szCs w:val="21"/>
        </w:rPr>
        <w:t>dulation symbols</w:t>
      </w:r>
      <w:r>
        <w:rPr>
          <w:rFonts w:hint="eastAsia" w:hAnsi="Cambria Math"/>
          <w:szCs w:val="21"/>
        </w:rPr>
        <w:t xml:space="preserve"> carrying the transport block. Thus, Figure 1</w:t>
      </w:r>
      <w:r>
        <w:rPr>
          <w:rFonts w:hAnsi="Cambria Math"/>
          <w:szCs w:val="21"/>
        </w:rPr>
        <w:t>9</w:t>
      </w:r>
      <w:r>
        <w:rPr>
          <w:rFonts w:hint="eastAsia" w:hAnsi="Cambria Math"/>
          <w:szCs w:val="21"/>
        </w:rPr>
        <w:t xml:space="preserve"> illustrates the appropriate spectral efficiency range of I-modulation for </w:t>
      </w:r>
      <w:r>
        <w:rPr>
          <w:szCs w:val="21"/>
        </w:rPr>
        <w:t>π</w:t>
      </w:r>
      <w:r>
        <w:rPr>
          <w:rFonts w:hint="eastAsia" w:hAnsi="Cambria Math"/>
          <w:szCs w:val="21"/>
        </w:rPr>
        <w:t>/2-BPSK, QPSK, and QAM (I-</w:t>
      </w:r>
      <w:r>
        <w:rPr>
          <w:szCs w:val="21"/>
        </w:rPr>
        <w:t>π</w:t>
      </w:r>
      <w:r>
        <w:rPr>
          <w:rFonts w:hint="eastAsia" w:hAnsi="Cambria Math"/>
          <w:szCs w:val="21"/>
        </w:rPr>
        <w:t>/2-BPSK, I-QPSK, I-QAM).</w:t>
      </w:r>
    </w:p>
    <w:p>
      <w:pPr>
        <w:spacing w:beforeLines="0" w:after="120" w:afterLines="0" w:line="240" w:lineRule="auto"/>
        <w:rPr>
          <w:rFonts w:hAnsi="Cambria Math"/>
          <w:szCs w:val="21"/>
        </w:rPr>
      </w:pPr>
      <w:r>
        <w:rPr>
          <w:rFonts w:hAnsi="Cambria Math"/>
          <w:szCs w:val="21"/>
        </w:rPr>
        <w:object>
          <v:shape id="_x0000_i1033" o:spt="75" type="#_x0000_t75" style="height:126.25pt;width:420.2pt;" o:ole="t" filled="f" o:preferrelative="t" stroked="f" coordsize="21600,21600">
            <v:path/>
            <v:fill on="f" focussize="0,0"/>
            <v:stroke on="f" joinstyle="miter"/>
            <v:imagedata r:id="rId46" o:title=""/>
            <o:lock v:ext="edit" aspectratio="f"/>
            <w10:wrap type="none"/>
            <w10:anchorlock/>
          </v:shape>
          <o:OLEObject Type="Embed" ProgID="Visio.Drawing.11" ShapeID="_x0000_i1033" DrawAspect="Content" ObjectID="_1468075733" r:id="rId45">
            <o:LockedField>false</o:LockedField>
          </o:OLEObject>
        </w:object>
      </w:r>
    </w:p>
    <w:p>
      <w:pPr>
        <w:spacing w:beforeLines="0" w:after="120" w:afterLines="0" w:line="240" w:lineRule="auto"/>
        <w:jc w:val="center"/>
        <w:rPr>
          <w:rFonts w:hAnsi="Cambria Math"/>
          <w:szCs w:val="21"/>
        </w:rPr>
      </w:pPr>
      <w:r>
        <w:rPr>
          <w:rFonts w:hint="eastAsia" w:hAnsi="Cambria Math"/>
          <w:szCs w:val="21"/>
        </w:rPr>
        <w:t>Figure 1</w:t>
      </w:r>
      <w:r>
        <w:rPr>
          <w:rFonts w:hAnsi="Cambria Math"/>
          <w:szCs w:val="21"/>
        </w:rPr>
        <w:t>9</w:t>
      </w:r>
      <w:r>
        <w:rPr>
          <w:rFonts w:hint="eastAsia" w:hAnsi="Cambria Math"/>
          <w:szCs w:val="21"/>
        </w:rPr>
        <w:t xml:space="preserve"> Spectral efficiency range of I-modulation for </w:t>
      </w:r>
      <w:r>
        <w:rPr>
          <w:szCs w:val="21"/>
        </w:rPr>
        <w:t>π</w:t>
      </w:r>
      <w:r>
        <w:rPr>
          <w:rFonts w:hint="eastAsia" w:hAnsi="Cambria Math"/>
          <w:szCs w:val="21"/>
        </w:rPr>
        <w:t>/2-BPSK, QPSK, and QAM</w:t>
      </w:r>
    </w:p>
    <w:p>
      <w:pPr>
        <w:pStyle w:val="52"/>
        <w:spacing w:before="120" w:after="120"/>
        <w:jc w:val="both"/>
      </w:pPr>
      <w:bookmarkStart w:id="248" w:name="_Toc213435915"/>
      <w:r>
        <w:rPr>
          <w:rFonts w:hint="eastAsia"/>
        </w:rPr>
        <w:t xml:space="preserve">The </w:t>
      </w:r>
      <w:r>
        <w:t>I</w:t>
      </w:r>
      <w:r>
        <w:rPr>
          <w:rFonts w:hint="eastAsia"/>
        </w:rPr>
        <w:t>-</w:t>
      </w:r>
      <w:r>
        <w:t xml:space="preserve">modulation </w:t>
      </w:r>
      <w:r>
        <w:rPr>
          <w:rFonts w:hint="eastAsia"/>
        </w:rPr>
        <w:t xml:space="preserve">scheme </w:t>
      </w:r>
      <w:r>
        <w:t>is applicable to a wide range of modulation schemes, from low-order π/2-BPSK to high-order QAM.</w:t>
      </w:r>
      <w:bookmarkEnd w:id="248"/>
      <w:r>
        <w:rPr>
          <w:rFonts w:hint="eastAsia"/>
        </w:rPr>
        <w:t xml:space="preserve"> </w:t>
      </w:r>
    </w:p>
    <w:p>
      <w:pPr>
        <w:pStyle w:val="3"/>
        <w:spacing w:before="120" w:after="120"/>
        <w:ind w:left="991" w:right="210" w:hanging="991" w:hangingChars="354"/>
      </w:pPr>
      <w:r>
        <w:rPr>
          <w:rFonts w:hint="eastAsia" w:eastAsia="宋体"/>
        </w:rPr>
        <w:t>Simulation results for interpolation modulation</w:t>
      </w:r>
    </w:p>
    <w:p>
      <w:pPr>
        <w:spacing w:beforeLines="0" w:after="120" w:afterLines="0" w:line="240" w:lineRule="auto"/>
        <w:rPr>
          <w:szCs w:val="21"/>
        </w:rPr>
      </w:pPr>
      <w:r>
        <w:rPr>
          <w:rFonts w:hint="eastAsia"/>
          <w:szCs w:val="21"/>
        </w:rPr>
        <w:t xml:space="preserve">To evaluate the performance, we present the relevant simulation results in this section. </w:t>
      </w:r>
      <w:r>
        <w:rPr>
          <w:szCs w:val="21"/>
        </w:rPr>
        <w:t>The detailed simulation parameters and assumptions are provided in Appendix Table A-</w:t>
      </w:r>
      <w:r>
        <w:rPr>
          <w:rFonts w:hint="eastAsia"/>
          <w:szCs w:val="21"/>
        </w:rPr>
        <w:t>4</w:t>
      </w:r>
      <w:r>
        <w:rPr>
          <w:szCs w:val="21"/>
        </w:rPr>
        <w:t>.</w:t>
      </w:r>
    </w:p>
    <w:p>
      <w:pPr>
        <w:pStyle w:val="4"/>
        <w:spacing w:before="0" w:beforeLines="0" w:after="120" w:afterLines="0" w:line="240" w:lineRule="auto"/>
      </w:pPr>
      <w:r>
        <w:rPr>
          <w:rFonts w:hint="eastAsia"/>
        </w:rPr>
        <w:t>PAPR</w:t>
      </w:r>
    </w:p>
    <w:p>
      <w:pPr>
        <w:snapToGrid w:val="0"/>
        <w:spacing w:before="120" w:after="120"/>
        <w:rPr>
          <w:rFonts w:hAnsi="Cambria Math"/>
          <w:szCs w:val="21"/>
        </w:rPr>
      </w:pPr>
      <w:r>
        <w:rPr>
          <w:rFonts w:hint="eastAsia" w:hAnsi="Cambria Math"/>
          <w:szCs w:val="21"/>
        </w:rPr>
        <w:t xml:space="preserve">Figure </w:t>
      </w:r>
      <w:r>
        <w:rPr>
          <w:szCs w:val="21"/>
        </w:rPr>
        <w:t>20</w:t>
      </w:r>
      <w:r>
        <w:rPr>
          <w:rFonts w:hint="eastAsia" w:hAnsi="Cambria Math"/>
          <w:szCs w:val="21"/>
        </w:rPr>
        <w:t xml:space="preserve"> to </w:t>
      </w:r>
      <w:r>
        <w:rPr>
          <w:szCs w:val="21"/>
        </w:rPr>
        <w:t>22</w:t>
      </w:r>
      <w:r>
        <w:rPr>
          <w:rFonts w:hint="eastAsia" w:hAnsi="Cambria Math"/>
          <w:szCs w:val="21"/>
        </w:rPr>
        <w:t xml:space="preserve"> show the PAPR performance of I-modulation for </w:t>
      </w:r>
      <w:r>
        <w:rPr>
          <w:szCs w:val="21"/>
        </w:rPr>
        <w:t>π</w:t>
      </w:r>
      <w:r>
        <w:rPr>
          <w:rFonts w:hint="eastAsia" w:hAnsi="Cambria Math"/>
          <w:szCs w:val="21"/>
        </w:rPr>
        <w:t>/2-BPSK, QPSK and 16QAM, respectively, where the simulations assume the same realistic transmission bandwidth across all schemes in each figure.</w:t>
      </w:r>
    </w:p>
    <w:p>
      <w:pPr>
        <w:snapToGrid w:val="0"/>
        <w:spacing w:before="120" w:after="120"/>
        <w:jc w:val="center"/>
        <w:rPr>
          <w:rFonts w:hAnsi="Cambria Math"/>
          <w:szCs w:val="21"/>
        </w:rPr>
      </w:pPr>
      <w:r>
        <w:rPr>
          <w:rFonts w:hint="eastAsia" w:hAnsi="Cambria Math"/>
          <w:szCs w:val="21"/>
        </w:rPr>
        <w:drawing>
          <wp:inline distT="0" distB="0" distL="114300" distR="114300">
            <wp:extent cx="3595370" cy="2699385"/>
            <wp:effectExtent l="0" t="0" r="5080" b="5715"/>
            <wp:docPr id="8" name="图片 8" descr="Pi4BPSK_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Pi4BPSK_1105"/>
                    <pic:cNvPicPr>
                      <a:picLocks noChangeAspect="1"/>
                    </pic:cNvPicPr>
                  </pic:nvPicPr>
                  <pic:blipFill>
                    <a:blip r:embed="rId47"/>
                    <a:stretch>
                      <a:fillRect/>
                    </a:stretch>
                  </pic:blipFill>
                  <pic:spPr>
                    <a:xfrm>
                      <a:off x="0" y="0"/>
                      <a:ext cx="3595634" cy="2700000"/>
                    </a:xfrm>
                    <a:prstGeom prst="rect">
                      <a:avLst/>
                    </a:prstGeom>
                  </pic:spPr>
                </pic:pic>
              </a:graphicData>
            </a:graphic>
          </wp:inline>
        </w:drawing>
      </w:r>
    </w:p>
    <w:p>
      <w:pPr>
        <w:snapToGrid w:val="0"/>
        <w:spacing w:before="120" w:after="120"/>
        <w:jc w:val="center"/>
        <w:rPr>
          <w:rFonts w:hAnsi="Cambria Math"/>
          <w:szCs w:val="21"/>
        </w:rPr>
      </w:pPr>
      <w:r>
        <w:rPr>
          <w:rFonts w:hint="eastAsia" w:hAnsi="Cambria Math"/>
          <w:szCs w:val="21"/>
        </w:rPr>
        <w:t xml:space="preserve">Figure </w:t>
      </w:r>
      <w:r>
        <w:rPr>
          <w:szCs w:val="21"/>
        </w:rPr>
        <w:t>20</w:t>
      </w:r>
      <w:r>
        <w:rPr>
          <w:rFonts w:hint="eastAsia" w:hAnsi="Cambria Math"/>
          <w:szCs w:val="21"/>
        </w:rPr>
        <w:t xml:space="preserve"> PAPR of I-modulation for </w:t>
      </w:r>
      <w:r>
        <w:rPr>
          <w:rFonts w:hAnsi="Cambria Math"/>
          <w:szCs w:val="21"/>
        </w:rPr>
        <w:t>π</w:t>
      </w:r>
      <w:r>
        <w:rPr>
          <w:rFonts w:hint="eastAsia" w:hAnsi="Cambria Math"/>
          <w:szCs w:val="21"/>
        </w:rPr>
        <w:t>/2-BPSK</w:t>
      </w:r>
    </w:p>
    <w:p>
      <w:pPr>
        <w:snapToGrid w:val="0"/>
        <w:spacing w:before="120" w:after="120"/>
        <w:jc w:val="center"/>
        <w:rPr>
          <w:rFonts w:hAnsi="Cambria Math"/>
          <w:szCs w:val="21"/>
        </w:rPr>
      </w:pPr>
      <w:r>
        <w:rPr>
          <w:rFonts w:hint="eastAsia" w:hAnsi="Cambria Math"/>
          <w:szCs w:val="21"/>
        </w:rPr>
        <w:drawing>
          <wp:inline distT="0" distB="0" distL="114300" distR="114300">
            <wp:extent cx="3599180" cy="2699385"/>
            <wp:effectExtent l="0" t="0" r="0" b="0"/>
            <wp:docPr id="1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5"/>
                    <pic:cNvPicPr>
                      <a:picLocks noChangeAspect="1"/>
                    </pic:cNvPicPr>
                  </pic:nvPicPr>
                  <pic:blipFill>
                    <a:blip r:embed="rId48"/>
                    <a:stretch>
                      <a:fillRect/>
                    </a:stretch>
                  </pic:blipFill>
                  <pic:spPr>
                    <a:xfrm>
                      <a:off x="0" y="0"/>
                      <a:ext cx="3599459" cy="2700000"/>
                    </a:xfrm>
                    <a:prstGeom prst="rect">
                      <a:avLst/>
                    </a:prstGeom>
                    <a:noFill/>
                    <a:ln>
                      <a:noFill/>
                    </a:ln>
                  </pic:spPr>
                </pic:pic>
              </a:graphicData>
            </a:graphic>
          </wp:inline>
        </w:drawing>
      </w:r>
    </w:p>
    <w:p>
      <w:pPr>
        <w:snapToGrid w:val="0"/>
        <w:spacing w:before="120" w:after="120"/>
        <w:jc w:val="center"/>
        <w:rPr>
          <w:rFonts w:hAnsi="Cambria Math"/>
          <w:szCs w:val="21"/>
        </w:rPr>
      </w:pPr>
      <w:r>
        <w:rPr>
          <w:rFonts w:hint="eastAsia" w:hAnsi="Cambria Math"/>
          <w:szCs w:val="21"/>
        </w:rPr>
        <w:t xml:space="preserve">Figure </w:t>
      </w:r>
      <w:r>
        <w:rPr>
          <w:szCs w:val="21"/>
        </w:rPr>
        <w:t xml:space="preserve">21 </w:t>
      </w:r>
      <w:r>
        <w:rPr>
          <w:rFonts w:hint="eastAsia" w:hAnsi="Cambria Math"/>
          <w:szCs w:val="21"/>
        </w:rPr>
        <w:t>PAPR of I-modulation for QPSK</w:t>
      </w:r>
    </w:p>
    <w:p>
      <w:pPr>
        <w:snapToGrid w:val="0"/>
        <w:spacing w:before="120" w:after="120"/>
        <w:jc w:val="center"/>
        <w:rPr>
          <w:rFonts w:hAnsi="Cambria Math"/>
          <w:szCs w:val="21"/>
        </w:rPr>
      </w:pPr>
      <w:r>
        <w:rPr>
          <w:rFonts w:hint="eastAsia" w:hAnsi="Cambria Math"/>
          <w:szCs w:val="21"/>
        </w:rPr>
        <w:drawing>
          <wp:inline distT="0" distB="0" distL="114300" distR="114300">
            <wp:extent cx="3599180" cy="2699385"/>
            <wp:effectExtent l="0" t="0" r="0" b="0"/>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49"/>
                    <a:stretch>
                      <a:fillRect/>
                    </a:stretch>
                  </pic:blipFill>
                  <pic:spPr>
                    <a:xfrm>
                      <a:off x="0" y="0"/>
                      <a:ext cx="3599454" cy="2700000"/>
                    </a:xfrm>
                    <a:prstGeom prst="rect">
                      <a:avLst/>
                    </a:prstGeom>
                    <a:noFill/>
                    <a:ln>
                      <a:noFill/>
                    </a:ln>
                  </pic:spPr>
                </pic:pic>
              </a:graphicData>
            </a:graphic>
          </wp:inline>
        </w:drawing>
      </w:r>
    </w:p>
    <w:p>
      <w:pPr>
        <w:snapToGrid w:val="0"/>
        <w:spacing w:before="120" w:after="120"/>
        <w:jc w:val="center"/>
        <w:rPr>
          <w:rFonts w:hAnsi="Cambria Math"/>
          <w:szCs w:val="21"/>
        </w:rPr>
      </w:pPr>
      <w:r>
        <w:rPr>
          <w:rFonts w:hint="eastAsia" w:hAnsi="Cambria Math"/>
          <w:szCs w:val="21"/>
        </w:rPr>
        <w:t xml:space="preserve">Figure </w:t>
      </w:r>
      <w:r>
        <w:rPr>
          <w:szCs w:val="21"/>
        </w:rPr>
        <w:t>22</w:t>
      </w:r>
      <w:r>
        <w:rPr>
          <w:rFonts w:hint="eastAsia" w:hAnsi="Cambria Math"/>
          <w:szCs w:val="21"/>
        </w:rPr>
        <w:t xml:space="preserve"> PAPR of I-modulation for 16QAM</w:t>
      </w:r>
    </w:p>
    <w:p>
      <w:pPr>
        <w:snapToGrid w:val="0"/>
        <w:spacing w:before="120" w:after="120"/>
        <w:rPr>
          <w:rFonts w:hAnsi="Cambria Math"/>
          <w:szCs w:val="21"/>
        </w:rPr>
      </w:pPr>
      <w:r>
        <w:rPr>
          <w:rFonts w:hint="eastAsia" w:hAnsi="Cambria Math"/>
          <w:szCs w:val="21"/>
        </w:rPr>
        <w:t xml:space="preserve">From Figure </w:t>
      </w:r>
      <w:r>
        <w:rPr>
          <w:szCs w:val="21"/>
        </w:rPr>
        <w:t>20</w:t>
      </w:r>
      <w:r>
        <w:rPr>
          <w:rFonts w:hint="eastAsia" w:hAnsi="Cambria Math"/>
          <w:szCs w:val="21"/>
        </w:rPr>
        <w:t xml:space="preserve"> to </w:t>
      </w:r>
      <w:r>
        <w:rPr>
          <w:szCs w:val="21"/>
        </w:rPr>
        <w:t>22</w:t>
      </w:r>
      <w:r>
        <w:rPr>
          <w:rFonts w:hint="eastAsia" w:hAnsi="Cambria Math"/>
          <w:szCs w:val="21"/>
        </w:rPr>
        <w:t xml:space="preserve">, it can be observed that: </w:t>
      </w:r>
    </w:p>
    <w:p>
      <w:pPr>
        <w:pStyle w:val="52"/>
        <w:spacing w:before="120" w:after="120"/>
        <w:jc w:val="both"/>
      </w:pPr>
      <w:bookmarkStart w:id="249" w:name="_Toc213435916"/>
      <w:r>
        <w:t>The I-modulation scheme achieves significant PAPR reduction compared to conventional π/2-BPSK, QPSK, and 16QAM with and without transparent FDSS.</w:t>
      </w:r>
      <w:bookmarkEnd w:id="249"/>
      <w:r>
        <w:t xml:space="preserve"> </w:t>
      </w:r>
    </w:p>
    <w:p>
      <w:pPr>
        <w:pStyle w:val="4"/>
        <w:spacing w:after="120"/>
      </w:pPr>
      <w:r>
        <w:rPr>
          <w:rFonts w:hint="eastAsia"/>
        </w:rPr>
        <w:t>BLER</w:t>
      </w:r>
    </w:p>
    <w:p>
      <w:pPr>
        <w:snapToGrid w:val="0"/>
        <w:spacing w:before="120" w:after="120"/>
        <w:rPr>
          <w:rFonts w:hAnsi="Cambria Math"/>
          <w:szCs w:val="21"/>
        </w:rPr>
      </w:pPr>
      <w:r>
        <w:rPr>
          <w:rFonts w:hint="eastAsia" w:hAnsi="Cambria Math"/>
          <w:szCs w:val="21"/>
        </w:rPr>
        <w:t xml:space="preserve">This subsection presents the BLER performance of I-modulation for </w:t>
      </w:r>
      <w:r>
        <w:rPr>
          <w:rFonts w:hAnsi="Cambria Math"/>
          <w:szCs w:val="21"/>
        </w:rPr>
        <w:t>π</w:t>
      </w:r>
      <w:r>
        <w:rPr>
          <w:rFonts w:hint="eastAsia" w:hAnsi="Cambria Math"/>
          <w:szCs w:val="21"/>
        </w:rPr>
        <w:t>/2-BPSK, QPSK and 16QAM, respectively. The simulations assume the same spectral efficiency and realistic transmission bandwidth across all schemes in each figure. That is, the same transport block size is carried within the same effective transmission bandwidth.</w:t>
      </w:r>
    </w:p>
    <w:p>
      <w:pPr>
        <w:snapToGrid w:val="0"/>
        <w:spacing w:before="120" w:after="120"/>
        <w:rPr>
          <w:rFonts w:hAnsi="Cambria Math"/>
          <w:szCs w:val="21"/>
        </w:rPr>
      </w:pP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70"/>
        <w:gridCol w:w="47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70" w:type="dxa"/>
            <w:tcBorders>
              <w:tl2br w:val="nil"/>
              <w:tr2bl w:val="nil"/>
            </w:tcBorders>
          </w:tcPr>
          <w:p>
            <w:pPr>
              <w:snapToGrid w:val="0"/>
              <w:spacing w:before="120" w:after="120"/>
              <w:rPr>
                <w:rFonts w:hAnsi="Cambria Math"/>
                <w:szCs w:val="21"/>
              </w:rPr>
            </w:pPr>
            <w:r>
              <w:rPr>
                <w:rFonts w:hint="eastAsia" w:hAnsi="Cambria Math"/>
                <w:szCs w:val="21"/>
              </w:rPr>
              <w:drawing>
                <wp:inline distT="0" distB="0" distL="114300" distR="114300">
                  <wp:extent cx="2884170" cy="2164715"/>
                  <wp:effectExtent l="0" t="0" r="11430" b="14605"/>
                  <wp:docPr id="25" name="图片 25" descr="Pi4BPSKperf_2P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Pi4BPSKperf_2PRB"/>
                          <pic:cNvPicPr>
                            <a:picLocks noChangeAspect="1"/>
                          </pic:cNvPicPr>
                        </pic:nvPicPr>
                        <pic:blipFill>
                          <a:blip r:embed="rId50"/>
                          <a:stretch>
                            <a:fillRect/>
                          </a:stretch>
                        </pic:blipFill>
                        <pic:spPr>
                          <a:xfrm>
                            <a:off x="0" y="0"/>
                            <a:ext cx="2884170" cy="2164715"/>
                          </a:xfrm>
                          <a:prstGeom prst="rect">
                            <a:avLst/>
                          </a:prstGeom>
                        </pic:spPr>
                      </pic:pic>
                    </a:graphicData>
                  </a:graphic>
                </wp:inline>
              </w:drawing>
            </w:r>
          </w:p>
          <w:p>
            <w:pPr>
              <w:snapToGrid w:val="0"/>
              <w:spacing w:before="120" w:after="120"/>
              <w:jc w:val="center"/>
              <w:rPr>
                <w:rFonts w:hAnsi="Cambria Math"/>
                <w:szCs w:val="21"/>
              </w:rPr>
            </w:pPr>
            <w:r>
              <w:rPr>
                <w:rFonts w:hint="eastAsia" w:hAnsi="Cambria Math"/>
                <w:szCs w:val="21"/>
              </w:rPr>
              <w:t>(a)</w:t>
            </w:r>
          </w:p>
        </w:tc>
        <w:tc>
          <w:tcPr>
            <w:tcW w:w="4771" w:type="dxa"/>
            <w:tcBorders>
              <w:tl2br w:val="nil"/>
              <w:tr2bl w:val="nil"/>
            </w:tcBorders>
          </w:tcPr>
          <w:p>
            <w:pPr>
              <w:snapToGrid w:val="0"/>
              <w:spacing w:before="120" w:after="120"/>
              <w:rPr>
                <w:rFonts w:hAnsi="Cambria Math"/>
                <w:szCs w:val="21"/>
              </w:rPr>
            </w:pPr>
            <w:r>
              <w:rPr>
                <w:rFonts w:hint="eastAsia" w:hAnsi="Cambria Math"/>
                <w:szCs w:val="21"/>
              </w:rPr>
              <w:drawing>
                <wp:inline distT="0" distB="0" distL="114300" distR="114300">
                  <wp:extent cx="2884170" cy="2164715"/>
                  <wp:effectExtent l="0" t="0" r="11430" b="14605"/>
                  <wp:docPr id="17" name="图片 17" descr="Pi4BPSKperf_8P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i4BPSKperf_8PRB"/>
                          <pic:cNvPicPr>
                            <a:picLocks noChangeAspect="1"/>
                          </pic:cNvPicPr>
                        </pic:nvPicPr>
                        <pic:blipFill>
                          <a:blip r:embed="rId51"/>
                          <a:stretch>
                            <a:fillRect/>
                          </a:stretch>
                        </pic:blipFill>
                        <pic:spPr>
                          <a:xfrm>
                            <a:off x="0" y="0"/>
                            <a:ext cx="2884170" cy="2164715"/>
                          </a:xfrm>
                          <a:prstGeom prst="rect">
                            <a:avLst/>
                          </a:prstGeom>
                        </pic:spPr>
                      </pic:pic>
                    </a:graphicData>
                  </a:graphic>
                </wp:inline>
              </w:drawing>
            </w:r>
          </w:p>
          <w:p>
            <w:pPr>
              <w:snapToGrid w:val="0"/>
              <w:spacing w:before="120" w:after="120"/>
              <w:jc w:val="center"/>
              <w:rPr>
                <w:rFonts w:hAnsi="Cambria Math"/>
                <w:szCs w:val="21"/>
              </w:rPr>
            </w:pPr>
            <w:r>
              <w:rPr>
                <w:rFonts w:hint="eastAsia" w:hAnsi="Cambria Math"/>
                <w:szCs w:val="21"/>
              </w:rPr>
              <w:t>(b)</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541" w:type="dxa"/>
            <w:gridSpan w:val="2"/>
            <w:tcBorders>
              <w:tl2br w:val="nil"/>
              <w:tr2bl w:val="nil"/>
            </w:tcBorders>
          </w:tcPr>
          <w:p>
            <w:pPr>
              <w:snapToGrid w:val="0"/>
              <w:spacing w:before="120" w:after="120"/>
              <w:jc w:val="center"/>
              <w:rPr>
                <w:rFonts w:hAnsi="Cambria Math"/>
                <w:szCs w:val="21"/>
              </w:rPr>
            </w:pPr>
            <w:r>
              <w:rPr>
                <w:rFonts w:hint="eastAsia" w:hAnsi="Cambria Math"/>
                <w:szCs w:val="21"/>
              </w:rPr>
              <w:drawing>
                <wp:inline distT="0" distB="0" distL="114300" distR="114300">
                  <wp:extent cx="2884170" cy="2164715"/>
                  <wp:effectExtent l="0" t="0" r="11430" b="14605"/>
                  <wp:docPr id="24" name="图片 24" descr="Pi4BPSKperf_24PRB_SE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i4BPSKperf_24PRB_SE0977"/>
                          <pic:cNvPicPr>
                            <a:picLocks noChangeAspect="1"/>
                          </pic:cNvPicPr>
                        </pic:nvPicPr>
                        <pic:blipFill>
                          <a:blip r:embed="rId52"/>
                          <a:stretch>
                            <a:fillRect/>
                          </a:stretch>
                        </pic:blipFill>
                        <pic:spPr>
                          <a:xfrm>
                            <a:off x="0" y="0"/>
                            <a:ext cx="2884170" cy="2164715"/>
                          </a:xfrm>
                          <a:prstGeom prst="rect">
                            <a:avLst/>
                          </a:prstGeom>
                        </pic:spPr>
                      </pic:pic>
                    </a:graphicData>
                  </a:graphic>
                </wp:inline>
              </w:drawing>
            </w:r>
          </w:p>
          <w:p>
            <w:pPr>
              <w:snapToGrid w:val="0"/>
              <w:spacing w:before="120" w:after="120"/>
              <w:jc w:val="center"/>
              <w:rPr>
                <w:rFonts w:hAnsi="Cambria Math"/>
                <w:szCs w:val="21"/>
              </w:rPr>
            </w:pPr>
            <w:r>
              <w:rPr>
                <w:rFonts w:hint="eastAsia" w:hAnsi="Cambria Math"/>
                <w:szCs w:val="21"/>
              </w:rPr>
              <w:t>(c)</w:t>
            </w:r>
          </w:p>
        </w:tc>
      </w:tr>
    </w:tbl>
    <w:p>
      <w:pPr>
        <w:snapToGrid w:val="0"/>
        <w:spacing w:before="120" w:after="120"/>
        <w:jc w:val="center"/>
        <w:rPr>
          <w:rFonts w:hAnsi="Cambria Math"/>
          <w:szCs w:val="21"/>
        </w:rPr>
      </w:pPr>
      <w:r>
        <w:rPr>
          <w:rFonts w:hint="eastAsia" w:hAnsi="Cambria Math"/>
          <w:szCs w:val="21"/>
        </w:rPr>
        <w:t xml:space="preserve">Figure </w:t>
      </w:r>
      <w:r>
        <w:rPr>
          <w:szCs w:val="21"/>
        </w:rPr>
        <w:t>23</w:t>
      </w:r>
      <w:r>
        <w:rPr>
          <w:rFonts w:hint="eastAsia" w:hAnsi="Cambria Math"/>
          <w:szCs w:val="21"/>
        </w:rPr>
        <w:t xml:space="preserve"> BLER performance for I-modulation for </w:t>
      </w:r>
      <w:r>
        <w:rPr>
          <w:rFonts w:hAnsi="Cambria Math"/>
          <w:szCs w:val="21"/>
        </w:rPr>
        <w:t>π</w:t>
      </w:r>
      <w:r>
        <w:rPr>
          <w:rFonts w:hint="eastAsia" w:hAnsi="Cambria Math"/>
          <w:szCs w:val="21"/>
        </w:rPr>
        <w:t>/2-BPSK</w:t>
      </w: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49"/>
        <w:gridCol w:w="47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70" w:type="dxa"/>
            <w:tcBorders>
              <w:tl2br w:val="nil"/>
              <w:tr2bl w:val="nil"/>
            </w:tcBorders>
            <w:vAlign w:val="center"/>
          </w:tcPr>
          <w:p>
            <w:pPr>
              <w:snapToGrid w:val="0"/>
              <w:spacing w:before="120" w:after="120"/>
              <w:jc w:val="center"/>
              <w:rPr>
                <w:rFonts w:hAnsi="Cambria Math"/>
                <w:szCs w:val="21"/>
              </w:rPr>
            </w:pPr>
            <w:r>
              <w:rPr>
                <w:rFonts w:hint="eastAsia" w:hAnsi="Cambria Math"/>
                <w:szCs w:val="21"/>
              </w:rPr>
              <w:drawing>
                <wp:inline distT="0" distB="0" distL="114300" distR="114300">
                  <wp:extent cx="2981960" cy="2294890"/>
                  <wp:effectExtent l="0" t="0" r="0" b="0"/>
                  <wp:docPr id="4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8"/>
                          <pic:cNvPicPr>
                            <a:picLocks noChangeAspect="1"/>
                          </pic:cNvPicPr>
                        </pic:nvPicPr>
                        <pic:blipFill>
                          <a:blip r:embed="rId53"/>
                          <a:stretch>
                            <a:fillRect/>
                          </a:stretch>
                        </pic:blipFill>
                        <pic:spPr>
                          <a:xfrm>
                            <a:off x="0" y="0"/>
                            <a:ext cx="2981960" cy="2294890"/>
                          </a:xfrm>
                          <a:prstGeom prst="rect">
                            <a:avLst/>
                          </a:prstGeom>
                          <a:noFill/>
                          <a:ln>
                            <a:noFill/>
                          </a:ln>
                        </pic:spPr>
                      </pic:pic>
                    </a:graphicData>
                  </a:graphic>
                </wp:inline>
              </w:drawing>
            </w:r>
          </w:p>
          <w:p>
            <w:pPr>
              <w:snapToGrid w:val="0"/>
              <w:spacing w:before="120" w:after="120"/>
              <w:jc w:val="center"/>
              <w:rPr>
                <w:rFonts w:hAnsi="Cambria Math"/>
                <w:szCs w:val="21"/>
              </w:rPr>
            </w:pPr>
            <w:r>
              <w:rPr>
                <w:rFonts w:hint="eastAsia" w:hAnsi="Cambria Math"/>
                <w:szCs w:val="21"/>
              </w:rPr>
              <w:t>(a)</w:t>
            </w:r>
          </w:p>
        </w:tc>
        <w:tc>
          <w:tcPr>
            <w:tcW w:w="4771" w:type="dxa"/>
            <w:tcBorders>
              <w:tl2br w:val="nil"/>
              <w:tr2bl w:val="nil"/>
            </w:tcBorders>
            <w:vAlign w:val="center"/>
          </w:tcPr>
          <w:p>
            <w:pPr>
              <w:snapToGrid w:val="0"/>
              <w:spacing w:before="120" w:after="120"/>
              <w:jc w:val="center"/>
              <w:rPr>
                <w:rFonts w:hAnsi="Cambria Math"/>
                <w:szCs w:val="21"/>
              </w:rPr>
            </w:pPr>
            <w:r>
              <w:rPr>
                <w:rFonts w:hint="eastAsia" w:hAnsi="Cambria Math"/>
                <w:szCs w:val="21"/>
              </w:rPr>
              <w:drawing>
                <wp:inline distT="0" distB="0" distL="114300" distR="114300">
                  <wp:extent cx="3010535" cy="2287905"/>
                  <wp:effectExtent l="0" t="0" r="0" b="1333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54"/>
                          <a:stretch>
                            <a:fillRect/>
                          </a:stretch>
                        </pic:blipFill>
                        <pic:spPr>
                          <a:xfrm>
                            <a:off x="0" y="0"/>
                            <a:ext cx="3010535" cy="2287905"/>
                          </a:xfrm>
                          <a:prstGeom prst="rect">
                            <a:avLst/>
                          </a:prstGeom>
                          <a:noFill/>
                          <a:ln>
                            <a:noFill/>
                          </a:ln>
                        </pic:spPr>
                      </pic:pic>
                    </a:graphicData>
                  </a:graphic>
                </wp:inline>
              </w:drawing>
            </w:r>
          </w:p>
          <w:p>
            <w:pPr>
              <w:snapToGrid w:val="0"/>
              <w:spacing w:before="120" w:after="120"/>
              <w:jc w:val="center"/>
              <w:rPr>
                <w:rFonts w:hAnsi="Cambria Math"/>
                <w:szCs w:val="21"/>
              </w:rPr>
            </w:pPr>
            <w:r>
              <w:rPr>
                <w:rFonts w:hint="eastAsia" w:hAnsi="Cambria Math"/>
                <w:szCs w:val="21"/>
              </w:rPr>
              <w:t>(b)</w:t>
            </w:r>
          </w:p>
        </w:tc>
      </w:tr>
    </w:tbl>
    <w:p>
      <w:pPr>
        <w:snapToGrid w:val="0"/>
        <w:spacing w:before="120" w:after="120"/>
        <w:jc w:val="center"/>
        <w:rPr>
          <w:rFonts w:hAnsi="Cambria Math"/>
          <w:szCs w:val="21"/>
        </w:rPr>
      </w:pPr>
      <w:r>
        <w:rPr>
          <w:rFonts w:hint="eastAsia" w:hAnsi="Cambria Math"/>
          <w:szCs w:val="21"/>
        </w:rPr>
        <w:t xml:space="preserve">Figure </w:t>
      </w:r>
      <w:r>
        <w:rPr>
          <w:szCs w:val="21"/>
        </w:rPr>
        <w:t>24</w:t>
      </w:r>
      <w:r>
        <w:rPr>
          <w:rFonts w:hint="eastAsia" w:hAnsi="Cambria Math"/>
          <w:szCs w:val="21"/>
        </w:rPr>
        <w:t xml:space="preserve"> BLER performance for I-modulation for QPSK</w:t>
      </w:r>
    </w:p>
    <w:p>
      <w:pPr>
        <w:snapToGrid w:val="0"/>
        <w:spacing w:before="120" w:after="120"/>
        <w:rPr>
          <w:rFonts w:hAnsi="Cambria Math"/>
          <w:szCs w:val="21"/>
        </w:rPr>
      </w:pPr>
      <w:r>
        <w:rPr>
          <w:rFonts w:hint="eastAsia" w:hAnsi="Cambria Math"/>
          <w:szCs w:val="21"/>
        </w:rPr>
        <w:t xml:space="preserve">From Figure </w:t>
      </w:r>
      <w:r>
        <w:rPr>
          <w:szCs w:val="21"/>
        </w:rPr>
        <w:t>23</w:t>
      </w:r>
      <w:r>
        <w:rPr>
          <w:rFonts w:hint="eastAsia" w:hAnsi="Cambria Math"/>
          <w:szCs w:val="21"/>
        </w:rPr>
        <w:t xml:space="preserve"> and </w:t>
      </w:r>
      <w:r>
        <w:rPr>
          <w:szCs w:val="21"/>
        </w:rPr>
        <w:t>24</w:t>
      </w:r>
      <w:r>
        <w:rPr>
          <w:rFonts w:hint="eastAsia" w:hAnsi="Cambria Math"/>
          <w:szCs w:val="21"/>
        </w:rPr>
        <w:t>, it can be observed that:</w:t>
      </w:r>
    </w:p>
    <w:p>
      <w:pPr>
        <w:pStyle w:val="52"/>
        <w:spacing w:before="120" w:after="120"/>
        <w:jc w:val="both"/>
      </w:pPr>
      <w:bookmarkStart w:id="250" w:name="_Toc213435917"/>
      <w:r>
        <w:t>The I-modulation scheme provides better performance at 10% BLER compared to conventional π/2-BPSK, QPSK with transparent FDSS.</w:t>
      </w:r>
      <w:bookmarkEnd w:id="250"/>
    </w:p>
    <w:p>
      <w:pPr>
        <w:pStyle w:val="4"/>
        <w:spacing w:after="120"/>
        <w:rPr>
          <w:lang w:val="en-GB" w:eastAsia="en-US"/>
        </w:rPr>
      </w:pPr>
      <w:r>
        <w:rPr>
          <w:rFonts w:hint="eastAsia" w:eastAsia="宋体"/>
        </w:rPr>
        <w:t>Net gain</w:t>
      </w:r>
    </w:p>
    <w:p>
      <w:pPr>
        <w:snapToGrid w:val="0"/>
        <w:spacing w:before="120" w:after="120"/>
        <w:rPr>
          <w:rFonts w:hAnsi="Cambria Math"/>
          <w:szCs w:val="21"/>
        </w:rPr>
      </w:pPr>
      <w:r>
        <w:rPr>
          <w:rFonts w:hint="eastAsia" w:hAnsi="Cambria Math"/>
          <w:szCs w:val="21"/>
        </w:rPr>
        <w:t xml:space="preserve">Based on the simulation results, the net gain provided by the I-modulation scheme is summarized in Table </w:t>
      </w:r>
      <w:r>
        <w:rPr>
          <w:szCs w:val="21"/>
        </w:rPr>
        <w:t>11</w:t>
      </w:r>
      <w:r>
        <w:rPr>
          <w:rFonts w:hint="eastAsia" w:hAnsi="Cambria Math"/>
          <w:szCs w:val="21"/>
        </w:rPr>
        <w:t xml:space="preserve">. The reference modulation schemes are conventional </w:t>
      </w:r>
      <w:r>
        <w:rPr>
          <w:rFonts w:hAnsi="Cambria Math"/>
          <w:szCs w:val="21"/>
        </w:rPr>
        <w:t>π</w:t>
      </w:r>
      <w:r>
        <w:rPr>
          <w:rFonts w:hint="eastAsia" w:hAnsi="Cambria Math"/>
          <w:szCs w:val="21"/>
        </w:rPr>
        <w:t>/2-BPSK, QPSK, and 16QAM, respectively, without the use of transparent FDSS.</w:t>
      </w:r>
    </w:p>
    <w:p>
      <w:pPr>
        <w:snapToGrid w:val="0"/>
        <w:spacing w:before="120" w:after="120"/>
        <w:jc w:val="center"/>
        <w:rPr>
          <w:rFonts w:hAnsi="Cambria Math"/>
          <w:szCs w:val="21"/>
        </w:rPr>
      </w:pPr>
      <w:r>
        <w:rPr>
          <w:rFonts w:hint="eastAsia" w:hAnsi="Cambria Math"/>
          <w:szCs w:val="21"/>
        </w:rPr>
        <w:t xml:space="preserve">Table </w:t>
      </w:r>
      <w:r>
        <w:rPr>
          <w:szCs w:val="21"/>
        </w:rPr>
        <w:t>11</w:t>
      </w:r>
      <w:r>
        <w:rPr>
          <w:rFonts w:hint="eastAsia" w:hAnsi="Cambria Math"/>
          <w:szCs w:val="21"/>
        </w:rPr>
        <w:t xml:space="preserve"> Net gain of I-modulation scheme</w:t>
      </w:r>
    </w:p>
    <w:tbl>
      <w:tblPr>
        <w:tblStyle w:val="65"/>
        <w:tblW w:w="9077"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61"/>
        <w:gridCol w:w="1561"/>
        <w:gridCol w:w="1569"/>
        <w:gridCol w:w="14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shd w:val="clear" w:color="auto" w:fill="D8D8D8"/>
            <w:vAlign w:val="center"/>
          </w:tcPr>
          <w:p>
            <w:pPr>
              <w:spacing w:beforeLines="0" w:after="0" w:afterLines="0" w:line="240" w:lineRule="auto"/>
              <w:jc w:val="center"/>
              <w:rPr>
                <w:kern w:val="0"/>
                <w:sz w:val="20"/>
              </w:rPr>
            </w:pPr>
          </w:p>
        </w:tc>
        <w:tc>
          <w:tcPr>
            <w:tcW w:w="1561" w:type="dxa"/>
            <w:shd w:val="clear" w:color="auto" w:fill="D8D8D8"/>
            <w:vAlign w:val="center"/>
          </w:tcPr>
          <w:p>
            <w:pPr>
              <w:spacing w:beforeLines="0" w:after="0" w:afterLines="0" w:line="240" w:lineRule="auto"/>
              <w:jc w:val="center"/>
              <w:rPr>
                <w:b/>
                <w:bCs/>
                <w:kern w:val="0"/>
                <w:sz w:val="20"/>
              </w:rPr>
            </w:pPr>
            <w:r>
              <w:rPr>
                <w:rFonts w:hint="eastAsia"/>
                <w:b/>
                <w:bCs/>
                <w:kern w:val="0"/>
                <w:sz w:val="20"/>
              </w:rPr>
              <w:t>Tx power gain (dB)</w:t>
            </w:r>
          </w:p>
        </w:tc>
        <w:tc>
          <w:tcPr>
            <w:tcW w:w="1569" w:type="dxa"/>
            <w:shd w:val="clear" w:color="auto" w:fill="D8D8D8"/>
            <w:vAlign w:val="center"/>
          </w:tcPr>
          <w:p>
            <w:pPr>
              <w:spacing w:beforeLines="0" w:after="0" w:afterLines="0" w:line="240" w:lineRule="auto"/>
              <w:jc w:val="center"/>
              <w:rPr>
                <w:b/>
                <w:bCs/>
                <w:kern w:val="0"/>
                <w:sz w:val="20"/>
              </w:rPr>
            </w:pPr>
            <w:r>
              <w:rPr>
                <w:rFonts w:hint="eastAsia"/>
                <w:b/>
                <w:bCs/>
                <w:kern w:val="0"/>
                <w:sz w:val="20"/>
              </w:rPr>
              <w:t>SNR gain (dB) at 10% BLER</w:t>
            </w:r>
          </w:p>
        </w:tc>
        <w:tc>
          <w:tcPr>
            <w:tcW w:w="1486" w:type="dxa"/>
            <w:shd w:val="clear" w:color="auto" w:fill="D8D8D8"/>
            <w:vAlign w:val="center"/>
          </w:tcPr>
          <w:p>
            <w:pPr>
              <w:spacing w:beforeLines="0" w:after="0" w:afterLines="0" w:line="240" w:lineRule="auto"/>
              <w:jc w:val="center"/>
              <w:rPr>
                <w:b/>
                <w:bCs/>
                <w:kern w:val="0"/>
                <w:sz w:val="20"/>
              </w:rPr>
            </w:pPr>
            <w:r>
              <w:rPr>
                <w:rFonts w:hint="eastAsia"/>
                <w:b/>
                <w:bCs/>
                <w:kern w:val="0"/>
                <w:sz w:val="20"/>
              </w:rPr>
              <w:t>Net gain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7" w:type="dxa"/>
            <w:gridSpan w:val="4"/>
            <w:vAlign w:val="center"/>
          </w:tcPr>
          <w:p>
            <w:pPr>
              <w:spacing w:beforeLines="0" w:after="0" w:afterLines="0" w:line="240" w:lineRule="auto"/>
              <w:jc w:val="center"/>
              <w:rPr>
                <w:kern w:val="0"/>
                <w:sz w:val="20"/>
              </w:rPr>
            </w:pPr>
            <w:r>
              <w:rPr>
                <w:kern w:val="0"/>
                <w:sz w:val="20"/>
              </w:rPr>
              <w:t>π</w:t>
            </w:r>
            <w:r>
              <w:rPr>
                <w:rFonts w:hint="eastAsia"/>
                <w:kern w:val="0"/>
                <w:sz w:val="20"/>
              </w:rPr>
              <w:t>/2-BPSK, 2 PRBs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kern w:val="0"/>
                <w:sz w:val="20"/>
              </w:rPr>
            </w:pPr>
            <w:r>
              <w:rPr>
                <w:kern w:val="0"/>
                <w:sz w:val="20"/>
              </w:rPr>
              <w:t>π</w:t>
            </w:r>
            <w:r>
              <w:rPr>
                <w:rFonts w:hint="eastAsia"/>
                <w:kern w:val="0"/>
                <w:sz w:val="20"/>
              </w:rPr>
              <w:t>/2-BPSK with transparent FDSS</w:t>
            </w:r>
          </w:p>
        </w:tc>
        <w:tc>
          <w:tcPr>
            <w:tcW w:w="1561" w:type="dxa"/>
            <w:vAlign w:val="center"/>
          </w:tcPr>
          <w:p>
            <w:pPr>
              <w:spacing w:beforeLines="0" w:after="0" w:afterLines="0" w:line="240" w:lineRule="auto"/>
              <w:jc w:val="center"/>
              <w:rPr>
                <w:kern w:val="0"/>
                <w:sz w:val="20"/>
              </w:rPr>
            </w:pPr>
            <w:r>
              <w:rPr>
                <w:rFonts w:hint="eastAsia"/>
                <w:kern w:val="0"/>
                <w:sz w:val="20"/>
              </w:rPr>
              <w:t>2.6</w:t>
            </w:r>
          </w:p>
        </w:tc>
        <w:tc>
          <w:tcPr>
            <w:tcW w:w="1569" w:type="dxa"/>
            <w:vAlign w:val="center"/>
          </w:tcPr>
          <w:p>
            <w:pPr>
              <w:spacing w:beforeLines="0" w:after="0" w:afterLines="0" w:line="240" w:lineRule="auto"/>
              <w:jc w:val="center"/>
              <w:rPr>
                <w:kern w:val="0"/>
                <w:sz w:val="20"/>
              </w:rPr>
            </w:pPr>
            <w:r>
              <w:rPr>
                <w:rFonts w:hint="eastAsia"/>
                <w:kern w:val="0"/>
                <w:sz w:val="20"/>
              </w:rPr>
              <w:t>-0.6</w:t>
            </w:r>
          </w:p>
        </w:tc>
        <w:tc>
          <w:tcPr>
            <w:tcW w:w="1486" w:type="dxa"/>
            <w:vAlign w:val="center"/>
          </w:tcPr>
          <w:p>
            <w:pPr>
              <w:spacing w:beforeLines="0" w:after="0" w:afterLines="0" w:line="240" w:lineRule="auto"/>
              <w:jc w:val="center"/>
              <w:rPr>
                <w:kern w:val="0"/>
                <w:sz w:val="20"/>
              </w:rPr>
            </w:pPr>
            <w:r>
              <w:rPr>
                <w:rFonts w:hint="eastAsia"/>
                <w:kern w:val="0"/>
                <w:sz w:val="20"/>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kern w:val="0"/>
                <w:sz w:val="20"/>
              </w:rPr>
            </w:pPr>
            <w:r>
              <w:rPr>
                <w:rFonts w:hint="eastAsia"/>
                <w:kern w:val="0"/>
                <w:sz w:val="20"/>
              </w:rPr>
              <w:t>I-</w:t>
            </w:r>
            <w:r>
              <w:rPr>
                <w:kern w:val="0"/>
                <w:sz w:val="20"/>
              </w:rPr>
              <w:t>π</w:t>
            </w:r>
            <w:r>
              <w:rPr>
                <w:rFonts w:hint="eastAsia"/>
                <w:kern w:val="0"/>
                <w:sz w:val="20"/>
              </w:rPr>
              <w:t>/2-BPSK with transparent FDSS and no SE</w:t>
            </w:r>
          </w:p>
        </w:tc>
        <w:tc>
          <w:tcPr>
            <w:tcW w:w="1561" w:type="dxa"/>
            <w:vAlign w:val="center"/>
          </w:tcPr>
          <w:p>
            <w:pPr>
              <w:spacing w:beforeLines="0" w:after="0" w:afterLines="0" w:line="240" w:lineRule="auto"/>
              <w:jc w:val="center"/>
              <w:rPr>
                <w:kern w:val="0"/>
                <w:sz w:val="20"/>
              </w:rPr>
            </w:pPr>
            <w:r>
              <w:rPr>
                <w:rFonts w:hint="eastAsia"/>
                <w:kern w:val="0"/>
                <w:sz w:val="20"/>
              </w:rPr>
              <w:t>2.7</w:t>
            </w:r>
          </w:p>
        </w:tc>
        <w:tc>
          <w:tcPr>
            <w:tcW w:w="1569" w:type="dxa"/>
            <w:vAlign w:val="center"/>
          </w:tcPr>
          <w:p>
            <w:pPr>
              <w:spacing w:beforeLines="0" w:after="0" w:afterLines="0" w:line="240" w:lineRule="auto"/>
              <w:jc w:val="center"/>
              <w:rPr>
                <w:kern w:val="0"/>
                <w:sz w:val="20"/>
              </w:rPr>
            </w:pPr>
            <w:r>
              <w:rPr>
                <w:rFonts w:hint="eastAsia"/>
                <w:kern w:val="0"/>
                <w:sz w:val="20"/>
              </w:rPr>
              <w:t>-0.5</w:t>
            </w:r>
          </w:p>
        </w:tc>
        <w:tc>
          <w:tcPr>
            <w:tcW w:w="1486" w:type="dxa"/>
            <w:vAlign w:val="center"/>
          </w:tcPr>
          <w:p>
            <w:pPr>
              <w:spacing w:beforeLines="0" w:after="0" w:afterLines="0" w:line="240" w:lineRule="auto"/>
              <w:jc w:val="center"/>
              <w:rPr>
                <w:kern w:val="0"/>
                <w:sz w:val="20"/>
              </w:rPr>
            </w:pPr>
            <w:r>
              <w:rPr>
                <w:rFonts w:hint="eastAsia"/>
                <w:kern w:val="0"/>
                <w:sz w:val="20"/>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kern w:val="0"/>
                <w:sz w:val="20"/>
              </w:rPr>
            </w:pPr>
            <w:r>
              <w:rPr>
                <w:rFonts w:hint="eastAsia"/>
                <w:kern w:val="0"/>
                <w:sz w:val="20"/>
              </w:rPr>
              <w:t>I-</w:t>
            </w:r>
            <w:r>
              <w:rPr>
                <w:kern w:val="0"/>
                <w:sz w:val="20"/>
              </w:rPr>
              <w:t>π</w:t>
            </w:r>
            <w:r>
              <w:rPr>
                <w:rFonts w:hint="eastAsia"/>
                <w:kern w:val="0"/>
                <w:sz w:val="20"/>
              </w:rPr>
              <w:t>/2-BPSK with transparent FDSS and 20% SE</w:t>
            </w:r>
          </w:p>
        </w:tc>
        <w:tc>
          <w:tcPr>
            <w:tcW w:w="1561" w:type="dxa"/>
            <w:vAlign w:val="center"/>
          </w:tcPr>
          <w:p>
            <w:pPr>
              <w:spacing w:beforeLines="0" w:after="0" w:afterLines="0" w:line="240" w:lineRule="auto"/>
              <w:jc w:val="center"/>
              <w:rPr>
                <w:kern w:val="0"/>
                <w:sz w:val="20"/>
              </w:rPr>
            </w:pPr>
            <w:r>
              <w:rPr>
                <w:rFonts w:hint="eastAsia"/>
                <w:kern w:val="0"/>
                <w:sz w:val="20"/>
              </w:rPr>
              <w:t>3.3</w:t>
            </w:r>
          </w:p>
        </w:tc>
        <w:tc>
          <w:tcPr>
            <w:tcW w:w="1569" w:type="dxa"/>
            <w:vAlign w:val="center"/>
          </w:tcPr>
          <w:p>
            <w:pPr>
              <w:spacing w:beforeLines="0" w:after="0" w:afterLines="0" w:line="240" w:lineRule="auto"/>
              <w:jc w:val="center"/>
              <w:rPr>
                <w:kern w:val="0"/>
                <w:sz w:val="20"/>
              </w:rPr>
            </w:pPr>
            <w:r>
              <w:rPr>
                <w:rFonts w:hint="eastAsia"/>
                <w:kern w:val="0"/>
                <w:sz w:val="20"/>
              </w:rPr>
              <w:t>-0.3</w:t>
            </w:r>
          </w:p>
        </w:tc>
        <w:tc>
          <w:tcPr>
            <w:tcW w:w="1486" w:type="dxa"/>
            <w:vAlign w:val="center"/>
          </w:tcPr>
          <w:p>
            <w:pPr>
              <w:spacing w:beforeLines="0" w:after="0" w:afterLines="0" w:line="240" w:lineRule="auto"/>
              <w:jc w:val="center"/>
              <w:rPr>
                <w:kern w:val="0"/>
                <w:sz w:val="20"/>
              </w:rPr>
            </w:pPr>
            <w:r>
              <w:rPr>
                <w:rFonts w:hint="eastAsia"/>
                <w:kern w:val="0"/>
                <w:sz w:val="20"/>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461" w:type="dxa"/>
            <w:vAlign w:val="center"/>
          </w:tcPr>
          <w:p>
            <w:pPr>
              <w:spacing w:beforeLines="0" w:after="0" w:afterLines="0" w:line="240" w:lineRule="auto"/>
              <w:jc w:val="center"/>
              <w:rPr>
                <w:kern w:val="0"/>
                <w:sz w:val="20"/>
              </w:rPr>
            </w:pPr>
            <w:r>
              <w:rPr>
                <w:rFonts w:hint="eastAsia"/>
                <w:kern w:val="0"/>
                <w:sz w:val="20"/>
              </w:rPr>
              <w:t>I-</w:t>
            </w:r>
            <w:r>
              <w:rPr>
                <w:kern w:val="0"/>
                <w:sz w:val="20"/>
              </w:rPr>
              <w:t>π</w:t>
            </w:r>
            <w:r>
              <w:rPr>
                <w:rFonts w:hint="eastAsia"/>
                <w:kern w:val="0"/>
                <w:sz w:val="20"/>
              </w:rPr>
              <w:t>/2-BPSK with transparent FDSS and 50% SE</w:t>
            </w:r>
          </w:p>
        </w:tc>
        <w:tc>
          <w:tcPr>
            <w:tcW w:w="1561" w:type="dxa"/>
            <w:vAlign w:val="center"/>
          </w:tcPr>
          <w:p>
            <w:pPr>
              <w:spacing w:beforeLines="0" w:after="0" w:afterLines="0" w:line="240" w:lineRule="auto"/>
              <w:jc w:val="center"/>
              <w:rPr>
                <w:kern w:val="0"/>
                <w:sz w:val="20"/>
              </w:rPr>
            </w:pPr>
            <w:r>
              <w:rPr>
                <w:rFonts w:hint="eastAsia"/>
                <w:kern w:val="0"/>
                <w:sz w:val="20"/>
              </w:rPr>
              <w:t>3.4</w:t>
            </w:r>
          </w:p>
        </w:tc>
        <w:tc>
          <w:tcPr>
            <w:tcW w:w="1569" w:type="dxa"/>
            <w:vAlign w:val="center"/>
          </w:tcPr>
          <w:p>
            <w:pPr>
              <w:spacing w:beforeLines="0" w:after="0" w:afterLines="0" w:line="240" w:lineRule="auto"/>
              <w:jc w:val="center"/>
              <w:rPr>
                <w:kern w:val="0"/>
                <w:sz w:val="20"/>
              </w:rPr>
            </w:pPr>
            <w:r>
              <w:rPr>
                <w:rFonts w:hint="eastAsia"/>
                <w:kern w:val="0"/>
                <w:sz w:val="20"/>
              </w:rPr>
              <w:t>-0.5</w:t>
            </w:r>
          </w:p>
        </w:tc>
        <w:tc>
          <w:tcPr>
            <w:tcW w:w="1486" w:type="dxa"/>
            <w:vAlign w:val="center"/>
          </w:tcPr>
          <w:p>
            <w:pPr>
              <w:spacing w:beforeLines="0" w:after="0" w:afterLines="0" w:line="240" w:lineRule="auto"/>
              <w:jc w:val="center"/>
              <w:rPr>
                <w:kern w:val="0"/>
                <w:sz w:val="20"/>
              </w:rPr>
            </w:pPr>
            <w:r>
              <w:rPr>
                <w:rFonts w:hint="eastAsia"/>
                <w:kern w:val="0"/>
                <w:sz w:val="20"/>
              </w:rPr>
              <w:t>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7" w:type="dxa"/>
            <w:gridSpan w:val="4"/>
            <w:vAlign w:val="center"/>
          </w:tcPr>
          <w:p>
            <w:pPr>
              <w:spacing w:beforeLines="0" w:after="0" w:afterLines="0" w:line="240" w:lineRule="auto"/>
              <w:jc w:val="center"/>
              <w:rPr>
                <w:kern w:val="0"/>
                <w:sz w:val="20"/>
              </w:rPr>
            </w:pPr>
            <w:r>
              <w:rPr>
                <w:kern w:val="0"/>
                <w:sz w:val="20"/>
              </w:rPr>
              <w:t>π</w:t>
            </w:r>
            <w:r>
              <w:rPr>
                <w:rFonts w:hint="eastAsia"/>
                <w:kern w:val="0"/>
                <w:sz w:val="20"/>
              </w:rPr>
              <w:t>/2-BPSK, 8 PRBs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kern w:val="0"/>
                <w:sz w:val="20"/>
              </w:rPr>
              <w:t>π</w:t>
            </w:r>
            <w:r>
              <w:rPr>
                <w:rFonts w:hint="eastAsia"/>
                <w:kern w:val="0"/>
                <w:sz w:val="20"/>
              </w:rPr>
              <w:t>/2-BPSK with transparent FDSS</w:t>
            </w:r>
          </w:p>
        </w:tc>
        <w:tc>
          <w:tcPr>
            <w:tcW w:w="1561" w:type="dxa"/>
            <w:vAlign w:val="center"/>
          </w:tcPr>
          <w:p>
            <w:pPr>
              <w:spacing w:beforeLines="0" w:after="0" w:afterLines="0" w:line="240" w:lineRule="auto"/>
              <w:jc w:val="center"/>
              <w:rPr>
                <w:sz w:val="20"/>
              </w:rPr>
            </w:pPr>
            <w:r>
              <w:rPr>
                <w:rFonts w:hint="eastAsia"/>
                <w:kern w:val="0"/>
                <w:sz w:val="20"/>
              </w:rPr>
              <w:t>2.6</w:t>
            </w:r>
          </w:p>
        </w:tc>
        <w:tc>
          <w:tcPr>
            <w:tcW w:w="1569" w:type="dxa"/>
            <w:vAlign w:val="center"/>
          </w:tcPr>
          <w:p>
            <w:pPr>
              <w:spacing w:beforeLines="0" w:after="0" w:afterLines="0" w:line="240" w:lineRule="auto"/>
              <w:jc w:val="center"/>
              <w:rPr>
                <w:kern w:val="0"/>
                <w:sz w:val="20"/>
              </w:rPr>
            </w:pPr>
            <w:r>
              <w:rPr>
                <w:rFonts w:hint="eastAsia"/>
                <w:kern w:val="0"/>
                <w:sz w:val="20"/>
              </w:rPr>
              <w:t>-0.3</w:t>
            </w:r>
          </w:p>
        </w:tc>
        <w:tc>
          <w:tcPr>
            <w:tcW w:w="1486" w:type="dxa"/>
            <w:vAlign w:val="center"/>
          </w:tcPr>
          <w:p>
            <w:pPr>
              <w:spacing w:beforeLines="0" w:after="0" w:afterLines="0" w:line="240" w:lineRule="auto"/>
              <w:jc w:val="center"/>
              <w:rPr>
                <w:kern w:val="0"/>
                <w:sz w:val="20"/>
              </w:rPr>
            </w:pPr>
            <w:r>
              <w:rPr>
                <w:rFonts w:hint="eastAsia"/>
                <w:kern w:val="0"/>
                <w:sz w:val="20"/>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rFonts w:hint="eastAsia"/>
                <w:kern w:val="0"/>
                <w:sz w:val="20"/>
              </w:rPr>
              <w:t>I-</w:t>
            </w:r>
            <w:r>
              <w:rPr>
                <w:kern w:val="0"/>
                <w:sz w:val="20"/>
              </w:rPr>
              <w:t>π</w:t>
            </w:r>
            <w:r>
              <w:rPr>
                <w:rFonts w:hint="eastAsia"/>
                <w:kern w:val="0"/>
                <w:sz w:val="20"/>
              </w:rPr>
              <w:t>/2-BPSK with transparent FDSS and no SE</w:t>
            </w:r>
          </w:p>
        </w:tc>
        <w:tc>
          <w:tcPr>
            <w:tcW w:w="1561" w:type="dxa"/>
            <w:vAlign w:val="center"/>
          </w:tcPr>
          <w:p>
            <w:pPr>
              <w:spacing w:beforeLines="0" w:after="0" w:afterLines="0" w:line="240" w:lineRule="auto"/>
              <w:jc w:val="center"/>
              <w:rPr>
                <w:sz w:val="20"/>
              </w:rPr>
            </w:pPr>
            <w:r>
              <w:rPr>
                <w:rFonts w:hint="eastAsia"/>
                <w:kern w:val="0"/>
                <w:sz w:val="20"/>
              </w:rPr>
              <w:t>2.7</w:t>
            </w:r>
          </w:p>
        </w:tc>
        <w:tc>
          <w:tcPr>
            <w:tcW w:w="1569" w:type="dxa"/>
            <w:vAlign w:val="center"/>
          </w:tcPr>
          <w:p>
            <w:pPr>
              <w:spacing w:beforeLines="0" w:after="0" w:afterLines="0" w:line="240" w:lineRule="auto"/>
              <w:jc w:val="center"/>
              <w:rPr>
                <w:kern w:val="0"/>
                <w:sz w:val="20"/>
              </w:rPr>
            </w:pPr>
            <w:r>
              <w:rPr>
                <w:rFonts w:hint="eastAsia"/>
                <w:kern w:val="0"/>
                <w:sz w:val="20"/>
              </w:rPr>
              <w:t>-0.1</w:t>
            </w:r>
          </w:p>
        </w:tc>
        <w:tc>
          <w:tcPr>
            <w:tcW w:w="1486" w:type="dxa"/>
            <w:vAlign w:val="center"/>
          </w:tcPr>
          <w:p>
            <w:pPr>
              <w:spacing w:beforeLines="0" w:after="0" w:afterLines="0" w:line="240" w:lineRule="auto"/>
              <w:jc w:val="center"/>
              <w:rPr>
                <w:kern w:val="0"/>
                <w:sz w:val="20"/>
              </w:rPr>
            </w:pPr>
            <w:r>
              <w:rPr>
                <w:rFonts w:hint="eastAsia"/>
                <w:kern w:val="0"/>
                <w:sz w:val="20"/>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rFonts w:hint="eastAsia"/>
                <w:kern w:val="0"/>
                <w:sz w:val="20"/>
              </w:rPr>
              <w:t>I-</w:t>
            </w:r>
            <w:r>
              <w:rPr>
                <w:kern w:val="0"/>
                <w:sz w:val="20"/>
              </w:rPr>
              <w:t>π</w:t>
            </w:r>
            <w:r>
              <w:rPr>
                <w:rFonts w:hint="eastAsia"/>
                <w:kern w:val="0"/>
                <w:sz w:val="20"/>
              </w:rPr>
              <w:t>/2-BPSK with transparent FDSS and 20% SE</w:t>
            </w:r>
          </w:p>
        </w:tc>
        <w:tc>
          <w:tcPr>
            <w:tcW w:w="1561" w:type="dxa"/>
            <w:vAlign w:val="center"/>
          </w:tcPr>
          <w:p>
            <w:pPr>
              <w:spacing w:beforeLines="0" w:after="0" w:afterLines="0" w:line="240" w:lineRule="auto"/>
              <w:jc w:val="center"/>
              <w:rPr>
                <w:sz w:val="20"/>
              </w:rPr>
            </w:pPr>
            <w:r>
              <w:rPr>
                <w:rFonts w:hint="eastAsia"/>
                <w:kern w:val="0"/>
                <w:sz w:val="20"/>
              </w:rPr>
              <w:t>3.3</w:t>
            </w:r>
          </w:p>
        </w:tc>
        <w:tc>
          <w:tcPr>
            <w:tcW w:w="1569" w:type="dxa"/>
            <w:vAlign w:val="center"/>
          </w:tcPr>
          <w:p>
            <w:pPr>
              <w:spacing w:beforeLines="0" w:after="0" w:afterLines="0" w:line="240" w:lineRule="auto"/>
              <w:jc w:val="center"/>
              <w:rPr>
                <w:kern w:val="0"/>
                <w:sz w:val="20"/>
              </w:rPr>
            </w:pPr>
            <w:r>
              <w:rPr>
                <w:rFonts w:hint="eastAsia"/>
                <w:kern w:val="0"/>
                <w:sz w:val="20"/>
              </w:rPr>
              <w:t>-0.1</w:t>
            </w:r>
          </w:p>
        </w:tc>
        <w:tc>
          <w:tcPr>
            <w:tcW w:w="1486" w:type="dxa"/>
            <w:vAlign w:val="center"/>
          </w:tcPr>
          <w:p>
            <w:pPr>
              <w:spacing w:beforeLines="0" w:after="0" w:afterLines="0" w:line="240" w:lineRule="auto"/>
              <w:jc w:val="center"/>
              <w:rPr>
                <w:kern w:val="0"/>
                <w:sz w:val="20"/>
              </w:rPr>
            </w:pPr>
            <w:r>
              <w:rPr>
                <w:rFonts w:hint="eastAsia"/>
                <w:kern w:val="0"/>
                <w:sz w:val="20"/>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rFonts w:hint="eastAsia"/>
                <w:kern w:val="0"/>
                <w:sz w:val="20"/>
              </w:rPr>
              <w:t>I-</w:t>
            </w:r>
            <w:r>
              <w:rPr>
                <w:kern w:val="0"/>
                <w:sz w:val="20"/>
              </w:rPr>
              <w:t>π</w:t>
            </w:r>
            <w:r>
              <w:rPr>
                <w:rFonts w:hint="eastAsia"/>
                <w:kern w:val="0"/>
                <w:sz w:val="20"/>
              </w:rPr>
              <w:t>/2-BPSK with transparent FDSS and 50% SE</w:t>
            </w:r>
          </w:p>
        </w:tc>
        <w:tc>
          <w:tcPr>
            <w:tcW w:w="1561" w:type="dxa"/>
            <w:vAlign w:val="center"/>
          </w:tcPr>
          <w:p>
            <w:pPr>
              <w:spacing w:beforeLines="0" w:after="0" w:afterLines="0" w:line="240" w:lineRule="auto"/>
              <w:jc w:val="center"/>
              <w:rPr>
                <w:sz w:val="20"/>
              </w:rPr>
            </w:pPr>
            <w:r>
              <w:rPr>
                <w:rFonts w:hint="eastAsia"/>
                <w:kern w:val="0"/>
                <w:sz w:val="20"/>
              </w:rPr>
              <w:t>3.4</w:t>
            </w:r>
          </w:p>
        </w:tc>
        <w:tc>
          <w:tcPr>
            <w:tcW w:w="1569" w:type="dxa"/>
            <w:vAlign w:val="center"/>
          </w:tcPr>
          <w:p>
            <w:pPr>
              <w:spacing w:beforeLines="0" w:after="0" w:afterLines="0" w:line="240" w:lineRule="auto"/>
              <w:jc w:val="center"/>
              <w:rPr>
                <w:kern w:val="0"/>
                <w:sz w:val="20"/>
              </w:rPr>
            </w:pPr>
            <w:r>
              <w:rPr>
                <w:rFonts w:hint="eastAsia"/>
                <w:kern w:val="0"/>
                <w:sz w:val="20"/>
              </w:rPr>
              <w:t>-0.3</w:t>
            </w:r>
          </w:p>
        </w:tc>
        <w:tc>
          <w:tcPr>
            <w:tcW w:w="1486" w:type="dxa"/>
            <w:vAlign w:val="center"/>
          </w:tcPr>
          <w:p>
            <w:pPr>
              <w:spacing w:beforeLines="0" w:after="0" w:afterLines="0" w:line="240" w:lineRule="auto"/>
              <w:jc w:val="center"/>
              <w:rPr>
                <w:kern w:val="0"/>
                <w:sz w:val="20"/>
              </w:rPr>
            </w:pPr>
            <w:r>
              <w:rPr>
                <w:rFonts w:hint="eastAsia"/>
                <w:kern w:val="0"/>
                <w:sz w:val="20"/>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7" w:type="dxa"/>
            <w:gridSpan w:val="4"/>
            <w:vAlign w:val="center"/>
          </w:tcPr>
          <w:p>
            <w:pPr>
              <w:spacing w:beforeLines="0" w:after="0" w:afterLines="0" w:line="240" w:lineRule="auto"/>
              <w:jc w:val="center"/>
              <w:rPr>
                <w:kern w:val="0"/>
                <w:sz w:val="20"/>
              </w:rPr>
            </w:pPr>
            <w:r>
              <w:rPr>
                <w:kern w:val="0"/>
                <w:sz w:val="20"/>
              </w:rPr>
              <w:t>π</w:t>
            </w:r>
            <w:r>
              <w:rPr>
                <w:rFonts w:hint="eastAsia"/>
                <w:kern w:val="0"/>
                <w:sz w:val="20"/>
              </w:rPr>
              <w:t>/2-BPSK, 24 PRBs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kern w:val="0"/>
                <w:sz w:val="20"/>
              </w:rPr>
              <w:t>π</w:t>
            </w:r>
            <w:r>
              <w:rPr>
                <w:rFonts w:hint="eastAsia"/>
                <w:kern w:val="0"/>
                <w:sz w:val="20"/>
              </w:rPr>
              <w:t>/2-BPSK with transparent FDSS</w:t>
            </w:r>
          </w:p>
        </w:tc>
        <w:tc>
          <w:tcPr>
            <w:tcW w:w="1561" w:type="dxa"/>
            <w:vAlign w:val="center"/>
          </w:tcPr>
          <w:p>
            <w:pPr>
              <w:spacing w:beforeLines="0" w:after="0" w:afterLines="0" w:line="240" w:lineRule="auto"/>
              <w:jc w:val="center"/>
              <w:rPr>
                <w:sz w:val="20"/>
              </w:rPr>
            </w:pPr>
            <w:r>
              <w:rPr>
                <w:rFonts w:hint="eastAsia"/>
                <w:kern w:val="0"/>
                <w:sz w:val="20"/>
              </w:rPr>
              <w:t>2.6</w:t>
            </w:r>
          </w:p>
        </w:tc>
        <w:tc>
          <w:tcPr>
            <w:tcW w:w="1569" w:type="dxa"/>
            <w:vAlign w:val="center"/>
          </w:tcPr>
          <w:p>
            <w:pPr>
              <w:spacing w:beforeLines="0" w:after="0" w:afterLines="0" w:line="240" w:lineRule="auto"/>
              <w:jc w:val="center"/>
              <w:rPr>
                <w:kern w:val="0"/>
                <w:sz w:val="20"/>
              </w:rPr>
            </w:pPr>
            <w:r>
              <w:rPr>
                <w:rFonts w:hint="eastAsia"/>
                <w:kern w:val="0"/>
                <w:sz w:val="20"/>
              </w:rPr>
              <w:t>-0.4</w:t>
            </w:r>
          </w:p>
        </w:tc>
        <w:tc>
          <w:tcPr>
            <w:tcW w:w="1486" w:type="dxa"/>
            <w:vAlign w:val="center"/>
          </w:tcPr>
          <w:p>
            <w:pPr>
              <w:spacing w:beforeLines="0" w:after="0" w:afterLines="0" w:line="240" w:lineRule="auto"/>
              <w:jc w:val="center"/>
              <w:rPr>
                <w:kern w:val="0"/>
                <w:sz w:val="20"/>
              </w:rPr>
            </w:pPr>
            <w:r>
              <w:rPr>
                <w:rFonts w:hint="eastAsia"/>
                <w:kern w:val="0"/>
                <w:sz w:val="20"/>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rFonts w:hint="eastAsia"/>
                <w:kern w:val="0"/>
                <w:sz w:val="20"/>
              </w:rPr>
              <w:t>I-</w:t>
            </w:r>
            <w:r>
              <w:rPr>
                <w:kern w:val="0"/>
                <w:sz w:val="20"/>
              </w:rPr>
              <w:t>π</w:t>
            </w:r>
            <w:r>
              <w:rPr>
                <w:rFonts w:hint="eastAsia"/>
                <w:kern w:val="0"/>
                <w:sz w:val="20"/>
              </w:rPr>
              <w:t>/2-BPSK with transparent FDSS and no SE</w:t>
            </w:r>
          </w:p>
        </w:tc>
        <w:tc>
          <w:tcPr>
            <w:tcW w:w="1561" w:type="dxa"/>
            <w:vAlign w:val="center"/>
          </w:tcPr>
          <w:p>
            <w:pPr>
              <w:spacing w:beforeLines="0" w:after="0" w:afterLines="0" w:line="240" w:lineRule="auto"/>
              <w:jc w:val="center"/>
              <w:rPr>
                <w:sz w:val="20"/>
              </w:rPr>
            </w:pPr>
            <w:r>
              <w:rPr>
                <w:rFonts w:hint="eastAsia"/>
                <w:kern w:val="0"/>
                <w:sz w:val="20"/>
              </w:rPr>
              <w:t>2.7</w:t>
            </w:r>
          </w:p>
        </w:tc>
        <w:tc>
          <w:tcPr>
            <w:tcW w:w="1569" w:type="dxa"/>
            <w:vAlign w:val="center"/>
          </w:tcPr>
          <w:p>
            <w:pPr>
              <w:spacing w:beforeLines="0" w:after="0" w:afterLines="0" w:line="240" w:lineRule="auto"/>
              <w:jc w:val="center"/>
              <w:rPr>
                <w:kern w:val="0"/>
                <w:sz w:val="20"/>
              </w:rPr>
            </w:pPr>
            <w:r>
              <w:rPr>
                <w:rFonts w:hint="eastAsia"/>
                <w:kern w:val="0"/>
                <w:sz w:val="20"/>
              </w:rPr>
              <w:t>-0.2</w:t>
            </w:r>
          </w:p>
        </w:tc>
        <w:tc>
          <w:tcPr>
            <w:tcW w:w="1486" w:type="dxa"/>
            <w:vAlign w:val="center"/>
          </w:tcPr>
          <w:p>
            <w:pPr>
              <w:spacing w:beforeLines="0" w:after="0" w:afterLines="0" w:line="240" w:lineRule="auto"/>
              <w:jc w:val="center"/>
              <w:rPr>
                <w:kern w:val="0"/>
                <w:sz w:val="20"/>
              </w:rPr>
            </w:pPr>
            <w:r>
              <w:rPr>
                <w:rFonts w:hint="eastAsia"/>
                <w:kern w:val="0"/>
                <w:sz w:val="20"/>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rFonts w:hint="eastAsia"/>
                <w:kern w:val="0"/>
                <w:sz w:val="20"/>
              </w:rPr>
              <w:t>I-</w:t>
            </w:r>
            <w:r>
              <w:rPr>
                <w:kern w:val="0"/>
                <w:sz w:val="20"/>
              </w:rPr>
              <w:t>π</w:t>
            </w:r>
            <w:r>
              <w:rPr>
                <w:rFonts w:hint="eastAsia"/>
                <w:kern w:val="0"/>
                <w:sz w:val="20"/>
              </w:rPr>
              <w:t>/2-BPSK with transparent FDSS and 20% SE</w:t>
            </w:r>
          </w:p>
        </w:tc>
        <w:tc>
          <w:tcPr>
            <w:tcW w:w="1561" w:type="dxa"/>
            <w:vAlign w:val="center"/>
          </w:tcPr>
          <w:p>
            <w:pPr>
              <w:spacing w:beforeLines="0" w:after="0" w:afterLines="0" w:line="240" w:lineRule="auto"/>
              <w:jc w:val="center"/>
              <w:rPr>
                <w:sz w:val="20"/>
              </w:rPr>
            </w:pPr>
            <w:r>
              <w:rPr>
                <w:rFonts w:hint="eastAsia"/>
                <w:kern w:val="0"/>
                <w:sz w:val="20"/>
              </w:rPr>
              <w:t>3.3</w:t>
            </w:r>
          </w:p>
        </w:tc>
        <w:tc>
          <w:tcPr>
            <w:tcW w:w="1569" w:type="dxa"/>
            <w:vAlign w:val="center"/>
          </w:tcPr>
          <w:p>
            <w:pPr>
              <w:spacing w:beforeLines="0" w:after="0" w:afterLines="0" w:line="240" w:lineRule="auto"/>
              <w:jc w:val="center"/>
              <w:rPr>
                <w:kern w:val="0"/>
                <w:sz w:val="20"/>
              </w:rPr>
            </w:pPr>
            <w:r>
              <w:rPr>
                <w:rFonts w:hint="eastAsia"/>
                <w:kern w:val="0"/>
                <w:sz w:val="20"/>
              </w:rPr>
              <w:t>-0.1</w:t>
            </w:r>
          </w:p>
        </w:tc>
        <w:tc>
          <w:tcPr>
            <w:tcW w:w="1486" w:type="dxa"/>
            <w:vAlign w:val="center"/>
          </w:tcPr>
          <w:p>
            <w:pPr>
              <w:spacing w:beforeLines="0" w:after="0" w:afterLines="0" w:line="240" w:lineRule="auto"/>
              <w:jc w:val="center"/>
              <w:rPr>
                <w:kern w:val="0"/>
                <w:sz w:val="20"/>
              </w:rPr>
            </w:pPr>
            <w:r>
              <w:rPr>
                <w:rFonts w:hint="eastAsia"/>
                <w:kern w:val="0"/>
                <w:sz w:val="20"/>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61" w:type="dxa"/>
            <w:vAlign w:val="center"/>
          </w:tcPr>
          <w:p>
            <w:pPr>
              <w:spacing w:beforeLines="0" w:after="0" w:afterLines="0" w:line="240" w:lineRule="auto"/>
              <w:jc w:val="center"/>
              <w:rPr>
                <w:sz w:val="20"/>
              </w:rPr>
            </w:pPr>
            <w:r>
              <w:rPr>
                <w:rFonts w:hint="eastAsia"/>
                <w:kern w:val="0"/>
                <w:sz w:val="20"/>
              </w:rPr>
              <w:t>I-</w:t>
            </w:r>
            <w:r>
              <w:rPr>
                <w:kern w:val="0"/>
                <w:sz w:val="20"/>
              </w:rPr>
              <w:t>π</w:t>
            </w:r>
            <w:r>
              <w:rPr>
                <w:rFonts w:hint="eastAsia"/>
                <w:kern w:val="0"/>
                <w:sz w:val="20"/>
              </w:rPr>
              <w:t>/2-BPSK with transparent FDSS and 50% SE</w:t>
            </w:r>
          </w:p>
        </w:tc>
        <w:tc>
          <w:tcPr>
            <w:tcW w:w="1561" w:type="dxa"/>
            <w:vAlign w:val="center"/>
          </w:tcPr>
          <w:p>
            <w:pPr>
              <w:spacing w:beforeLines="0" w:after="0" w:afterLines="0" w:line="240" w:lineRule="auto"/>
              <w:jc w:val="center"/>
              <w:rPr>
                <w:sz w:val="20"/>
              </w:rPr>
            </w:pPr>
            <w:r>
              <w:rPr>
                <w:rFonts w:hint="eastAsia"/>
                <w:kern w:val="0"/>
                <w:sz w:val="20"/>
              </w:rPr>
              <w:t>3.4</w:t>
            </w:r>
          </w:p>
        </w:tc>
        <w:tc>
          <w:tcPr>
            <w:tcW w:w="1569" w:type="dxa"/>
            <w:vAlign w:val="center"/>
          </w:tcPr>
          <w:p>
            <w:pPr>
              <w:spacing w:beforeLines="0" w:after="0" w:afterLines="0" w:line="240" w:lineRule="auto"/>
              <w:jc w:val="center"/>
              <w:rPr>
                <w:kern w:val="0"/>
                <w:sz w:val="20"/>
              </w:rPr>
            </w:pPr>
            <w:r>
              <w:rPr>
                <w:rFonts w:hint="eastAsia"/>
                <w:kern w:val="0"/>
                <w:sz w:val="20"/>
              </w:rPr>
              <w:t>-0.2</w:t>
            </w:r>
          </w:p>
        </w:tc>
        <w:tc>
          <w:tcPr>
            <w:tcW w:w="1486" w:type="dxa"/>
            <w:vAlign w:val="center"/>
          </w:tcPr>
          <w:p>
            <w:pPr>
              <w:spacing w:beforeLines="0" w:after="0" w:afterLines="0" w:line="240" w:lineRule="auto"/>
              <w:jc w:val="center"/>
              <w:rPr>
                <w:kern w:val="0"/>
                <w:sz w:val="20"/>
              </w:rPr>
            </w:pPr>
            <w:r>
              <w:rPr>
                <w:rFonts w:hint="eastAsia"/>
                <w:kern w:val="0"/>
                <w:sz w:val="20"/>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7" w:type="dxa"/>
            <w:gridSpan w:val="4"/>
            <w:vAlign w:val="center"/>
          </w:tcPr>
          <w:p>
            <w:pPr>
              <w:spacing w:beforeLines="0" w:after="0" w:afterLines="0" w:line="240" w:lineRule="auto"/>
              <w:jc w:val="center"/>
              <w:rPr>
                <w:kern w:val="0"/>
                <w:sz w:val="20"/>
              </w:rPr>
            </w:pPr>
            <w:r>
              <w:rPr>
                <w:rFonts w:hint="eastAsia"/>
                <w:kern w:val="0"/>
                <w:sz w:val="20"/>
              </w:rPr>
              <w:t>QPSK, 24 PRBs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461" w:type="dxa"/>
            <w:vAlign w:val="center"/>
          </w:tcPr>
          <w:p>
            <w:pPr>
              <w:spacing w:beforeLines="0" w:after="0" w:afterLines="0" w:line="240" w:lineRule="auto"/>
              <w:jc w:val="center"/>
              <w:rPr>
                <w:kern w:val="0"/>
                <w:sz w:val="20"/>
              </w:rPr>
            </w:pPr>
            <w:r>
              <w:rPr>
                <w:rFonts w:hint="eastAsia"/>
                <w:kern w:val="0"/>
                <w:sz w:val="20"/>
              </w:rPr>
              <w:t>QPSK with transparent FDSS</w:t>
            </w:r>
          </w:p>
        </w:tc>
        <w:tc>
          <w:tcPr>
            <w:tcW w:w="1561" w:type="dxa"/>
            <w:vAlign w:val="center"/>
          </w:tcPr>
          <w:p>
            <w:pPr>
              <w:spacing w:beforeLines="0" w:after="0" w:afterLines="0" w:line="240" w:lineRule="auto"/>
              <w:jc w:val="center"/>
              <w:rPr>
                <w:sz w:val="20"/>
              </w:rPr>
            </w:pPr>
            <w:r>
              <w:rPr>
                <w:rFonts w:hint="eastAsia"/>
                <w:kern w:val="0"/>
                <w:sz w:val="20"/>
              </w:rPr>
              <w:t>1.2</w:t>
            </w:r>
          </w:p>
        </w:tc>
        <w:tc>
          <w:tcPr>
            <w:tcW w:w="1569" w:type="dxa"/>
            <w:vAlign w:val="center"/>
          </w:tcPr>
          <w:p>
            <w:pPr>
              <w:spacing w:beforeLines="0" w:after="0" w:afterLines="0" w:line="240" w:lineRule="auto"/>
              <w:jc w:val="center"/>
              <w:rPr>
                <w:kern w:val="0"/>
                <w:sz w:val="20"/>
              </w:rPr>
            </w:pPr>
            <w:r>
              <w:rPr>
                <w:rFonts w:hint="eastAsia"/>
                <w:kern w:val="0"/>
                <w:sz w:val="20"/>
              </w:rPr>
              <w:t>-0.9</w:t>
            </w:r>
          </w:p>
        </w:tc>
        <w:tc>
          <w:tcPr>
            <w:tcW w:w="1486" w:type="dxa"/>
            <w:vAlign w:val="center"/>
          </w:tcPr>
          <w:p>
            <w:pPr>
              <w:spacing w:beforeLines="0" w:after="0" w:afterLines="0" w:line="240" w:lineRule="auto"/>
              <w:jc w:val="center"/>
              <w:rPr>
                <w:kern w:val="0"/>
                <w:sz w:val="20"/>
              </w:rPr>
            </w:pPr>
            <w:r>
              <w:rPr>
                <w:rFonts w:hint="eastAsia"/>
                <w:kern w:val="0"/>
                <w:sz w:val="20"/>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461" w:type="dxa"/>
            <w:vAlign w:val="center"/>
          </w:tcPr>
          <w:p>
            <w:pPr>
              <w:spacing w:beforeLines="0" w:after="0" w:afterLines="0" w:line="240" w:lineRule="auto"/>
              <w:jc w:val="center"/>
              <w:rPr>
                <w:kern w:val="0"/>
                <w:sz w:val="20"/>
              </w:rPr>
            </w:pPr>
            <w:r>
              <w:rPr>
                <w:rFonts w:hint="eastAsia"/>
                <w:kern w:val="0"/>
                <w:sz w:val="20"/>
              </w:rPr>
              <w:t>I-QPSK with transparent FDSS and 20% SE</w:t>
            </w:r>
          </w:p>
        </w:tc>
        <w:tc>
          <w:tcPr>
            <w:tcW w:w="1561" w:type="dxa"/>
            <w:vAlign w:val="center"/>
          </w:tcPr>
          <w:p>
            <w:pPr>
              <w:spacing w:beforeLines="0" w:after="0" w:afterLines="0" w:line="240" w:lineRule="auto"/>
              <w:jc w:val="center"/>
              <w:rPr>
                <w:sz w:val="20"/>
              </w:rPr>
            </w:pPr>
            <w:r>
              <w:rPr>
                <w:rFonts w:hint="eastAsia"/>
                <w:kern w:val="0"/>
                <w:sz w:val="20"/>
              </w:rPr>
              <w:t>2.0</w:t>
            </w:r>
          </w:p>
        </w:tc>
        <w:tc>
          <w:tcPr>
            <w:tcW w:w="1569" w:type="dxa"/>
            <w:vAlign w:val="center"/>
          </w:tcPr>
          <w:p>
            <w:pPr>
              <w:spacing w:beforeLines="0" w:after="0" w:afterLines="0" w:line="240" w:lineRule="auto"/>
              <w:jc w:val="center"/>
              <w:rPr>
                <w:kern w:val="0"/>
                <w:sz w:val="20"/>
              </w:rPr>
            </w:pPr>
            <w:r>
              <w:rPr>
                <w:rFonts w:hint="eastAsia"/>
                <w:kern w:val="0"/>
                <w:sz w:val="20"/>
              </w:rPr>
              <w:t>-0.6</w:t>
            </w:r>
          </w:p>
        </w:tc>
        <w:tc>
          <w:tcPr>
            <w:tcW w:w="1486" w:type="dxa"/>
            <w:vAlign w:val="center"/>
          </w:tcPr>
          <w:p>
            <w:pPr>
              <w:spacing w:beforeLines="0" w:after="0" w:afterLines="0" w:line="240" w:lineRule="auto"/>
              <w:jc w:val="center"/>
              <w:rPr>
                <w:kern w:val="0"/>
                <w:sz w:val="20"/>
              </w:rPr>
            </w:pPr>
            <w:r>
              <w:rPr>
                <w:rFonts w:hint="eastAsia"/>
                <w:kern w:val="0"/>
                <w:sz w:val="20"/>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461" w:type="dxa"/>
            <w:vAlign w:val="center"/>
          </w:tcPr>
          <w:p>
            <w:pPr>
              <w:spacing w:beforeLines="0" w:after="0" w:afterLines="0" w:line="240" w:lineRule="auto"/>
              <w:jc w:val="center"/>
              <w:rPr>
                <w:kern w:val="0"/>
                <w:sz w:val="20"/>
              </w:rPr>
            </w:pPr>
            <w:r>
              <w:rPr>
                <w:rFonts w:hint="eastAsia"/>
                <w:kern w:val="0"/>
                <w:sz w:val="20"/>
              </w:rPr>
              <w:t>I-QPSK with transparent FDSS and 50% SE</w:t>
            </w:r>
          </w:p>
        </w:tc>
        <w:tc>
          <w:tcPr>
            <w:tcW w:w="1561" w:type="dxa"/>
            <w:vAlign w:val="center"/>
          </w:tcPr>
          <w:p>
            <w:pPr>
              <w:spacing w:beforeLines="0" w:after="0" w:afterLines="0" w:line="240" w:lineRule="auto"/>
              <w:jc w:val="center"/>
              <w:rPr>
                <w:sz w:val="20"/>
              </w:rPr>
            </w:pPr>
            <w:r>
              <w:rPr>
                <w:rFonts w:hint="eastAsia"/>
                <w:kern w:val="0"/>
                <w:sz w:val="20"/>
              </w:rPr>
              <w:t>2.8</w:t>
            </w:r>
          </w:p>
        </w:tc>
        <w:tc>
          <w:tcPr>
            <w:tcW w:w="1569" w:type="dxa"/>
            <w:vAlign w:val="center"/>
          </w:tcPr>
          <w:p>
            <w:pPr>
              <w:spacing w:beforeLines="0" w:after="0" w:afterLines="0" w:line="240" w:lineRule="auto"/>
              <w:jc w:val="center"/>
              <w:rPr>
                <w:kern w:val="0"/>
                <w:sz w:val="20"/>
              </w:rPr>
            </w:pPr>
            <w:r>
              <w:rPr>
                <w:rFonts w:hint="eastAsia"/>
                <w:kern w:val="0"/>
                <w:sz w:val="20"/>
              </w:rPr>
              <w:t>-0.7</w:t>
            </w:r>
          </w:p>
        </w:tc>
        <w:tc>
          <w:tcPr>
            <w:tcW w:w="1486" w:type="dxa"/>
            <w:vAlign w:val="center"/>
          </w:tcPr>
          <w:p>
            <w:pPr>
              <w:spacing w:beforeLines="0" w:after="0" w:afterLines="0" w:line="240" w:lineRule="auto"/>
              <w:jc w:val="center"/>
              <w:rPr>
                <w:kern w:val="0"/>
                <w:sz w:val="20"/>
              </w:rPr>
            </w:pPr>
            <w:r>
              <w:rPr>
                <w:rFonts w:hint="eastAsia"/>
                <w:kern w:val="0"/>
                <w:sz w:val="20"/>
              </w:rPr>
              <w:t>2.1</w:t>
            </w:r>
          </w:p>
        </w:tc>
      </w:tr>
    </w:tbl>
    <w:p>
      <w:pPr>
        <w:snapToGrid w:val="0"/>
        <w:spacing w:before="120" w:after="120"/>
        <w:rPr>
          <w:rFonts w:hAnsi="Cambria Math"/>
          <w:szCs w:val="21"/>
        </w:rPr>
      </w:pPr>
      <w:r>
        <w:rPr>
          <w:rFonts w:hint="eastAsia" w:hAnsi="Cambria Math"/>
          <w:szCs w:val="21"/>
        </w:rPr>
        <w:t xml:space="preserve">From Table </w:t>
      </w:r>
      <w:r>
        <w:rPr>
          <w:szCs w:val="21"/>
        </w:rPr>
        <w:t>11</w:t>
      </w:r>
      <w:r>
        <w:rPr>
          <w:rFonts w:hint="eastAsia" w:hAnsi="Cambria Math"/>
          <w:szCs w:val="21"/>
        </w:rPr>
        <w:t>, it can be observed that:</w:t>
      </w:r>
    </w:p>
    <w:p>
      <w:pPr>
        <w:pStyle w:val="52"/>
        <w:spacing w:before="120" w:after="120"/>
        <w:jc w:val="both"/>
      </w:pPr>
      <w:bookmarkStart w:id="251" w:name="_Toc213435918"/>
      <w:r>
        <w:t>For π/2-BPSK, the I-modulation scheme achieves approximately 3 dB net gain compared to conventional π/2-BPSK without transparent FDSS, and approximately 1 dB net gain compared to conventional π/2-BPSK with transparent FDSS.</w:t>
      </w:r>
      <w:bookmarkEnd w:id="251"/>
    </w:p>
    <w:p>
      <w:pPr>
        <w:pStyle w:val="52"/>
        <w:spacing w:before="120" w:after="120"/>
        <w:jc w:val="both"/>
      </w:pPr>
      <w:bookmarkStart w:id="252" w:name="_Toc213435919"/>
      <w:r>
        <w:t>For QPSK, the I-modulation scheme achieves approximately 2.1 dB net gain compared to conventional QPSK without transparent FDSS, and approximately 1.8 dB net gain compared to conventional QPSK with transparent FDSS.</w:t>
      </w:r>
      <w:bookmarkEnd w:id="252"/>
    </w:p>
    <w:p>
      <w:pPr>
        <w:pStyle w:val="55"/>
        <w:spacing w:before="120" w:after="120"/>
        <w:jc w:val="both"/>
        <w:rPr>
          <w:lang w:val="en-US" w:eastAsia="zh-CN"/>
        </w:rPr>
      </w:pPr>
      <w:bookmarkStart w:id="253" w:name="_Toc213435944"/>
      <w:r>
        <w:rPr>
          <w:lang w:val="en-US" w:eastAsia="zh-CN"/>
        </w:rPr>
        <w:t>I-</w:t>
      </w:r>
      <w:r>
        <w:rPr>
          <w:rFonts w:hint="eastAsia"/>
          <w:lang w:val="en-US" w:eastAsia="zh-CN"/>
        </w:rPr>
        <w:t>m</w:t>
      </w:r>
      <w:r>
        <w:rPr>
          <w:lang w:val="en-US" w:eastAsia="zh-CN"/>
        </w:rPr>
        <w:t>odulation (I-π/2-BPSK/QPSK/QAM) scheme should be considered to reduce PAPR for DFT-s-OFDM.</w:t>
      </w:r>
      <w:bookmarkEnd w:id="253"/>
    </w:p>
    <w:p>
      <w:pPr>
        <w:pStyle w:val="2"/>
        <w:spacing w:before="120" w:after="120"/>
        <w:ind w:left="0"/>
        <w:rPr>
          <w:rFonts w:eastAsia="宋体"/>
        </w:rPr>
      </w:pPr>
      <w:r>
        <w:rPr>
          <w:rFonts w:eastAsia="宋体"/>
        </w:rPr>
        <w:t>Conclusion</w:t>
      </w:r>
    </w:p>
    <w:p>
      <w:pPr>
        <w:spacing w:before="120" w:after="120"/>
      </w:pPr>
      <w:r>
        <w:rPr>
          <w:rFonts w:hint="eastAsia"/>
        </w:rPr>
        <w:t>In this contribution, we have the following observations/proposals:</w:t>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rPr>
          <w:sz w:val="21"/>
          <w:szCs w:val="22"/>
        </w:rPr>
        <w:fldChar w:fldCharType="begin"/>
      </w:r>
      <w:r>
        <w:rPr>
          <w:sz w:val="21"/>
          <w:szCs w:val="22"/>
        </w:rPr>
        <w:instrText xml:space="preserve">TOC \n  \t "YJ-Observation,1,sub-observation,2,3rd level observation,3" \h</w:instrText>
      </w:r>
      <w:r>
        <w:rPr>
          <w:sz w:val="21"/>
          <w:szCs w:val="22"/>
        </w:rPr>
        <w:fldChar w:fldCharType="separate"/>
      </w:r>
      <w:r>
        <w:fldChar w:fldCharType="begin"/>
      </w:r>
      <w:r>
        <w:instrText xml:space="preserve"> HYPERLINK \l "_Toc213435863" </w:instrText>
      </w:r>
      <w:r>
        <w:fldChar w:fldCharType="separate"/>
      </w:r>
      <w:r>
        <w:rPr>
          <w:rStyle w:val="22"/>
        </w:rPr>
        <w:t>Observation 1:</w:t>
      </w:r>
      <w:r>
        <w:rPr>
          <w:rFonts w:asciiTheme="minorHAnsi" w:hAnsiTheme="minorHAnsi" w:eastAsiaTheme="minorEastAsia" w:cstheme="minorBidi"/>
          <w:b w:val="0"/>
          <w:bCs w:val="0"/>
          <w:i w:val="0"/>
          <w:iCs w:val="0"/>
          <w:sz w:val="21"/>
          <w:szCs w:val="22"/>
        </w:rPr>
        <w:tab/>
      </w:r>
      <w:r>
        <w:rPr>
          <w:rStyle w:val="22"/>
        </w:rPr>
        <w:t>5G NR MCS tables are thoroughly evaluated and carefully designed with considerations of multiple aspects, including e.g., AWGN channel and fading channel, EVM performance, spatial multiplexing and rank adaptation.</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"_Toc213435864" </w:instrText>
      </w:r>
      <w:r>
        <w:fldChar w:fldCharType="separate"/>
      </w:r>
      <w:r>
        <w:rPr>
          <w:rStyle w:val="22"/>
        </w:rPr>
        <w:t>Observation 2:</w:t>
      </w:r>
      <w:r>
        <w:rPr>
          <w:rFonts w:asciiTheme="minorHAnsi" w:hAnsiTheme="minorHAnsi" w:eastAsiaTheme="minorEastAsia" w:cstheme="minorBidi"/>
          <w:b w:val="0"/>
          <w:bCs w:val="0"/>
          <w:i w:val="0"/>
          <w:iCs w:val="0"/>
          <w:sz w:val="21"/>
          <w:szCs w:val="22"/>
        </w:rPr>
        <w:tab/>
      </w:r>
      <w:r>
        <w:rPr>
          <w:rStyle w:val="22"/>
        </w:rPr>
        <w:t>MPR differences across modulation orders are observed for DFT-s-OFDM-based waveform in the uplink. In addition, MPR is dependent on factors such as UE power class, antenna configuration, and the location of RBs within the system bandwidth.</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"_Toc213435865" </w:instrText>
      </w:r>
      <w:r>
        <w:fldChar w:fldCharType="separate"/>
      </w:r>
      <w:r>
        <w:rPr>
          <w:rStyle w:val="22"/>
        </w:rPr>
        <w:t>Observation 3:</w:t>
      </w:r>
      <w:r>
        <w:rPr>
          <w:rFonts w:asciiTheme="minorHAnsi" w:hAnsiTheme="minorHAnsi" w:eastAsiaTheme="minorEastAsia" w:cstheme="minorBidi"/>
          <w:b w:val="0"/>
          <w:bCs w:val="0"/>
          <w:i w:val="0"/>
          <w:iCs w:val="0"/>
          <w:sz w:val="21"/>
          <w:szCs w:val="22"/>
        </w:rPr>
        <w:tab/>
      </w:r>
      <w:r>
        <w:rPr>
          <w:rStyle w:val="22"/>
        </w:rPr>
        <w:t>Different scenarios adopting different CQI/MCS tables is beneficial to CQI feedback, MCS indication and OTA test effort reduction.</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"_Toc213435866" </w:instrText>
      </w:r>
      <w:r>
        <w:fldChar w:fldCharType="separate"/>
      </w:r>
      <w:r>
        <w:rPr>
          <w:rStyle w:val="22"/>
        </w:rPr>
        <w:t>Observation 4:</w:t>
      </w:r>
      <w:r>
        <w:rPr>
          <w:rFonts w:asciiTheme="minorHAnsi" w:hAnsiTheme="minorHAnsi" w:eastAsiaTheme="minorEastAsia" w:cstheme="minorBidi"/>
          <w:b w:val="0"/>
          <w:bCs w:val="0"/>
          <w:i w:val="0"/>
          <w:iCs w:val="0"/>
          <w:sz w:val="21"/>
          <w:szCs w:val="22"/>
        </w:rPr>
        <w:tab/>
      </w:r>
      <w:r>
        <w:rPr>
          <w:rStyle w:val="22"/>
        </w:rPr>
        <w:t>NUC modulation is a mature technique and has been widely used in broadcast standards.</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"_Toc213435867" </w:instrText>
      </w:r>
      <w:r>
        <w:fldChar w:fldCharType="separate"/>
      </w:r>
      <w:r>
        <w:rPr>
          <w:rStyle w:val="22"/>
        </w:rPr>
        <w:t>Observation 5:</w:t>
      </w:r>
      <w:r>
        <w:rPr>
          <w:rFonts w:asciiTheme="minorHAnsi" w:hAnsiTheme="minorHAnsi" w:eastAsiaTheme="minorEastAsia" w:cstheme="minorBidi"/>
          <w:b w:val="0"/>
          <w:bCs w:val="0"/>
          <w:i w:val="0"/>
          <w:iCs w:val="0"/>
          <w:sz w:val="21"/>
          <w:szCs w:val="22"/>
        </w:rPr>
        <w:tab/>
      </w:r>
      <w:r>
        <w:rPr>
          <w:rStyle w:val="22"/>
        </w:rPr>
        <w:t>Introducing NUC for 6GR does not affect the LDPC coding chain in 5G. The LDPC coding chain in 5G can be reused in 6GR.</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"_Toc213435868" </w:instrText>
      </w:r>
      <w:r>
        <w:fldChar w:fldCharType="separate"/>
      </w:r>
      <w:r>
        <w:rPr>
          <w:rStyle w:val="22"/>
        </w:rPr>
        <w:t>Observation 6:</w:t>
      </w:r>
      <w:r>
        <w:rPr>
          <w:rFonts w:asciiTheme="minorHAnsi" w:hAnsiTheme="minorHAnsi" w:eastAsiaTheme="minorEastAsia" w:cstheme="minorBidi"/>
          <w:b w:val="0"/>
          <w:bCs w:val="0"/>
          <w:i w:val="0"/>
          <w:iCs w:val="0"/>
          <w:sz w:val="21"/>
          <w:szCs w:val="22"/>
        </w:rPr>
        <w:tab/>
      </w:r>
      <w:r>
        <w:rPr>
          <w:rStyle w:val="22"/>
        </w:rPr>
        <w:t>NUC modulation/demodulation is a full parallel process, and it is easier to achieve ultra-high throughput for 6GR.</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"_Toc213435869" </w:instrText>
      </w:r>
      <w:r>
        <w:fldChar w:fldCharType="separate"/>
      </w:r>
      <w:r>
        <w:rPr>
          <w:rStyle w:val="22"/>
        </w:rPr>
        <w:t>Observation 7:</w:t>
      </w:r>
      <w:r>
        <w:rPr>
          <w:rFonts w:asciiTheme="minorHAnsi" w:hAnsiTheme="minorHAnsi" w:eastAsiaTheme="minorEastAsia" w:cstheme="minorBidi"/>
          <w:b w:val="0"/>
          <w:bCs w:val="0"/>
          <w:i w:val="0"/>
          <w:iCs w:val="0"/>
          <w:sz w:val="21"/>
          <w:szCs w:val="22"/>
        </w:rPr>
        <w:tab/>
      </w:r>
      <w:r>
        <w:rPr>
          <w:rStyle w:val="22"/>
        </w:rPr>
        <w:t>According to our simulation results, 2D-NUC can have following performance.</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"_Toc213435870"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Shaping gain from 0.17dB to 0.85 dB where shaping gain of NUC increases as the modulation order increases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"_Toc213435871"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~0.27dB shaping gain for MCS level 18 in NR 256QAM table at BLER = 0.1 in the CDL-A 1T1R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"_Toc213435872"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~0.5 dB shaping gain for MCS level 18 in NR 256QAM table at BLER = 0.1 in the CDL-A 4T4R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"_Toc213435873"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~0.6 dB shaping gain for MCS level 23 in NR 256QAM table at BLER = 0.1 in the CDL-A 1T1R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"_Toc213435874"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~0.4 dB shaping gain for MCS level 23 in NR 256QAM table at BLER = 0.1 in the CDL-A 4T4R channel.</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"_Toc213435875" </w:instrText>
      </w:r>
      <w:r>
        <w:fldChar w:fldCharType="separate"/>
      </w:r>
      <w:r>
        <w:rPr>
          <w:rStyle w:val="22"/>
        </w:rPr>
        <w:t>Observation 8:</w:t>
      </w:r>
      <w:r>
        <w:rPr>
          <w:rFonts w:asciiTheme="minorHAnsi" w:hAnsiTheme="minorHAnsi" w:eastAsiaTheme="minorEastAsia" w:cstheme="minorBidi"/>
          <w:b w:val="0"/>
          <w:bCs w:val="0"/>
          <w:i w:val="0"/>
          <w:iCs w:val="0"/>
          <w:sz w:val="21"/>
          <w:szCs w:val="22"/>
        </w:rPr>
        <w:tab/>
      </w:r>
      <w:r>
        <w:rPr>
          <w:rStyle w:val="22"/>
        </w:rPr>
        <w:t>According to our simulation results, 1D-NUC can have the following performance.</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"_Toc213435876"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~0.18dB shaping gain for MCS level 18 in NR 256QAM table at BLER = 0.1 in the AWGN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"_Toc213435877"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~0.35 dB shaping gain for MCS level 18 in NR 256QAM table at BLER = 0.1 in the CDL-A 4T4R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"_Toc213435878"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~0.42dB shaping gain for MCS level 23 in NR 256QAM table at BLER = 0.1 in the AWGN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"_Toc213435879"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~0.42dB shaping gain for MCS level 23 in NR 256QAM table at BLER = 0.1 in the CDL-A 4T4R channel.</w:t>
      </w:r>
      <w:r>
        <w:rPr>
          <w:rStyle w:val="22"/>
        </w:rPr>
        <w:fldChar w:fldCharType="end"/>
      </w:r>
    </w:p>
    <w:p>
      <w:pPr>
        <w:pStyle w:val="13"/>
        <w:tabs>
          <w:tab w:val="left" w:pos="147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"_Toc213435880" </w:instrText>
      </w:r>
      <w:r>
        <w:fldChar w:fldCharType="separate"/>
      </w:r>
      <w:r>
        <w:rPr>
          <w:rStyle w:val="22"/>
        </w:rPr>
        <w:t>Observation 9:</w:t>
      </w:r>
      <w:r>
        <w:rPr>
          <w:rFonts w:asciiTheme="minorHAnsi" w:hAnsiTheme="minorHAnsi" w:eastAsiaTheme="minorEastAsia" w:cstheme="minorBidi"/>
          <w:b w:val="0"/>
          <w:bCs w:val="0"/>
          <w:i w:val="0"/>
          <w:iCs w:val="0"/>
          <w:sz w:val="21"/>
          <w:szCs w:val="22"/>
        </w:rPr>
        <w:tab/>
      </w:r>
      <w:r>
        <w:rPr>
          <w:rStyle w:val="22"/>
        </w:rPr>
        <w:t>Transmitter complexity for NUC modulation is mainly arises from storage of constellation points and the impact of transmitter complexity for NUC is negligible.</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"_Toc213435881" </w:instrText>
      </w:r>
      <w:r>
        <w:fldChar w:fldCharType="separate"/>
      </w:r>
      <w:r>
        <w:rPr>
          <w:rStyle w:val="22"/>
        </w:rPr>
        <w:t>Observation 10:</w:t>
      </w:r>
      <w:r>
        <w:rPr>
          <w:rFonts w:asciiTheme="minorHAnsi" w:hAnsiTheme="minorHAnsi" w:eastAsiaTheme="minorEastAsia" w:cstheme="minorBidi"/>
          <w:b w:val="0"/>
          <w:bCs w:val="0"/>
          <w:i w:val="0"/>
          <w:iCs w:val="0"/>
          <w:sz w:val="21"/>
          <w:szCs w:val="22"/>
        </w:rPr>
        <w:tab/>
      </w:r>
      <w:r>
        <w:rPr>
          <w:rStyle w:val="22"/>
        </w:rPr>
        <w:t>For MCS level 18 in SISO scenarios, computational complexities of 2D-NUC, 1D-NUC and QAM are as below.</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"_Toc213435882"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2D-NUC is ~2M operations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"_Toc213435883"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1D-NUC is ~831K operations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"_Toc213435884"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uniform QAM is ~823K operations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"_Toc213435885" </w:instrText>
      </w:r>
      <w:r>
        <w:fldChar w:fldCharType="separate"/>
      </w:r>
      <w:r>
        <w:rPr>
          <w:rStyle w:val="22"/>
        </w:rPr>
        <w:t>Observation 11:</w:t>
      </w:r>
      <w:r>
        <w:rPr>
          <w:rFonts w:asciiTheme="minorHAnsi" w:hAnsiTheme="minorHAnsi" w:eastAsiaTheme="minorEastAsia" w:cstheme="minorBidi"/>
          <w:b w:val="0"/>
          <w:bCs w:val="0"/>
          <w:i w:val="0"/>
          <w:iCs w:val="0"/>
          <w:sz w:val="21"/>
          <w:szCs w:val="22"/>
        </w:rPr>
        <w:tab/>
      </w:r>
      <w:r>
        <w:rPr>
          <w:rStyle w:val="22"/>
        </w:rPr>
        <w:t>For MCS level 18 in MIMO (4T4R) scenarios, computational complexities of 2D-NUC, 1D-NUC and QAM are as below.</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"_Toc213435886"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2D-NUC is ~11M operations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"_Toc213435887"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1D-NUC is ~4.76M operations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"_Toc213435888"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uniform QAM is ~4.73M operations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"_Toc213435889" </w:instrText>
      </w:r>
      <w:r>
        <w:fldChar w:fldCharType="separate"/>
      </w:r>
      <w:r>
        <w:rPr>
          <w:rStyle w:val="22"/>
        </w:rPr>
        <w:t>Observation 12:</w:t>
      </w:r>
      <w:r>
        <w:rPr>
          <w:rFonts w:asciiTheme="minorHAnsi" w:hAnsiTheme="minorHAnsi" w:eastAsiaTheme="minorEastAsia" w:cstheme="minorBidi"/>
          <w:b w:val="0"/>
          <w:bCs w:val="0"/>
          <w:i w:val="0"/>
          <w:iCs w:val="0"/>
          <w:sz w:val="21"/>
          <w:szCs w:val="22"/>
        </w:rPr>
        <w:tab/>
      </w:r>
      <w:r>
        <w:rPr>
          <w:rStyle w:val="22"/>
        </w:rPr>
        <w:t>PAS modulation has impacts on coding chain in terms of:</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"_Toc213435890"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Additional procedures before or after channel coding</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"_Toc213435891"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Bit interleaving</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"_Toc213435892" </w:instrText>
      </w:r>
      <w:r>
        <w:fldChar w:fldCharType="separate"/>
      </w:r>
      <w:r>
        <w:rPr>
          <w:rStyle w:val="22"/>
        </w:rPr>
        <w:t>Observation 13:</w:t>
      </w:r>
      <w:r>
        <w:rPr>
          <w:rFonts w:asciiTheme="minorHAnsi" w:hAnsiTheme="minorHAnsi" w:eastAsiaTheme="minorEastAsia" w:cstheme="minorBidi"/>
          <w:b w:val="0"/>
          <w:bCs w:val="0"/>
          <w:i w:val="0"/>
          <w:iCs w:val="0"/>
          <w:sz w:val="21"/>
          <w:szCs w:val="22"/>
        </w:rPr>
        <w:tab/>
      </w:r>
      <w:r>
        <w:rPr>
          <w:rStyle w:val="22"/>
        </w:rPr>
        <w:t>The following three aspects need to be considered for CCDM algorithms: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"_Toc213435893"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Precision mismatch between transmitter and receiver</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"_Toc213435894"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Serial process for encoding and decoding</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"_Toc213435895"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Performance loss in small TBSs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"_Toc213435896" </w:instrText>
      </w:r>
      <w:r>
        <w:fldChar w:fldCharType="separate"/>
      </w:r>
      <w:r>
        <w:rPr>
          <w:rStyle w:val="22"/>
        </w:rPr>
        <w:t>Observation 14:</w:t>
      </w:r>
      <w:r>
        <w:rPr>
          <w:rFonts w:asciiTheme="minorHAnsi" w:hAnsiTheme="minorHAnsi" w:eastAsiaTheme="minorEastAsia" w:cstheme="minorBidi"/>
          <w:b w:val="0"/>
          <w:bCs w:val="0"/>
          <w:i w:val="0"/>
          <w:iCs w:val="0"/>
          <w:sz w:val="21"/>
          <w:szCs w:val="22"/>
        </w:rPr>
        <w:tab/>
      </w:r>
      <w:r>
        <w:rPr>
          <w:rStyle w:val="22"/>
        </w:rPr>
        <w:t>IR-HARQ performance may degrade when PAS is used.</w:t>
      </w:r>
      <w:r>
        <w:rPr>
          <w:rStyle w:val="22"/>
        </w:rPr>
        <w:fldChar w:fldCharType="end"/>
      </w:r>
    </w:p>
    <w:p>
      <w:pPr>
        <w:pStyle w:val="13"/>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"_Toc213435897" </w:instrText>
      </w:r>
      <w:r>
        <w:fldChar w:fldCharType="separate"/>
      </w:r>
      <w:r>
        <w:rPr>
          <w:rStyle w:val="22"/>
        </w:rPr>
        <w:t>Table 5: Performance comparison between legacy QAM and CCDM-based PAS under LMMSE receiver in CDL-A 4T4R channel with 6 RBs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"_Toc213435898" </w:instrText>
      </w:r>
      <w:r>
        <w:fldChar w:fldCharType="separate"/>
      </w:r>
      <w:r>
        <w:rPr>
          <w:rStyle w:val="22"/>
        </w:rPr>
        <w:t>Observation 15:</w:t>
      </w:r>
      <w:r>
        <w:rPr>
          <w:rFonts w:asciiTheme="minorHAnsi" w:hAnsiTheme="minorHAnsi" w:eastAsiaTheme="minorEastAsia" w:cstheme="minorBidi"/>
          <w:b w:val="0"/>
          <w:bCs w:val="0"/>
          <w:i w:val="0"/>
          <w:iCs w:val="0"/>
          <w:sz w:val="21"/>
          <w:szCs w:val="22"/>
        </w:rPr>
        <w:tab/>
      </w:r>
      <w:r>
        <w:rPr>
          <w:rStyle w:val="22"/>
        </w:rPr>
        <w:t>According to our simulation results, PAS can have the following performance.</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"_Toc213435899"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~0.27dB shaping gain for MCS level 19 in NR 256QAM table at BLER = 0.1 in the AWGN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"_Toc213435900"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~0.38dB shaping gain for MCS level 19 in NR 256QAM table at BLER = 0.1 in the CDL-A 1T1R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"_Toc213435901"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~0.53dB shaping gain for MCS level 24 in NR 256QAM table at BLER = 0.1 in the AWGN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"_Toc213435902"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~0.71dB shaping gain for MCS level 24 in NR 256QAM table at BLER = 0.1 in the CDL-A 1T1R channel.</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"_Toc213435903"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~2.1 dB performance loss for MCS level 19 in NR 256QAM table at BLER = 0.1 in the TDL-A 4T4R channel under LMMSE receiver.</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"_Toc213435904"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~3.0 dB performance loss for MCS level 24 in NR 256QAM table at BLER = 0.1 in the TDL-A 4T4R channel under LMMSE receiver.</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"_Toc213435905" </w:instrText>
      </w:r>
      <w:r>
        <w:fldChar w:fldCharType="separate"/>
      </w:r>
      <w:r>
        <w:rPr>
          <w:rStyle w:val="22"/>
        </w:rPr>
        <w:t>Observation 16:</w:t>
      </w:r>
      <w:r>
        <w:rPr>
          <w:rFonts w:asciiTheme="minorHAnsi" w:hAnsiTheme="minorHAnsi" w:eastAsiaTheme="minorEastAsia" w:cstheme="minorBidi"/>
          <w:b w:val="0"/>
          <w:bCs w:val="0"/>
          <w:i w:val="0"/>
          <w:iCs w:val="0"/>
          <w:sz w:val="21"/>
          <w:szCs w:val="22"/>
        </w:rPr>
        <w:tab/>
      </w:r>
      <w:r>
        <w:rPr>
          <w:rStyle w:val="22"/>
        </w:rPr>
        <w:t>PAS schemes with (A)ESS/shell mapping have an ultra-high memory requirement for encoding/decoding.</w:t>
      </w:r>
      <w:r>
        <w:rPr>
          <w:rStyle w:val="22"/>
        </w:rPr>
        <w:fldChar w:fldCharType="end"/>
      </w:r>
    </w:p>
    <w:p>
      <w:pPr>
        <w:pStyle w:val="13"/>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"_Toc213435906" </w:instrText>
      </w:r>
      <w:r>
        <w:fldChar w:fldCharType="separate"/>
      </w:r>
      <w:r>
        <w:rPr>
          <w:rStyle w:val="22"/>
        </w:rPr>
        <w:t>For MIMO scenarios, the complexity of LMMSE MIMO detector is same as above.</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"_Toc213435907" </w:instrText>
      </w:r>
      <w:r>
        <w:fldChar w:fldCharType="separate"/>
      </w:r>
      <w:r>
        <w:rPr>
          <w:rStyle w:val="22"/>
        </w:rPr>
        <w:t>Observation 17:</w:t>
      </w:r>
      <w:r>
        <w:rPr>
          <w:rFonts w:asciiTheme="minorHAnsi" w:hAnsiTheme="minorHAnsi" w:eastAsiaTheme="minorEastAsia" w:cstheme="minorBidi"/>
          <w:b w:val="0"/>
          <w:bCs w:val="0"/>
          <w:i w:val="0"/>
          <w:iCs w:val="0"/>
          <w:sz w:val="21"/>
          <w:szCs w:val="22"/>
        </w:rPr>
        <w:tab/>
      </w:r>
      <w:r>
        <w:rPr>
          <w:rStyle w:val="22"/>
        </w:rPr>
        <w:t>For MCS level 19 in SISO scenarios, computational complexities of CCDM-based PAS and QAM are as below</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"_Toc213435908"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PAS is ~891K operations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"_Toc213435909"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uniform QAM is ~762K operations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"_Toc213435910" </w:instrText>
      </w:r>
      <w:r>
        <w:fldChar w:fldCharType="separate"/>
      </w:r>
      <w:r>
        <w:rPr>
          <w:rStyle w:val="22"/>
        </w:rPr>
        <w:t>Observation 18:</w:t>
      </w:r>
      <w:r>
        <w:rPr>
          <w:rFonts w:asciiTheme="minorHAnsi" w:hAnsiTheme="minorHAnsi" w:eastAsiaTheme="minorEastAsia" w:cstheme="minorBidi"/>
          <w:b w:val="0"/>
          <w:bCs w:val="0"/>
          <w:i w:val="0"/>
          <w:iCs w:val="0"/>
          <w:sz w:val="21"/>
          <w:szCs w:val="22"/>
        </w:rPr>
        <w:tab/>
      </w:r>
      <w:r>
        <w:rPr>
          <w:rStyle w:val="22"/>
        </w:rPr>
        <w:t>For MCS level 19 in MIMO (4T4R) scenarios, computational complexities of PAS and QAM for LMMSE receiver are as below.</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"_Toc213435911"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PAS is ~5M operations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"_Toc213435912" </w:instrText>
      </w:r>
      <w:r>
        <w:fldChar w:fldCharType="separate"/>
      </w:r>
      <w:r>
        <w:rPr>
          <w:rStyle w:val="22"/>
          <w:rFonts w:ascii="Wingdings" w:hAnsi="Wingdings"/>
        </w:rPr>
        <w:t></w:t>
      </w:r>
      <w:r>
        <w:rPr>
          <w:rFonts w:asciiTheme="minorHAnsi" w:hAnsiTheme="minorHAnsi" w:eastAsiaTheme="minorEastAsia" w:cstheme="minorBidi"/>
          <w:b w:val="0"/>
          <w:bCs w:val="0"/>
          <w:i w:val="0"/>
          <w:iCs w:val="0"/>
          <w:sz w:val="21"/>
          <w:szCs w:val="22"/>
        </w:rPr>
        <w:tab/>
      </w:r>
      <w:r>
        <w:rPr>
          <w:rStyle w:val="22"/>
        </w:rPr>
        <w:t>Computational complexity of uniform QAM is ~4.5M operations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"_Toc213435913" </w:instrText>
      </w:r>
      <w:r>
        <w:fldChar w:fldCharType="separate"/>
      </w:r>
      <w:r>
        <w:rPr>
          <w:rStyle w:val="22"/>
        </w:rPr>
        <w:t>Observation 19:</w:t>
      </w:r>
      <w:r>
        <w:rPr>
          <w:rFonts w:asciiTheme="minorHAnsi" w:hAnsiTheme="minorHAnsi" w:eastAsiaTheme="minorEastAsia" w:cstheme="minorBidi"/>
          <w:b w:val="0"/>
          <w:bCs w:val="0"/>
          <w:i w:val="0"/>
          <w:iCs w:val="0"/>
          <w:sz w:val="21"/>
          <w:szCs w:val="22"/>
        </w:rPr>
        <w:tab/>
      </w:r>
      <w:r>
        <w:rPr>
          <w:rStyle w:val="22"/>
        </w:rPr>
        <w:t>If the bandwidth of I-modulation is larger than that of the original π/2-BPSK/QPSK/QAM, it corresponds to spectrum expansion; if the bandwidth of I-modulation is smaller than that of the original, it corresponds to spectrum truncation.</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"_Toc213435914" </w:instrText>
      </w:r>
      <w:r>
        <w:fldChar w:fldCharType="separate"/>
      </w:r>
      <w:r>
        <w:rPr>
          <w:rStyle w:val="22"/>
        </w:rPr>
        <w:t>Observation 20:</w:t>
      </w:r>
      <w:r>
        <w:rPr>
          <w:rFonts w:asciiTheme="minorHAnsi" w:hAnsiTheme="minorHAnsi" w:eastAsiaTheme="minorEastAsia" w:cstheme="minorBidi"/>
          <w:b w:val="0"/>
          <w:bCs w:val="0"/>
          <w:i w:val="0"/>
          <w:iCs w:val="0"/>
          <w:sz w:val="21"/>
          <w:szCs w:val="22"/>
        </w:rPr>
        <w:tab/>
      </w:r>
      <w:r>
        <w:rPr>
          <w:rStyle w:val="22"/>
        </w:rPr>
        <w:t>The I-modulation scheme can be achieved using either a time-domain approach or a frequency-domain approach.</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"_Toc213435915" </w:instrText>
      </w:r>
      <w:r>
        <w:fldChar w:fldCharType="separate"/>
      </w:r>
      <w:r>
        <w:rPr>
          <w:rStyle w:val="22"/>
        </w:rPr>
        <w:t>Observation 21:</w:t>
      </w:r>
      <w:r>
        <w:rPr>
          <w:rFonts w:asciiTheme="minorHAnsi" w:hAnsiTheme="minorHAnsi" w:eastAsiaTheme="minorEastAsia" w:cstheme="minorBidi"/>
          <w:b w:val="0"/>
          <w:bCs w:val="0"/>
          <w:i w:val="0"/>
          <w:iCs w:val="0"/>
          <w:sz w:val="21"/>
          <w:szCs w:val="22"/>
        </w:rPr>
        <w:tab/>
      </w:r>
      <w:r>
        <w:rPr>
          <w:rStyle w:val="22"/>
        </w:rPr>
        <w:t>The I-modulation scheme is applicable to a wide range of modulation schemes, from low-order π/2-BPSK to high-order QAM.</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"_Toc213435916" </w:instrText>
      </w:r>
      <w:r>
        <w:fldChar w:fldCharType="separate"/>
      </w:r>
      <w:r>
        <w:rPr>
          <w:rStyle w:val="22"/>
        </w:rPr>
        <w:t>Observation 22:</w:t>
      </w:r>
      <w:r>
        <w:rPr>
          <w:rFonts w:asciiTheme="minorHAnsi" w:hAnsiTheme="minorHAnsi" w:eastAsiaTheme="minorEastAsia" w:cstheme="minorBidi"/>
          <w:b w:val="0"/>
          <w:bCs w:val="0"/>
          <w:i w:val="0"/>
          <w:iCs w:val="0"/>
          <w:sz w:val="21"/>
          <w:szCs w:val="22"/>
        </w:rPr>
        <w:tab/>
      </w:r>
      <w:r>
        <w:rPr>
          <w:rStyle w:val="22"/>
        </w:rPr>
        <w:t>The I-modulation scheme achieves significant PAPR reduction compared to conventional π/2-BPSK, QPSK, and 16QAM with and without transparent FDSS.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"_Toc213435917" </w:instrText>
      </w:r>
      <w:r>
        <w:fldChar w:fldCharType="separate"/>
      </w:r>
      <w:r>
        <w:rPr>
          <w:rStyle w:val="22"/>
        </w:rPr>
        <w:t>Observation 23:</w:t>
      </w:r>
      <w:r>
        <w:rPr>
          <w:rFonts w:asciiTheme="minorHAnsi" w:hAnsiTheme="minorHAnsi" w:eastAsiaTheme="minorEastAsia" w:cstheme="minorBidi"/>
          <w:b w:val="0"/>
          <w:bCs w:val="0"/>
          <w:i w:val="0"/>
          <w:iCs w:val="0"/>
          <w:sz w:val="21"/>
          <w:szCs w:val="22"/>
        </w:rPr>
        <w:tab/>
      </w:r>
      <w:r>
        <w:rPr>
          <w:rStyle w:val="22"/>
        </w:rPr>
        <w:t>The I-modulation scheme provides better performance at 10% BLER compared to conventional π/2-BPSK, QPSK with transparent FDSS.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"_Toc213435918" </w:instrText>
      </w:r>
      <w:r>
        <w:fldChar w:fldCharType="separate"/>
      </w:r>
      <w:r>
        <w:rPr>
          <w:rStyle w:val="22"/>
        </w:rPr>
        <w:t>Observation 24:</w:t>
      </w:r>
      <w:r>
        <w:rPr>
          <w:rFonts w:asciiTheme="minorHAnsi" w:hAnsiTheme="minorHAnsi" w:eastAsiaTheme="minorEastAsia" w:cstheme="minorBidi"/>
          <w:b w:val="0"/>
          <w:bCs w:val="0"/>
          <w:i w:val="0"/>
          <w:iCs w:val="0"/>
          <w:sz w:val="21"/>
          <w:szCs w:val="22"/>
        </w:rPr>
        <w:tab/>
      </w:r>
      <w:r>
        <w:rPr>
          <w:rStyle w:val="22"/>
        </w:rPr>
        <w:t>For π/2-BPSK, the I-modulation scheme achieves approximately 3 dB net gain compared to conventional π/2-BPSK without transparent FDSS, and approximately 1 dB net gain compared to conventional π/2-BPSK with transparent FDSS.</w:t>
      </w:r>
      <w:r>
        <w:rPr>
          <w:rStyle w:val="22"/>
        </w:rPr>
        <w:fldChar w:fldCharType="end"/>
      </w:r>
    </w:p>
    <w:p>
      <w:pPr>
        <w:pStyle w:val="13"/>
        <w:tabs>
          <w:tab w:val="left" w:pos="168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"_Toc213435919" </w:instrText>
      </w:r>
      <w:r>
        <w:fldChar w:fldCharType="separate"/>
      </w:r>
      <w:r>
        <w:rPr>
          <w:rStyle w:val="22"/>
        </w:rPr>
        <w:t>Observation 25:</w:t>
      </w:r>
      <w:r>
        <w:rPr>
          <w:rFonts w:asciiTheme="minorHAnsi" w:hAnsiTheme="minorHAnsi" w:eastAsiaTheme="minorEastAsia" w:cstheme="minorBidi"/>
          <w:b w:val="0"/>
          <w:bCs w:val="0"/>
          <w:i w:val="0"/>
          <w:iCs w:val="0"/>
          <w:sz w:val="21"/>
          <w:szCs w:val="22"/>
        </w:rPr>
        <w:tab/>
      </w:r>
      <w:r>
        <w:rPr>
          <w:rStyle w:val="22"/>
        </w:rPr>
        <w:t>For QPSK, the I-modulation scheme achieves approximately 2.1 dB net gain compared to conventional QPSK without transparent FDSS, and approximately 1.8 dB net gain compared to conventional QPSK with transparent FDSS.</w:t>
      </w:r>
      <w:r>
        <w:rPr>
          <w:rStyle w:val="22"/>
        </w:rPr>
        <w:fldChar w:fldCharType="end"/>
      </w:r>
    </w:p>
    <w:p>
      <w:pPr>
        <w:spacing w:before="120" w:after="120"/>
        <w:jc w:val="both"/>
      </w:pPr>
      <w:r>
        <w:rPr>
          <w:szCs w:val="22"/>
        </w:rPr>
        <w:fldChar w:fldCharType="end"/>
      </w:r>
    </w:p>
    <w:p>
      <w:pPr>
        <w:pStyle w:val="13"/>
        <w:tabs>
          <w:tab w:val="left" w:pos="126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TOC \n  \t "YJ-Proposal,1,sub-proposal,2,3rd level proposal,3" \h</w:instrText>
      </w:r>
      <w:r>
        <w:fldChar w:fldCharType="separate"/>
      </w:r>
      <w:r>
        <w:fldChar w:fldCharType="begin"/>
      </w:r>
      <w:r>
        <w:instrText xml:space="preserve"> HYPERLINK \l "_Toc213435938" </w:instrText>
      </w:r>
      <w:r>
        <w:fldChar w:fldCharType="separate"/>
      </w:r>
      <w:r>
        <w:rPr>
          <w:rStyle w:val="22"/>
        </w:rPr>
        <w:t>Proposal 1:</w:t>
      </w:r>
      <w:r>
        <w:rPr>
          <w:rFonts w:asciiTheme="minorHAnsi" w:hAnsiTheme="minorHAnsi" w:eastAsiaTheme="minorEastAsia" w:cstheme="minorBidi"/>
          <w:b w:val="0"/>
          <w:bCs w:val="0"/>
          <w:i w:val="0"/>
          <w:iCs w:val="0"/>
          <w:sz w:val="21"/>
          <w:szCs w:val="22"/>
        </w:rPr>
        <w:tab/>
      </w:r>
      <w:r>
        <w:rPr>
          <w:rStyle w:val="22"/>
        </w:rPr>
        <w:t>1024QAM can be considered for 6GR UL.</w:t>
      </w:r>
      <w:r>
        <w:rPr>
          <w:rStyle w:val="22"/>
        </w:rPr>
        <w:fldChar w:fldCharType="end"/>
      </w:r>
    </w:p>
    <w:p>
      <w:pPr>
        <w:pStyle w:val="13"/>
        <w:tabs>
          <w:tab w:val="left" w:pos="126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"_Toc213435939" </w:instrText>
      </w:r>
      <w:r>
        <w:fldChar w:fldCharType="separate"/>
      </w:r>
      <w:r>
        <w:rPr>
          <w:rStyle w:val="22"/>
        </w:rPr>
        <w:t>Proposal 2:</w:t>
      </w:r>
      <w:r>
        <w:rPr>
          <w:rFonts w:asciiTheme="minorHAnsi" w:hAnsiTheme="minorHAnsi" w:eastAsiaTheme="minorEastAsia" w:cstheme="minorBidi"/>
          <w:b w:val="0"/>
          <w:bCs w:val="0"/>
          <w:i w:val="0"/>
          <w:iCs w:val="0"/>
          <w:sz w:val="21"/>
          <w:szCs w:val="22"/>
        </w:rPr>
        <w:tab/>
      </w:r>
      <w:r>
        <w:rPr>
          <w:rStyle w:val="22"/>
        </w:rPr>
        <w:t>Consider performance and complexity trade-off in the study of shaping modulation for 6GR.</w:t>
      </w:r>
      <w:r>
        <w:rPr>
          <w:rStyle w:val="22"/>
        </w:rPr>
        <w:fldChar w:fldCharType="end"/>
      </w:r>
    </w:p>
    <w:p>
      <w:pPr>
        <w:pStyle w:val="13"/>
        <w:tabs>
          <w:tab w:val="left" w:pos="126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"_Toc213435940" </w:instrText>
      </w:r>
      <w:r>
        <w:fldChar w:fldCharType="separate"/>
      </w:r>
      <w:r>
        <w:rPr>
          <w:rStyle w:val="22"/>
        </w:rPr>
        <w:t>Proposal 3:</w:t>
      </w:r>
      <w:r>
        <w:rPr>
          <w:rFonts w:asciiTheme="minorHAnsi" w:hAnsiTheme="minorHAnsi" w:eastAsiaTheme="minorEastAsia" w:cstheme="minorBidi"/>
          <w:b w:val="0"/>
          <w:bCs w:val="0"/>
          <w:i w:val="0"/>
          <w:iCs w:val="0"/>
          <w:sz w:val="21"/>
          <w:szCs w:val="22"/>
        </w:rPr>
        <w:tab/>
      </w:r>
      <w:r>
        <w:rPr>
          <w:rStyle w:val="22"/>
        </w:rPr>
        <w:t>The following issues for PAS can be studied and evaluated:</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"_Toc213435941" </w:instrText>
      </w:r>
      <w:r>
        <w:fldChar w:fldCharType="separate"/>
      </w:r>
      <w:r>
        <w:rPr>
          <w:rStyle w:val="22"/>
          <w:rFonts w:ascii="Arial" w:hAnsi="Arial" w:cs="Arial"/>
        </w:rPr>
        <w:t>•</w:t>
      </w:r>
      <w:r>
        <w:rPr>
          <w:rFonts w:asciiTheme="minorHAnsi" w:hAnsiTheme="minorHAnsi" w:eastAsiaTheme="minorEastAsia" w:cstheme="minorBidi"/>
          <w:b w:val="0"/>
          <w:bCs w:val="0"/>
          <w:i w:val="0"/>
          <w:iCs w:val="0"/>
          <w:sz w:val="21"/>
          <w:szCs w:val="22"/>
        </w:rPr>
        <w:tab/>
      </w:r>
      <w:r>
        <w:rPr>
          <w:rStyle w:val="22"/>
        </w:rPr>
        <w:t>Impact on channel coding chain</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"_Toc213435942" </w:instrText>
      </w:r>
      <w:r>
        <w:fldChar w:fldCharType="separate"/>
      </w:r>
      <w:r>
        <w:rPr>
          <w:rStyle w:val="22"/>
          <w:rFonts w:ascii="Arial" w:hAnsi="Arial" w:cs="Arial"/>
        </w:rPr>
        <w:t>•</w:t>
      </w:r>
      <w:r>
        <w:rPr>
          <w:rFonts w:asciiTheme="minorHAnsi" w:hAnsiTheme="minorHAnsi" w:eastAsiaTheme="minorEastAsia" w:cstheme="minorBidi"/>
          <w:b w:val="0"/>
          <w:bCs w:val="0"/>
          <w:i w:val="0"/>
          <w:iCs w:val="0"/>
          <w:sz w:val="21"/>
          <w:szCs w:val="22"/>
        </w:rPr>
        <w:tab/>
      </w:r>
      <w:r>
        <w:rPr>
          <w:rStyle w:val="22"/>
        </w:rPr>
        <w:t>Serial process and storage caused by DM algorithms</w:t>
      </w:r>
      <w:r>
        <w:rPr>
          <w:rStyle w:val="22"/>
        </w:rPr>
        <w:fldChar w:fldCharType="end"/>
      </w:r>
    </w:p>
    <w:p>
      <w:pPr>
        <w:pStyle w:val="13"/>
        <w:tabs>
          <w:tab w:val="left" w:pos="420"/>
        </w:tabs>
        <w:spacing w:before="120" w:after="120"/>
        <w:ind w:left="210" w:leftChars="100"/>
        <w:jc w:val="both"/>
        <w:rPr>
          <w:rFonts w:asciiTheme="minorHAnsi" w:hAnsiTheme="minorHAnsi" w:eastAsiaTheme="minorEastAsia" w:cstheme="minorBidi"/>
          <w:b w:val="0"/>
          <w:bCs w:val="0"/>
          <w:i w:val="0"/>
          <w:iCs w:val="0"/>
          <w:sz w:val="21"/>
          <w:szCs w:val="22"/>
        </w:rPr>
      </w:pPr>
      <w:r>
        <w:fldChar w:fldCharType="begin"/>
      </w:r>
      <w:r>
        <w:instrText xml:space="preserve"> HYPERLINK \l "_Toc213435943" </w:instrText>
      </w:r>
      <w:r>
        <w:fldChar w:fldCharType="separate"/>
      </w:r>
      <w:r>
        <w:rPr>
          <w:rStyle w:val="22"/>
          <w:rFonts w:ascii="Arial" w:hAnsi="Arial" w:cs="Arial"/>
        </w:rPr>
        <w:t>•</w:t>
      </w:r>
      <w:r>
        <w:rPr>
          <w:rFonts w:asciiTheme="minorHAnsi" w:hAnsiTheme="minorHAnsi" w:eastAsiaTheme="minorEastAsia" w:cstheme="minorBidi"/>
          <w:b w:val="0"/>
          <w:bCs w:val="0"/>
          <w:i w:val="0"/>
          <w:iCs w:val="0"/>
          <w:sz w:val="21"/>
          <w:szCs w:val="22"/>
        </w:rPr>
        <w:tab/>
      </w:r>
      <w:r>
        <w:rPr>
          <w:rStyle w:val="22"/>
        </w:rPr>
        <w:t>Initial and retransmission performance</w:t>
      </w:r>
      <w:r>
        <w:rPr>
          <w:rStyle w:val="22"/>
        </w:rPr>
        <w:fldChar w:fldCharType="end"/>
      </w:r>
    </w:p>
    <w:p>
      <w:pPr>
        <w:pStyle w:val="13"/>
        <w:tabs>
          <w:tab w:val="left" w:pos="1260"/>
        </w:tabs>
        <w:spacing w:before="120" w:after="120"/>
        <w:jc w:val="both"/>
        <w:rPr>
          <w:rFonts w:asciiTheme="minorHAnsi" w:hAnsiTheme="minorHAnsi" w:eastAsiaTheme="minorEastAsia" w:cstheme="minorBidi"/>
          <w:b w:val="0"/>
          <w:bCs w:val="0"/>
          <w:i w:val="0"/>
          <w:iCs w:val="0"/>
          <w:sz w:val="21"/>
          <w:szCs w:val="22"/>
        </w:rPr>
      </w:pPr>
      <w:r>
        <w:fldChar w:fldCharType="begin"/>
      </w:r>
      <w:r>
        <w:instrText xml:space="preserve"> HYPERLINK \l "_Toc213435944" </w:instrText>
      </w:r>
      <w:r>
        <w:fldChar w:fldCharType="separate"/>
      </w:r>
      <w:r>
        <w:rPr>
          <w:rStyle w:val="22"/>
        </w:rPr>
        <w:t>Proposal 4:</w:t>
      </w:r>
      <w:r>
        <w:rPr>
          <w:rFonts w:asciiTheme="minorHAnsi" w:hAnsiTheme="minorHAnsi" w:eastAsiaTheme="minorEastAsia" w:cstheme="minorBidi"/>
          <w:b w:val="0"/>
          <w:bCs w:val="0"/>
          <w:i w:val="0"/>
          <w:iCs w:val="0"/>
          <w:sz w:val="21"/>
          <w:szCs w:val="22"/>
        </w:rPr>
        <w:tab/>
      </w:r>
      <w:r>
        <w:rPr>
          <w:rStyle w:val="22"/>
        </w:rPr>
        <w:t>I-modulation (I-π/2-BPSK/QPSK/QAM) scheme should be considered to reduce PAPR for DFT-s-OFDM.</w:t>
      </w:r>
      <w:r>
        <w:rPr>
          <w:rStyle w:val="22"/>
        </w:rPr>
        <w:fldChar w:fldCharType="end"/>
      </w:r>
    </w:p>
    <w:p>
      <w:pPr>
        <w:pStyle w:val="2"/>
        <w:spacing w:before="120" w:after="120"/>
        <w:ind w:left="0"/>
        <w:jc w:val="both"/>
        <w:rPr>
          <w:rFonts w:eastAsia="宋体"/>
        </w:rPr>
      </w:pPr>
      <w:r>
        <w:fldChar w:fldCharType="end"/>
      </w:r>
      <w:r>
        <w:rPr>
          <w:rFonts w:hint="eastAsia" w:eastAsia="宋体"/>
        </w:rPr>
        <w:t>Reference</w:t>
      </w:r>
      <w:r>
        <w:rPr>
          <w:rFonts w:eastAsia="宋体"/>
        </w:rPr>
        <w:t>s</w:t>
      </w:r>
    </w:p>
    <w:p>
      <w:pPr>
        <w:pStyle w:val="31"/>
        <w:spacing w:before="120" w:after="120"/>
        <w:ind w:left="363" w:hanging="363"/>
      </w:pPr>
      <w:r>
        <w:t>Chair notes</w:t>
      </w:r>
      <w:bookmarkStart w:id="254" w:name="_Ref17440"/>
      <w:r>
        <w:t>,</w:t>
      </w:r>
      <w:r>
        <w:rPr>
          <w:rFonts w:hint="eastAsia"/>
        </w:rPr>
        <w:t xml:space="preserve"> 3GPP TSG RAN </w:t>
      </w:r>
      <w:r>
        <w:t>WG1</w:t>
      </w:r>
      <w:r>
        <w:rPr>
          <w:rFonts w:hint="eastAsia"/>
        </w:rPr>
        <w:t xml:space="preserve"> #1</w:t>
      </w:r>
      <w:r>
        <w:t>22bis</w:t>
      </w:r>
      <w:r>
        <w:rPr>
          <w:rFonts w:hint="eastAsia"/>
        </w:rPr>
        <w:t xml:space="preserve">, </w:t>
      </w:r>
      <w:r>
        <w:t>Prague</w:t>
      </w:r>
      <w:r>
        <w:rPr>
          <w:rFonts w:hint="eastAsia"/>
        </w:rPr>
        <w:t xml:space="preserve">, </w:t>
      </w:r>
      <w:r>
        <w:t>Czech</w:t>
      </w:r>
      <w:r>
        <w:rPr>
          <w:rFonts w:hint="eastAsia"/>
        </w:rPr>
        <w:t xml:space="preserve">, </w:t>
      </w:r>
      <w:r>
        <w:t>Oct</w:t>
      </w:r>
      <w:r>
        <w:rPr>
          <w:rFonts w:hint="eastAsia"/>
        </w:rPr>
        <w:t xml:space="preserve"> </w:t>
      </w:r>
      <w:r>
        <w:t>13th – 17th</w:t>
      </w:r>
      <w:r>
        <w:rPr>
          <w:rFonts w:hint="eastAsia"/>
        </w:rPr>
        <w:t>, 2025.</w:t>
      </w:r>
      <w:bookmarkEnd w:id="254"/>
      <w:bookmarkStart w:id="255" w:name="_Ref18331"/>
    </w:p>
    <w:p>
      <w:pPr>
        <w:pStyle w:val="31"/>
        <w:spacing w:before="120" w:after="120"/>
        <w:ind w:left="363" w:hanging="363"/>
      </w:pPr>
      <w:r>
        <w:rPr>
          <w:rFonts w:hint="eastAsia"/>
        </w:rPr>
        <w:t>R</w:t>
      </w:r>
      <w:r>
        <w:t xml:space="preserve">1-2508089, </w:t>
      </w:r>
      <w:r>
        <w:rPr>
          <w:bCs/>
        </w:rPr>
        <w:t xml:space="preserve">FL summary #3 on modulation, joint channel coding and modulation, Moderator (Qualcomm Incorporated), </w:t>
      </w:r>
      <w:r>
        <w:rPr>
          <w:rFonts w:hint="eastAsia"/>
        </w:rPr>
        <w:t xml:space="preserve">3GPP TSG RAN </w:t>
      </w:r>
      <w:r>
        <w:t>WG1</w:t>
      </w:r>
      <w:r>
        <w:rPr>
          <w:rFonts w:hint="eastAsia"/>
        </w:rPr>
        <w:t xml:space="preserve"> #1</w:t>
      </w:r>
      <w:r>
        <w:t>22bis</w:t>
      </w:r>
      <w:r>
        <w:rPr>
          <w:rFonts w:hint="eastAsia"/>
        </w:rPr>
        <w:t xml:space="preserve">, </w:t>
      </w:r>
      <w:r>
        <w:t>Prague</w:t>
      </w:r>
      <w:r>
        <w:rPr>
          <w:rFonts w:hint="eastAsia"/>
        </w:rPr>
        <w:t xml:space="preserve">, </w:t>
      </w:r>
      <w:r>
        <w:t>Czech</w:t>
      </w:r>
      <w:r>
        <w:rPr>
          <w:rFonts w:hint="eastAsia"/>
        </w:rPr>
        <w:t xml:space="preserve">, </w:t>
      </w:r>
      <w:r>
        <w:t>Oct</w:t>
      </w:r>
      <w:r>
        <w:rPr>
          <w:rFonts w:hint="eastAsia"/>
        </w:rPr>
        <w:t xml:space="preserve"> </w:t>
      </w:r>
      <w:r>
        <w:t>13th – 17th</w:t>
      </w:r>
      <w:r>
        <w:rPr>
          <w:rFonts w:hint="eastAsia"/>
        </w:rPr>
        <w:t>, 2025.</w:t>
      </w:r>
    </w:p>
    <w:p>
      <w:pPr>
        <w:pStyle w:val="31"/>
        <w:spacing w:before="120" w:after="120"/>
        <w:ind w:left="363" w:hanging="363"/>
      </w:pPr>
      <w:bookmarkStart w:id="256" w:name="_Ref25470"/>
      <w:r>
        <w:rPr>
          <w:rFonts w:hint="eastAsia"/>
        </w:rPr>
        <w:t>R1-080770,</w:t>
      </w:r>
      <w:r>
        <w:t xml:space="preserve"> </w:t>
      </w:r>
      <w:r>
        <w:rPr>
          <w:rFonts w:hint="eastAsia"/>
        </w:rPr>
        <w:t>MCS Table Design for eNB, 3GPP TSG-RAN WG1#52, Sorrento, Italy, February 11</w:t>
      </w:r>
      <w:r>
        <w:rPr>
          <w:rFonts w:eastAsia="Malgun Gothic"/>
          <w:szCs w:val="21"/>
          <w:vertAlign w:val="superscript"/>
          <w:lang w:eastAsia="ko-KR"/>
        </w:rPr>
        <w:t>th</w:t>
      </w:r>
      <w:r>
        <w:rPr>
          <w:rFonts w:eastAsia="MS Mincho"/>
          <w:szCs w:val="21"/>
          <w:lang w:eastAsia="ja-JP"/>
        </w:rPr>
        <w:t xml:space="preserve"> </w:t>
      </w:r>
      <w:r>
        <w:rPr>
          <w:szCs w:val="21"/>
        </w:rPr>
        <w:t xml:space="preserve">– </w:t>
      </w:r>
      <w:r>
        <w:rPr>
          <w:rFonts w:hint="eastAsia"/>
        </w:rPr>
        <w:t>15</w:t>
      </w:r>
      <w:r>
        <w:rPr>
          <w:rFonts w:eastAsia="Malgun Gothic"/>
          <w:szCs w:val="21"/>
          <w:vertAlign w:val="superscript"/>
          <w:lang w:eastAsia="ko-KR"/>
        </w:rPr>
        <w:t>th</w:t>
      </w:r>
      <w:r>
        <w:rPr>
          <w:rFonts w:hint="eastAsia"/>
        </w:rPr>
        <w:t>, 2008.</w:t>
      </w:r>
    </w:p>
    <w:p>
      <w:pPr>
        <w:pStyle w:val="31"/>
        <w:spacing w:before="120" w:after="120"/>
        <w:ind w:left="363" w:hanging="363"/>
      </w:pPr>
      <w:r>
        <w:rPr>
          <w:rFonts w:hint="eastAsia"/>
        </w:rPr>
        <w:t xml:space="preserve">ATSC, </w:t>
      </w:r>
      <w:r>
        <w:t>“</w:t>
      </w:r>
      <w:r>
        <w:rPr>
          <w:rFonts w:hint="eastAsia"/>
        </w:rPr>
        <w:t>ATSC Proposed Standard: Physical Layer Protocol (A/322),</w:t>
      </w:r>
      <w:r>
        <w:t>”</w:t>
      </w:r>
      <w:r>
        <w:rPr>
          <w:rFonts w:hint="eastAsia"/>
        </w:rPr>
        <w:t xml:space="preserve"> Advanced Television Systems Committee, no. S32-230r56, Febuary 2017.</w:t>
      </w:r>
      <w:bookmarkEnd w:id="256"/>
    </w:p>
    <w:p>
      <w:pPr>
        <w:pStyle w:val="31"/>
        <w:spacing w:before="120" w:after="120"/>
        <w:ind w:left="363" w:hanging="363"/>
      </w:pPr>
      <w:bookmarkStart w:id="257" w:name="_Ref25962"/>
      <w:r>
        <w:rPr>
          <w:rFonts w:hint="eastAsia"/>
        </w:rPr>
        <w:t>ETSI, "Digital Video Broadcasting (DVB); Second generation framing structure, channel coding and modulation systems for Broadcasting, Interactive Services, News Gathering and other broadband satellite applications; Part 1: DVB-S2,</w:t>
      </w:r>
      <w:r>
        <w:t>”</w:t>
      </w:r>
      <w:r>
        <w:rPr>
          <w:rFonts w:hint="eastAsia"/>
        </w:rPr>
        <w:t xml:space="preserve"> ETSI EN 302 30701, November 2014, version 1.4.1.</w:t>
      </w:r>
      <w:bookmarkEnd w:id="257"/>
    </w:p>
    <w:p>
      <w:pPr>
        <w:pStyle w:val="31"/>
        <w:spacing w:before="120" w:after="120"/>
        <w:ind w:left="363" w:hanging="363"/>
      </w:pPr>
      <w:bookmarkStart w:id="258" w:name="_Ref9859"/>
      <w:r>
        <w:rPr>
          <w:rFonts w:hint="eastAsia"/>
        </w:rPr>
        <w:t>3</w:t>
      </w:r>
      <w:r>
        <w:rPr>
          <w:rFonts w:hint="eastAsia"/>
          <w:szCs w:val="21"/>
        </w:rPr>
        <w:t>GP</w:t>
      </w:r>
      <w:r>
        <w:rPr>
          <w:szCs w:val="21"/>
        </w:rPr>
        <w:t>P, “Technical Specification Group Radio Access Network; NR; Multiplexing and channel coding (Release 19),”</w:t>
      </w:r>
      <w:r>
        <w:rPr>
          <w:rFonts w:hint="eastAsia"/>
          <w:szCs w:val="21"/>
        </w:rPr>
        <w:t xml:space="preserve"> 3rd Generation Partnership Project (3GPP), Technical Specification (TS) 38.212, June 2025, version 19.0.0.</w:t>
      </w:r>
      <w:bookmarkEnd w:id="258"/>
      <w:bookmarkStart w:id="259" w:name="_Ref29804"/>
    </w:p>
    <w:p>
      <w:pPr>
        <w:pStyle w:val="31"/>
        <w:spacing w:before="120" w:after="120"/>
        <w:ind w:left="363" w:hanging="363"/>
      </w:pPr>
      <w:bookmarkStart w:id="260" w:name="_Ref999"/>
      <w:r>
        <w:rPr>
          <w:rFonts w:hint="eastAsia"/>
        </w:rPr>
        <w:t xml:space="preserve">3GPP, </w:t>
      </w:r>
      <w:r>
        <w:t>“</w:t>
      </w:r>
      <w:r>
        <w:rPr>
          <w:rFonts w:hint="eastAsia"/>
        </w:rPr>
        <w:t>Technical Specification Group Radio Access Network; NR; Physical layer procedures for data (Release 19),</w:t>
      </w:r>
      <w:r>
        <w:t>”</w:t>
      </w:r>
      <w:r>
        <w:rPr>
          <w:rFonts w:hint="eastAsia"/>
        </w:rPr>
        <w:t xml:space="preserve"> </w:t>
      </w:r>
      <w:r>
        <w:rPr>
          <w:rFonts w:hint="eastAsia"/>
          <w:szCs w:val="21"/>
        </w:rPr>
        <w:t>3rd Generation Partnership Project (3GPP), Technical Specification (TS) 38.214, June 2025, version 19.0.0.</w:t>
      </w:r>
      <w:bookmarkEnd w:id="259"/>
      <w:bookmarkEnd w:id="260"/>
    </w:p>
    <w:p>
      <w:pPr>
        <w:pStyle w:val="31"/>
        <w:spacing w:before="120" w:after="120"/>
        <w:ind w:left="363" w:hanging="363"/>
        <w:rPr>
          <w:color w:val="auto"/>
          <w:u w:val="none"/>
        </w:rPr>
      </w:pPr>
      <w:r>
        <w:rPr>
          <w:color w:val="auto"/>
          <w:u w:val="none"/>
        </w:rPr>
        <w:fldChar w:fldCharType="begin"/>
      </w:r>
      <w:r>
        <w:rPr>
          <w:color w:val="auto"/>
          <w:u w:val="none"/>
        </w:rPr>
        <w:instrText xml:space="preserve"> HYPERLINK "https://en.wikipedia.org/wiki/Transistor_count." </w:instrText>
      </w:r>
      <w:r>
        <w:rPr>
          <w:color w:val="auto"/>
          <w:u w:val="none"/>
        </w:rPr>
        <w:fldChar w:fldCharType="separate"/>
      </w:r>
      <w:r>
        <w:rPr>
          <w:rStyle w:val="22"/>
          <w:rFonts w:hint="eastAsia"/>
          <w:color w:val="auto"/>
          <w:u w:val="none"/>
        </w:rPr>
        <w:t>https://en.wikipedia.org/wiki/Transistor_count</w:t>
      </w:r>
      <w:r>
        <w:rPr>
          <w:rStyle w:val="22"/>
          <w:rFonts w:hint="eastAsia"/>
          <w:color w:val="auto"/>
          <w:u w:val="none"/>
        </w:rPr>
        <w:fldChar w:fldCharType="end"/>
      </w:r>
    </w:p>
    <w:p>
      <w:pPr>
        <w:pStyle w:val="31"/>
        <w:spacing w:before="120" w:after="120"/>
        <w:ind w:left="363" w:hanging="363"/>
      </w:pPr>
      <w:bookmarkStart w:id="261" w:name="_Ref19656"/>
      <w:r>
        <w:rPr>
          <w:rFonts w:hint="eastAsia"/>
          <w:szCs w:val="21"/>
        </w:rPr>
        <w:t xml:space="preserve">R1-2506829, Discussion on channel coding for 6GR, 3GPP TSG RAN WG1 Meeting #122bis, </w:t>
      </w:r>
      <w:r>
        <w:rPr>
          <w:szCs w:val="21"/>
        </w:rPr>
        <w:t xml:space="preserve">Prague, Czech, October </w:t>
      </w:r>
      <w:r>
        <w:rPr>
          <w:rFonts w:eastAsia="等线"/>
          <w:szCs w:val="21"/>
        </w:rPr>
        <w:t>13</w:t>
      </w:r>
      <w:r>
        <w:rPr>
          <w:rFonts w:eastAsia="Malgun Gothic"/>
          <w:szCs w:val="21"/>
          <w:vertAlign w:val="superscript"/>
          <w:lang w:eastAsia="ko-KR"/>
        </w:rPr>
        <w:t>th</w:t>
      </w:r>
      <w:r>
        <w:rPr>
          <w:rFonts w:eastAsia="MS Mincho"/>
          <w:szCs w:val="21"/>
          <w:lang w:eastAsia="ja-JP"/>
        </w:rPr>
        <w:t xml:space="preserve"> </w:t>
      </w:r>
      <w:r>
        <w:rPr>
          <w:szCs w:val="21"/>
        </w:rPr>
        <w:t xml:space="preserve">– </w:t>
      </w:r>
      <w:r>
        <w:rPr>
          <w:rFonts w:eastAsia="等线"/>
          <w:szCs w:val="21"/>
        </w:rPr>
        <w:t>17</w:t>
      </w:r>
      <w:r>
        <w:rPr>
          <w:szCs w:val="21"/>
          <w:vertAlign w:val="superscript"/>
        </w:rPr>
        <w:t>th</w:t>
      </w:r>
      <w:r>
        <w:rPr>
          <w:rFonts w:eastAsia="MS Mincho"/>
          <w:szCs w:val="21"/>
          <w:lang w:eastAsia="ja-JP"/>
        </w:rPr>
        <w:t>, 2025</w:t>
      </w:r>
      <w:r>
        <w:rPr>
          <w:rFonts w:hint="eastAsia"/>
          <w:szCs w:val="21"/>
        </w:rPr>
        <w:t>.</w:t>
      </w:r>
    </w:p>
    <w:p>
      <w:pPr>
        <w:pStyle w:val="31"/>
        <w:spacing w:before="120" w:after="120"/>
        <w:ind w:left="363" w:hanging="363"/>
      </w:pPr>
      <w:r>
        <w:rPr>
          <w:rFonts w:hint="eastAsia"/>
        </w:rPr>
        <w:t xml:space="preserve">G. Bocherer, F. Steiner, and P. Schulte, </w:t>
      </w:r>
      <w:r>
        <w:t>“</w:t>
      </w:r>
      <w:r>
        <w:rPr>
          <w:rFonts w:hint="eastAsia"/>
        </w:rPr>
        <w:t>Bandwidth efficient and rate-matched low-density parity-check coded modulation,</w:t>
      </w:r>
      <w:r>
        <w:t>”</w:t>
      </w:r>
      <w:r>
        <w:rPr>
          <w:rFonts w:hint="eastAsia"/>
        </w:rPr>
        <w:t xml:space="preserve"> IEEE Trans. Commun., vol. 63, no. 12, pp. 4651–4665, December 2015.</w:t>
      </w:r>
      <w:bookmarkEnd w:id="261"/>
    </w:p>
    <w:p>
      <w:pPr>
        <w:pStyle w:val="31"/>
        <w:spacing w:before="120" w:after="120"/>
        <w:ind w:left="363" w:hanging="363"/>
      </w:pPr>
      <w:bookmarkStart w:id="262" w:name="_Ref8193"/>
      <w:bookmarkStart w:id="263" w:name="_Ref27446"/>
      <w:r>
        <w:rPr>
          <w:rFonts w:hint="eastAsia"/>
        </w:rPr>
        <w:t xml:space="preserve">R. Laroia, N. Farvardin, and S. A. Tretter, </w:t>
      </w:r>
      <w:r>
        <w:t>“</w:t>
      </w:r>
      <w:r>
        <w:rPr>
          <w:rFonts w:hint="eastAsia"/>
        </w:rPr>
        <w:t>On Optimal Shaping of Multidimensional Constellations,</w:t>
      </w:r>
      <w:r>
        <w:t>”</w:t>
      </w:r>
      <w:r>
        <w:rPr>
          <w:rFonts w:hint="eastAsia"/>
        </w:rPr>
        <w:t xml:space="preserve"> IEEE Trans. Inf. Theory, vol. 40, no. 4, pp. 1044–1056, July 1994.</w:t>
      </w:r>
      <w:bookmarkEnd w:id="262"/>
    </w:p>
    <w:p>
      <w:pPr>
        <w:pStyle w:val="31"/>
        <w:spacing w:before="120" w:after="120"/>
        <w:ind w:left="363" w:hanging="363"/>
      </w:pPr>
      <w:bookmarkStart w:id="264" w:name="_Ref20528"/>
      <w:r>
        <w:rPr>
          <w:rFonts w:hint="eastAsia"/>
        </w:rPr>
        <w:t xml:space="preserve">P. Schulte and G. Bocherer, </w:t>
      </w:r>
      <w:r>
        <w:t>“</w:t>
      </w:r>
      <w:r>
        <w:rPr>
          <w:rFonts w:hint="eastAsia"/>
        </w:rPr>
        <w:t>Constant composition distribution matching,</w:t>
      </w:r>
      <w:r>
        <w:t>”</w:t>
      </w:r>
      <w:r>
        <w:rPr>
          <w:rFonts w:hint="eastAsia"/>
        </w:rPr>
        <w:t xml:space="preserve"> IEEE Trans. Inf. Theory, vol. 62, no. 1, January 2016.</w:t>
      </w:r>
      <w:bookmarkEnd w:id="263"/>
      <w:bookmarkEnd w:id="264"/>
    </w:p>
    <w:p>
      <w:pPr>
        <w:pStyle w:val="31"/>
        <w:spacing w:before="120" w:after="120"/>
        <w:ind w:left="363" w:hanging="363"/>
      </w:pPr>
      <w:bookmarkStart w:id="265" w:name="_Ref30671"/>
      <w:r>
        <w:rPr>
          <w:rFonts w:hint="eastAsia"/>
        </w:rPr>
        <w:t xml:space="preserve">Y. C. Gultekin, W. J. van Houtum, A. G. C. Koppelaar, and F. M. J. Willems, </w:t>
      </w:r>
      <w:r>
        <w:t>“</w:t>
      </w:r>
      <w:r>
        <w:rPr>
          <w:rFonts w:hint="eastAsia"/>
        </w:rPr>
        <w:t>Enumerative sphere shaping for wireless communications with short packets,</w:t>
      </w:r>
      <w:r>
        <w:t>”</w:t>
      </w:r>
      <w:r>
        <w:rPr>
          <w:rFonts w:hint="eastAsia"/>
        </w:rPr>
        <w:t xml:space="preserve"> IEEE Trans. Wireless Commun., vol. 19, no. 2, pp. 1098–1112, 2020.</w:t>
      </w:r>
      <w:bookmarkEnd w:id="265"/>
    </w:p>
    <w:p>
      <w:pPr>
        <w:pStyle w:val="31"/>
        <w:spacing w:before="120" w:after="120"/>
        <w:ind w:left="363" w:hanging="363"/>
      </w:pPr>
      <w:r>
        <w:rPr>
          <w:rFonts w:hint="eastAsia"/>
        </w:rPr>
        <w:t xml:space="preserve">Y. Jia, L. Wu, C. Xu, W. Liu, H. Xu and T. Richardson, </w:t>
      </w:r>
      <w:r>
        <w:t>“</w:t>
      </w:r>
      <w:r>
        <w:rPr>
          <w:rFonts w:hint="eastAsia"/>
        </w:rPr>
        <w:t>A simplified soft-demapping scheme for probabilistic constellation shaping,</w:t>
      </w:r>
      <w:r>
        <w:t>”</w:t>
      </w:r>
      <w:r>
        <w:rPr>
          <w:rFonts w:hint="eastAsia"/>
        </w:rPr>
        <w:t xml:space="preserve"> 2024 IEEE International Conference on Communications Workshops (ICC Workshops), Denver, CO, USA, 2024, pp. 1858-1863.</w:t>
      </w:r>
    </w:p>
    <w:p>
      <w:pPr>
        <w:pStyle w:val="31"/>
        <w:spacing w:before="120" w:after="120"/>
        <w:ind w:left="363" w:hanging="363"/>
      </w:pPr>
      <w:r>
        <w:rPr>
          <w:rFonts w:hint="eastAsia"/>
        </w:rPr>
        <w:t xml:space="preserve"> </w:t>
      </w:r>
      <w:r>
        <w:t>Dengsheng Lin, Yue Xiao, Shaoqian Li, “Low Complexity Soft Decision Technique for Gray Mapping Modulation,” Wireless Pers. Commun., vol. 52, pp. 383–392, 2008.</w:t>
      </w:r>
    </w:p>
    <w:p>
      <w:pPr>
        <w:pStyle w:val="31"/>
        <w:spacing w:before="120" w:after="120"/>
        <w:ind w:left="363" w:hanging="363"/>
      </w:pPr>
      <w:r>
        <w:t xml:space="preserve"> </w:t>
      </w:r>
      <w:r>
        <w:rPr>
          <w:rFonts w:hint="eastAsia"/>
        </w:rPr>
        <w:t>R1-2506830</w:t>
      </w:r>
      <w:r>
        <w:t>,</w:t>
      </w:r>
      <w:r>
        <w:rPr>
          <w:rFonts w:hint="eastAsia"/>
        </w:rPr>
        <w:t xml:space="preserve"> Discussion on modulation for 6GR, ZTE</w:t>
      </w:r>
      <w:r>
        <w:t xml:space="preserve"> Corporation</w:t>
      </w:r>
      <w:r>
        <w:rPr>
          <w:rFonts w:hint="eastAsia"/>
        </w:rPr>
        <w:t>, Sanechips</w:t>
      </w:r>
      <w:r>
        <w:t xml:space="preserve">, </w:t>
      </w:r>
      <w:r>
        <w:rPr>
          <w:rFonts w:hint="eastAsia"/>
        </w:rPr>
        <w:t>RAN1#122bis</w:t>
      </w:r>
      <w:r>
        <w:t xml:space="preserve">, </w:t>
      </w:r>
      <w:r>
        <w:rPr>
          <w:rFonts w:hint="eastAsia"/>
        </w:rPr>
        <w:t xml:space="preserve">3GPP TSG RAN </w:t>
      </w:r>
      <w:r>
        <w:t>WG1</w:t>
      </w:r>
      <w:r>
        <w:rPr>
          <w:rFonts w:hint="eastAsia"/>
        </w:rPr>
        <w:t xml:space="preserve"> #1</w:t>
      </w:r>
      <w:r>
        <w:t>22bis</w:t>
      </w:r>
      <w:r>
        <w:rPr>
          <w:rFonts w:hint="eastAsia"/>
        </w:rPr>
        <w:t xml:space="preserve">, </w:t>
      </w:r>
      <w:r>
        <w:t>Prague</w:t>
      </w:r>
      <w:r>
        <w:rPr>
          <w:rFonts w:hint="eastAsia"/>
        </w:rPr>
        <w:t xml:space="preserve">, </w:t>
      </w:r>
      <w:r>
        <w:t>Czech</w:t>
      </w:r>
      <w:r>
        <w:rPr>
          <w:rFonts w:hint="eastAsia"/>
        </w:rPr>
        <w:t xml:space="preserve">, </w:t>
      </w:r>
      <w:r>
        <w:t>Oct</w:t>
      </w:r>
      <w:r>
        <w:rPr>
          <w:rFonts w:hint="eastAsia"/>
        </w:rPr>
        <w:t xml:space="preserve"> </w:t>
      </w:r>
      <w:r>
        <w:t>13th – 17th</w:t>
      </w:r>
      <w:r>
        <w:rPr>
          <w:rFonts w:hint="eastAsia"/>
        </w:rPr>
        <w:t>, 2025</w:t>
      </w:r>
      <w:r>
        <w:t>.</w:t>
      </w:r>
    </w:p>
    <w:bookmarkEnd w:id="255"/>
    <w:p>
      <w:pPr>
        <w:pStyle w:val="2"/>
        <w:numPr>
          <w:ilvl w:val="0"/>
          <w:numId w:val="0"/>
        </w:numPr>
        <w:spacing w:before="120" w:after="120"/>
      </w:pPr>
      <w:bookmarkStart w:id="266" w:name="_Ref5798"/>
      <w:bookmarkEnd w:id="266"/>
      <w:r>
        <w:rPr>
          <w:rFonts w:hint="eastAsia" w:eastAsia="宋体"/>
        </w:rPr>
        <w:t>Appendix</w:t>
      </w:r>
    </w:p>
    <w:p>
      <w:pPr>
        <w:spacing w:before="120" w:after="120"/>
        <w:jc w:val="center"/>
      </w:pPr>
      <w:r>
        <w:rPr>
          <w:rFonts w:hint="eastAsia"/>
        </w:rPr>
        <w:t>Table A-1 Simulation setting for AWGN channels</w:t>
      </w:r>
    </w:p>
    <w:tbl>
      <w:tblPr>
        <w:tblStyle w:val="16"/>
        <w:tblW w:w="8624" w:type="dxa"/>
        <w:jc w:val="center"/>
        <w:tblLayout w:type="autofit"/>
        <w:tblCellMar>
          <w:top w:w="0" w:type="dxa"/>
          <w:left w:w="0" w:type="dxa"/>
          <w:bottom w:w="0" w:type="dxa"/>
          <w:right w:w="0" w:type="dxa"/>
        </w:tblCellMar>
      </w:tblPr>
      <w:tblGrid>
        <w:gridCol w:w="3721"/>
        <w:gridCol w:w="4903"/>
      </w:tblGrid>
      <w:tr>
        <w:tblPrEx>
          <w:tblCellMar>
            <w:top w:w="0" w:type="dxa"/>
            <w:left w:w="0" w:type="dxa"/>
            <w:bottom w:w="0" w:type="dxa"/>
            <w:right w:w="0" w:type="dxa"/>
          </w:tblCellMar>
        </w:tblPrEx>
        <w:trPr>
          <w:trHeight w:val="177" w:hRule="atLeast"/>
          <w:jc w:val="center"/>
        </w:trPr>
        <w:tc>
          <w:tcPr>
            <w:tcW w:w="3721" w:type="dxa"/>
            <w:tcBorders>
              <w:top w:val="double" w:color="000000" w:sz="6" w:space="0"/>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b/>
                <w:bCs/>
                <w:caps/>
                <w:sz w:val="18"/>
                <w:szCs w:val="18"/>
              </w:rPr>
            </w:pPr>
            <w:r>
              <w:rPr>
                <w:b/>
                <w:bCs/>
                <w:caps/>
                <w:sz w:val="18"/>
                <w:szCs w:val="18"/>
              </w:rPr>
              <w:t>Parameter</w:t>
            </w:r>
          </w:p>
        </w:tc>
        <w:tc>
          <w:tcPr>
            <w:tcW w:w="4903" w:type="dxa"/>
            <w:tcBorders>
              <w:top w:val="double" w:color="000000" w:sz="6" w:space="0"/>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b/>
                <w:bCs/>
                <w:caps/>
                <w:sz w:val="18"/>
                <w:szCs w:val="18"/>
              </w:rPr>
            </w:pPr>
            <w:r>
              <w:rPr>
                <w:b/>
                <w:bCs/>
                <w:caps/>
                <w:sz w:val="18"/>
                <w:szCs w:val="18"/>
              </w:rPr>
              <w:t>Value</w:t>
            </w:r>
          </w:p>
        </w:tc>
      </w:tr>
      <w:tr>
        <w:tblPrEx>
          <w:tblCellMar>
            <w:top w:w="0" w:type="dxa"/>
            <w:left w:w="0" w:type="dxa"/>
            <w:bottom w:w="0" w:type="dxa"/>
            <w:right w:w="0" w:type="dxa"/>
          </w:tblCellMar>
        </w:tblPrEx>
        <w:trPr>
          <w:trHeight w:val="119"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Transport block size (TBS)</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numPr>
                <w:ilvl w:val="255"/>
                <w:numId w:val="0"/>
              </w:numPr>
              <w:snapToGrid w:val="0"/>
              <w:spacing w:beforeLines="0" w:after="0" w:afterLines="0" w:line="240" w:lineRule="auto"/>
              <w:rPr>
                <w:sz w:val="18"/>
                <w:szCs w:val="18"/>
              </w:rPr>
            </w:pPr>
            <w:r>
              <w:rPr>
                <w:rFonts w:hint="eastAsia"/>
                <w:sz w:val="18"/>
                <w:szCs w:val="18"/>
              </w:rPr>
              <w:t>24, 48, 104, 240, or 8424</w:t>
            </w:r>
          </w:p>
        </w:tc>
      </w:tr>
      <w:tr>
        <w:tblPrEx>
          <w:tblCellMar>
            <w:top w:w="0" w:type="dxa"/>
            <w:left w:w="0" w:type="dxa"/>
            <w:bottom w:w="0" w:type="dxa"/>
            <w:right w:w="0" w:type="dxa"/>
          </w:tblCellMar>
        </w:tblPrEx>
        <w:trPr>
          <w:trHeight w:val="6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Number of cyclic redundancy check (CRC) bits (Lcrc)</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16 for TBS = 24, 48, 104, 240; 24 for TBS = 8424</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CRC polynomial</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i/>
                <w:iCs/>
                <w:sz w:val="18"/>
                <w:szCs w:val="18"/>
              </w:rPr>
              <w:t>g</w:t>
            </w:r>
            <w:r>
              <w:rPr>
                <w:rFonts w:hint="eastAsia"/>
                <w:sz w:val="18"/>
                <w:szCs w:val="18"/>
                <w:vertAlign w:val="subscript"/>
              </w:rPr>
              <w:t>CRC16</w:t>
            </w:r>
            <w:r>
              <w:rPr>
                <w:rFonts w:hint="eastAsia"/>
                <w:sz w:val="18"/>
                <w:szCs w:val="18"/>
              </w:rPr>
              <w:t>(</w:t>
            </w:r>
            <w:r>
              <w:rPr>
                <w:rFonts w:hint="eastAsia"/>
                <w:i/>
                <w:iCs/>
                <w:sz w:val="18"/>
                <w:szCs w:val="18"/>
              </w:rPr>
              <w:t>D</w:t>
            </w:r>
            <w:r>
              <w:rPr>
                <w:rFonts w:hint="eastAsia"/>
                <w:sz w:val="18"/>
                <w:szCs w:val="18"/>
              </w:rPr>
              <w:t xml:space="preserve">) in TS38.212 for TBS = 24, 48, 104, 240; </w:t>
            </w:r>
            <w:r>
              <w:rPr>
                <w:rFonts w:hint="eastAsia"/>
                <w:i/>
                <w:iCs/>
                <w:sz w:val="18"/>
                <w:szCs w:val="18"/>
              </w:rPr>
              <w:t>g</w:t>
            </w:r>
            <w:r>
              <w:rPr>
                <w:rFonts w:hint="eastAsia"/>
                <w:sz w:val="18"/>
                <w:szCs w:val="18"/>
                <w:vertAlign w:val="subscript"/>
              </w:rPr>
              <w:t>CRC24A</w:t>
            </w:r>
            <w:r>
              <w:rPr>
                <w:rFonts w:hint="eastAsia"/>
                <w:sz w:val="18"/>
                <w:szCs w:val="18"/>
              </w:rPr>
              <w:t>(</w:t>
            </w:r>
            <w:r>
              <w:rPr>
                <w:rFonts w:hint="eastAsia"/>
                <w:i/>
                <w:iCs/>
                <w:sz w:val="18"/>
                <w:szCs w:val="18"/>
              </w:rPr>
              <w:t>D</w:t>
            </w:r>
            <w:r>
              <w:rPr>
                <w:rFonts w:hint="eastAsia"/>
                <w:sz w:val="18"/>
                <w:szCs w:val="18"/>
              </w:rPr>
              <w:t>) in TS38.212 for TBS = 8424</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Modulation and coding scheme (MCS)</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 xml:space="preserve">MCS index 5 ~ 27 in </w:t>
            </w:r>
            <w:r>
              <w:rPr>
                <w:sz w:val="18"/>
                <w:szCs w:val="18"/>
              </w:rPr>
              <w:t>TS38.214 MCS table 2</w:t>
            </w:r>
            <w:r>
              <w:rPr>
                <w:rFonts w:hint="eastAsia"/>
                <w:sz w:val="18"/>
                <w:szCs w:val="18"/>
              </w:rPr>
              <w:t>, see Table A-2</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Distribution matching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CCDM</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0.0257 for MCS 19, 0.0192 for MCS 20, 0.0098 for MCS 24</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Channel coding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5G NR LDPC coding</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Redundancy version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0</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Bit selection &amp; Bit interleaving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tblPrEx>
          <w:tblCellMar>
            <w:top w:w="0" w:type="dxa"/>
            <w:left w:w="0" w:type="dxa"/>
            <w:bottom w:w="0" w:type="dxa"/>
            <w:right w:w="0" w:type="dxa"/>
          </w:tblCellMar>
        </w:tblPrEx>
        <w:trPr>
          <w:trHeight w:val="90"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Length after bit selection (</w:t>
            </w:r>
            <w:r>
              <w:rPr>
                <w:rFonts w:hint="eastAsia"/>
                <w:i/>
                <w:iCs/>
                <w:sz w:val="18"/>
                <w:szCs w:val="18"/>
              </w:rPr>
              <w:t>E</w:t>
            </w:r>
            <w:r>
              <w:rPr>
                <w:rFonts w:hint="eastAsia"/>
                <w:sz w:val="18"/>
                <w:szCs w:val="18"/>
              </w:rPr>
              <w:t>)</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ceil((TBS+Lcrc)/</w:t>
            </w:r>
            <w:r>
              <w:rPr>
                <w:rFonts w:hint="eastAsia"/>
                <w:i/>
                <w:iCs/>
                <w:sz w:val="18"/>
                <w:szCs w:val="18"/>
              </w:rPr>
              <w:t>R/Q</w:t>
            </w:r>
            <w:r>
              <w:rPr>
                <w:rFonts w:hint="eastAsia"/>
                <w:sz w:val="18"/>
                <w:szCs w:val="18"/>
                <w:vertAlign w:val="subscript"/>
              </w:rPr>
              <w:t>m</w:t>
            </w:r>
            <w:r>
              <w:rPr>
                <w:rFonts w:hint="eastAsia"/>
                <w:sz w:val="18"/>
                <w:szCs w:val="18"/>
              </w:rPr>
              <w:t>)</w:t>
            </w:r>
            <w:r>
              <w:rPr>
                <w:sz w:val="18"/>
                <w:szCs w:val="18"/>
              </w:rPr>
              <w:t>*</w:t>
            </w:r>
            <w:r>
              <w:rPr>
                <w:rFonts w:hint="eastAsia"/>
                <w:i/>
                <w:iCs/>
                <w:sz w:val="18"/>
                <w:szCs w:val="18"/>
              </w:rPr>
              <w:t>Q</w:t>
            </w:r>
            <w:r>
              <w:rPr>
                <w:rFonts w:hint="eastAsia"/>
                <w:sz w:val="18"/>
                <w:szCs w:val="18"/>
                <w:vertAlign w:val="subscript"/>
              </w:rPr>
              <w:t>m</w:t>
            </w:r>
            <w:r>
              <w:rPr>
                <w:rFonts w:hint="eastAsia"/>
                <w:sz w:val="18"/>
                <w:szCs w:val="18"/>
              </w:rPr>
              <w:t xml:space="preserve">, </w:t>
            </w:r>
            <w:r>
              <w:rPr>
                <w:rFonts w:hint="eastAsia"/>
                <w:i/>
                <w:iCs/>
                <w:sz w:val="18"/>
                <w:szCs w:val="18"/>
              </w:rPr>
              <w:t>R</w:t>
            </w:r>
            <w:r>
              <w:rPr>
                <w:rFonts w:hint="eastAsia"/>
                <w:sz w:val="18"/>
                <w:szCs w:val="18"/>
              </w:rPr>
              <w:t xml:space="preserve"> and </w:t>
            </w:r>
            <w:r>
              <w:rPr>
                <w:rFonts w:hint="eastAsia"/>
                <w:i/>
                <w:iCs/>
                <w:sz w:val="18"/>
                <w:szCs w:val="18"/>
              </w:rPr>
              <w:t>Q</w:t>
            </w:r>
            <w:r>
              <w:rPr>
                <w:rFonts w:hint="eastAsia"/>
                <w:sz w:val="18"/>
                <w:szCs w:val="18"/>
                <w:vertAlign w:val="subscript"/>
              </w:rPr>
              <w:t>m</w:t>
            </w:r>
            <w:r>
              <w:rPr>
                <w:rFonts w:hint="eastAsia"/>
                <w:sz w:val="18"/>
                <w:szCs w:val="18"/>
              </w:rPr>
              <w:t xml:space="preserve"> are target code rate and modulation order indicated by MCS index in Table A-2, respectively</w:t>
            </w:r>
          </w:p>
        </w:tc>
      </w:tr>
      <w:tr>
        <w:tblPrEx>
          <w:tblCellMar>
            <w:top w:w="0" w:type="dxa"/>
            <w:left w:w="0" w:type="dxa"/>
            <w:bottom w:w="0" w:type="dxa"/>
            <w:right w:w="0" w:type="dxa"/>
          </w:tblCellMar>
        </w:tblPrEx>
        <w:trPr>
          <w:trHeight w:val="5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Modulation constellation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QAM or NUC with modulation order indicated by the MCS index</w:t>
            </w:r>
          </w:p>
        </w:tc>
      </w:tr>
      <w:tr>
        <w:tblPrEx>
          <w:tblCellMar>
            <w:top w:w="0" w:type="dxa"/>
            <w:left w:w="0" w:type="dxa"/>
            <w:bottom w:w="0" w:type="dxa"/>
            <w:right w:w="0" w:type="dxa"/>
          </w:tblCellMar>
        </w:tblPrEx>
        <w:trPr>
          <w:trHeight w:val="87"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Maximum number of transmissions</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u w:val="single"/>
              </w:rPr>
            </w:pPr>
            <w:r>
              <w:rPr>
                <w:rFonts w:hint="eastAsia"/>
                <w:sz w:val="18"/>
                <w:szCs w:val="18"/>
              </w:rPr>
              <w:t>1 (including initial transmission)</w:t>
            </w:r>
          </w:p>
        </w:tc>
      </w:tr>
      <w:tr>
        <w:tblPrEx>
          <w:tblCellMar>
            <w:top w:w="0" w:type="dxa"/>
            <w:left w:w="0" w:type="dxa"/>
            <w:bottom w:w="0" w:type="dxa"/>
            <w:right w:w="0" w:type="dxa"/>
          </w:tblCellMar>
        </w:tblPrEx>
        <w:trPr>
          <w:trHeight w:val="123"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Demodulation</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sz w:val="18"/>
                <w:szCs w:val="18"/>
              </w:rPr>
              <w:t xml:space="preserve">For QAM and NUC: </w:t>
            </w:r>
            <w:r>
              <w:rPr>
                <w:rFonts w:hint="eastAsia"/>
                <w:sz w:val="18"/>
                <w:szCs w:val="18"/>
              </w:rPr>
              <w:t xml:space="preserve">maximum </w:t>
            </w:r>
            <w:r>
              <w:rPr>
                <w:rFonts w:hint="eastAsia"/>
                <w:i/>
                <w:iCs/>
                <w:sz w:val="18"/>
                <w:szCs w:val="18"/>
              </w:rPr>
              <w:t>a posterior</w:t>
            </w:r>
            <w:r>
              <w:rPr>
                <w:rFonts w:hint="eastAsia"/>
                <w:sz w:val="18"/>
                <w:szCs w:val="18"/>
              </w:rPr>
              <w:t xml:space="preserve"> (MAP) algorithm</w:t>
            </w:r>
          </w:p>
          <w:p>
            <w:pPr>
              <w:snapToGrid w:val="0"/>
              <w:spacing w:beforeLines="0" w:after="0" w:afterLines="0" w:line="240" w:lineRule="auto"/>
              <w:rPr>
                <w:sz w:val="18"/>
                <w:szCs w:val="18"/>
              </w:rPr>
            </w:pPr>
            <w:r>
              <w:rPr>
                <w:rFonts w:hint="eastAsia"/>
                <w:sz w:val="18"/>
                <w:szCs w:val="18"/>
              </w:rPr>
              <w:t>F</w:t>
            </w:r>
            <w:r>
              <w:rPr>
                <w:sz w:val="18"/>
                <w:szCs w:val="18"/>
              </w:rPr>
              <w:t>or PAS: [14]</w:t>
            </w:r>
          </w:p>
        </w:tc>
      </w:tr>
      <w:tr>
        <w:tblPrEx>
          <w:tblCellMar>
            <w:top w:w="0" w:type="dxa"/>
            <w:left w:w="0" w:type="dxa"/>
            <w:bottom w:w="0" w:type="dxa"/>
            <w:right w:w="0" w:type="dxa"/>
          </w:tblCellMar>
        </w:tblPrEx>
        <w:trPr>
          <w:trHeight w:val="68" w:hRule="atLeast"/>
          <w:jc w:val="center"/>
        </w:trPr>
        <w:tc>
          <w:tcPr>
            <w:tcW w:w="3721" w:type="dxa"/>
            <w:tcBorders>
              <w:top w:val="nil"/>
              <w:left w:val="double" w:color="000000" w:sz="6" w:space="0"/>
              <w:bottom w:val="single" w:color="000000" w:sz="8" w:space="0"/>
              <w:right w:val="single" w:color="000000" w:sz="8" w:space="0"/>
            </w:tcBorders>
            <w:tcMar>
              <w:top w:w="0" w:type="dxa"/>
              <w:left w:w="108" w:type="dxa"/>
              <w:bottom w:w="0" w:type="dxa"/>
              <w:right w:w="108" w:type="dxa"/>
            </w:tcMar>
          </w:tcPr>
          <w:p>
            <w:pPr>
              <w:spacing w:beforeLines="0" w:after="0" w:afterLines="0" w:line="240" w:lineRule="auto"/>
              <w:rPr>
                <w:sz w:val="18"/>
                <w:szCs w:val="18"/>
              </w:rPr>
            </w:pPr>
            <w:r>
              <w:rPr>
                <w:sz w:val="18"/>
                <w:szCs w:val="18"/>
              </w:rPr>
              <w:t>Channel decoding</w:t>
            </w:r>
          </w:p>
        </w:tc>
        <w:tc>
          <w:tcPr>
            <w:tcW w:w="4903"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layered belief propagation (LBP)</w:t>
            </w:r>
            <w:r>
              <w:rPr>
                <w:sz w:val="18"/>
                <w:szCs w:val="18"/>
              </w:rPr>
              <w:t xml:space="preserve"> algorithm with 25 iterations</w:t>
            </w:r>
          </w:p>
        </w:tc>
      </w:tr>
      <w:tr>
        <w:tblPrEx>
          <w:tblCellMar>
            <w:top w:w="0" w:type="dxa"/>
            <w:left w:w="0" w:type="dxa"/>
            <w:bottom w:w="0" w:type="dxa"/>
            <w:right w:w="0" w:type="dxa"/>
          </w:tblCellMar>
        </w:tblPrEx>
        <w:trPr>
          <w:trHeight w:val="93" w:hRule="atLeast"/>
          <w:jc w:val="center"/>
        </w:trPr>
        <w:tc>
          <w:tcPr>
            <w:tcW w:w="3721" w:type="dxa"/>
            <w:tcBorders>
              <w:top w:val="single" w:color="000000" w:sz="4" w:space="0"/>
              <w:left w:val="double" w:color="000000" w:sz="6" w:space="0"/>
              <w:bottom w:val="double" w:color="000000" w:sz="6"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r>
              <w:rPr>
                <w:sz w:val="18"/>
                <w:szCs w:val="18"/>
              </w:rPr>
              <w:t>Metric</w:t>
            </w:r>
          </w:p>
        </w:tc>
        <w:tc>
          <w:tcPr>
            <w:tcW w:w="4903" w:type="dxa"/>
            <w:tcBorders>
              <w:top w:val="single" w:color="000000" w:sz="4" w:space="0"/>
              <w:left w:val="single" w:color="000000" w:sz="4" w:space="0"/>
              <w:bottom w:val="double" w:color="000000" w:sz="6"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pPr>
        <w:spacing w:before="120" w:after="120"/>
        <w:jc w:val="center"/>
      </w:pPr>
    </w:p>
    <w:p>
      <w:pPr>
        <w:spacing w:before="120" w:after="120"/>
        <w:jc w:val="center"/>
      </w:pPr>
    </w:p>
    <w:p>
      <w:pPr>
        <w:spacing w:before="120" w:after="120"/>
        <w:jc w:val="center"/>
      </w:pPr>
    </w:p>
    <w:p>
      <w:pPr>
        <w:spacing w:before="120" w:after="120"/>
      </w:pPr>
    </w:p>
    <w:p>
      <w:pPr>
        <w:spacing w:before="120" w:after="120"/>
        <w:jc w:val="center"/>
      </w:pPr>
      <w:r>
        <w:t xml:space="preserve">Table </w:t>
      </w:r>
      <w:r>
        <w:rPr>
          <w:rFonts w:hint="eastAsia"/>
        </w:rPr>
        <w:t xml:space="preserve">A-2 </w:t>
      </w:r>
      <w:r>
        <w:t>MCS index table 2 for PDSCH</w:t>
      </w:r>
    </w:p>
    <w:tbl>
      <w:tblPr>
        <w:tblStyle w:val="16"/>
        <w:tblW w:w="0" w:type="auto"/>
        <w:tblInd w:w="67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3"/>
        <w:gridCol w:w="2002"/>
        <w:gridCol w:w="2495"/>
        <w:gridCol w:w="1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double" w:color="auto" w:sz="4" w:space="0"/>
              <w:right w:val="double" w:color="auto" w:sz="4" w:space="0"/>
            </w:tcBorders>
            <w:shd w:val="clear" w:color="auto" w:fill="E0E0E0"/>
            <w:vAlign w:val="center"/>
          </w:tcPr>
          <w:p>
            <w:pPr>
              <w:pStyle w:val="42"/>
              <w:spacing w:beforeLines="0" w:after="0" w:afterLines="0" w:line="240" w:lineRule="auto"/>
              <w:rPr>
                <w:rFonts w:ascii="Times New Roman" w:hAnsi="Times New Roman"/>
                <w:bCs/>
                <w:color w:val="000000"/>
                <w:szCs w:val="18"/>
              </w:rPr>
            </w:pPr>
            <w:r>
              <w:rPr>
                <w:rFonts w:ascii="Times New Roman" w:hAnsi="Times New Roman"/>
                <w:bCs/>
                <w:color w:val="000000"/>
                <w:szCs w:val="18"/>
              </w:rPr>
              <w:t>MCS Index</w:t>
            </w:r>
            <w:r>
              <w:rPr>
                <w:rFonts w:hint="eastAsia" w:ascii="Times New Roman" w:hAnsi="Times New Roman"/>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color="auto" w:sz="4" w:space="0"/>
              <w:left w:val="double" w:color="auto" w:sz="4" w:space="0"/>
              <w:bottom w:val="double" w:color="auto" w:sz="4" w:space="0"/>
              <w:right w:val="single" w:color="auto" w:sz="4" w:space="0"/>
            </w:tcBorders>
            <w:shd w:val="clear" w:color="auto" w:fill="E0E0E0"/>
            <w:vAlign w:val="center"/>
          </w:tcPr>
          <w:p>
            <w:pPr>
              <w:pStyle w:val="42"/>
              <w:spacing w:beforeLines="0" w:after="0" w:afterLines="0" w:line="240" w:lineRule="auto"/>
              <w:rPr>
                <w:rFonts w:ascii="Times New Roman" w:hAnsi="Times New Roman"/>
                <w:bCs/>
                <w:color w:val="000000"/>
                <w:szCs w:val="18"/>
              </w:rPr>
            </w:pPr>
            <w:r>
              <w:rPr>
                <w:rFonts w:ascii="Times New Roman" w:hAnsi="Times New Roman"/>
                <w:bCs/>
                <w:color w:val="000000"/>
                <w:szCs w:val="18"/>
              </w:rPr>
              <w:t>Modulation Order</w:t>
            </w:r>
            <w:r>
              <w:rPr>
                <w:rFonts w:hint="eastAsia" w:ascii="Times New Roman" w:hAnsi="Times New Roman"/>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color="auto" w:sz="4" w:space="0"/>
              <w:left w:val="single" w:color="auto" w:sz="4" w:space="0"/>
              <w:bottom w:val="double" w:color="auto" w:sz="4" w:space="0"/>
              <w:right w:val="single" w:color="auto" w:sz="4" w:space="0"/>
            </w:tcBorders>
            <w:shd w:val="clear" w:color="auto" w:fill="E0E0E0"/>
            <w:vAlign w:val="center"/>
          </w:tcPr>
          <w:p>
            <w:pPr>
              <w:pStyle w:val="42"/>
              <w:spacing w:beforeLines="0" w:after="0" w:afterLines="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color="auto" w:sz="4" w:space="0"/>
              <w:left w:val="single" w:color="auto" w:sz="4" w:space="0"/>
              <w:bottom w:val="double" w:color="auto" w:sz="4" w:space="0"/>
              <w:right w:val="single" w:color="auto" w:sz="4" w:space="0"/>
            </w:tcBorders>
            <w:shd w:val="clear" w:color="auto" w:fill="E0E0E0"/>
          </w:tcPr>
          <w:p>
            <w:pPr>
              <w:pStyle w:val="42"/>
              <w:spacing w:beforeLines="0" w:after="0" w:afterLines="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hint="eastAsia" w:ascii="Times New Roman" w:hAnsi="Times New Roman"/>
                <w:bCs/>
                <w:color w:val="000000"/>
                <w:szCs w:val="18"/>
              </w:rPr>
              <w:t xml:space="preserve"> </w:t>
            </w:r>
            <w:r>
              <w:rPr>
                <w:rFonts w:ascii="Times New Roman" w:hAnsi="Times New Roman"/>
                <w:bCs/>
                <w:color w:val="000000"/>
                <w:szCs w:val="18"/>
                <w:lang w:val="en-GB"/>
              </w:rPr>
              <w:t>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doub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rPr>
            </w:pPr>
            <w:r>
              <w:rPr>
                <w:rFonts w:ascii="Times New Roman" w:hAnsi="Times New Roman"/>
                <w:b/>
                <w:color w:val="000000"/>
                <w:szCs w:val="18"/>
              </w:rPr>
              <w:t>0</w:t>
            </w:r>
          </w:p>
        </w:tc>
        <w:tc>
          <w:tcPr>
            <w:tcW w:w="2002" w:type="dxa"/>
            <w:tcBorders>
              <w:top w:val="doub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rPr>
            </w:pPr>
            <w:r>
              <w:rPr>
                <w:rFonts w:ascii="Times New Roman" w:hAnsi="Times New Roman"/>
                <w:color w:val="000000"/>
                <w:szCs w:val="18"/>
                <w:lang w:val="en-GB"/>
              </w:rPr>
              <w:t>2</w:t>
            </w:r>
          </w:p>
        </w:tc>
        <w:tc>
          <w:tcPr>
            <w:tcW w:w="2495" w:type="dxa"/>
            <w:tcBorders>
              <w:top w:val="doub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rPr>
            </w:pPr>
            <w:r>
              <w:rPr>
                <w:rFonts w:ascii="Times New Roman" w:hAnsi="Times New Roman"/>
                <w:color w:val="000000"/>
                <w:szCs w:val="18"/>
                <w:lang w:val="pt-BR"/>
              </w:rPr>
              <w:t>120</w:t>
            </w:r>
          </w:p>
        </w:tc>
        <w:tc>
          <w:tcPr>
            <w:tcW w:w="1707" w:type="dxa"/>
            <w:tcBorders>
              <w:top w:val="doub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rPr>
            </w:pPr>
            <w:r>
              <w:rPr>
                <w:rFonts w:ascii="Times New Roman" w:hAnsi="Times New Roman"/>
                <w:color w:val="000000"/>
                <w:szCs w:val="18"/>
                <w:lang w:val="en-GB"/>
              </w:rPr>
              <w:t>0.2344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rPr>
            </w:pPr>
            <w:r>
              <w:rPr>
                <w:rFonts w:ascii="Times New Roman" w:hAnsi="Times New Roman"/>
                <w:b/>
                <w:color w:val="000000"/>
                <w:szCs w:val="18"/>
              </w:rPr>
              <w:t>1</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rPr>
            </w:pPr>
            <w:r>
              <w:rPr>
                <w:rFonts w:ascii="Times New Roman" w:hAnsi="Times New Roman"/>
                <w:color w:val="000000"/>
                <w:szCs w:val="18"/>
                <w:lang w:val="pt-BR"/>
              </w:rPr>
              <w:t>193</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rPr>
            </w:pPr>
            <w:r>
              <w:rPr>
                <w:rFonts w:ascii="Times New Roman" w:hAnsi="Times New Roman"/>
                <w:color w:val="000000"/>
                <w:szCs w:val="18"/>
                <w:lang w:val="en-GB"/>
              </w:rPr>
              <w:t>0.3770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308</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0.6016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3</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449</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0.8770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4</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602</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1.1758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5</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378</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1.4766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6</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434</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1.6953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7</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490</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1.9141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8</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553</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2.1602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9</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2.4063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10</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658</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2.5703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2.7305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3.0293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3.3223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3.6094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3.9023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4.2129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4.5234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4.8164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5.1152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5.3320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5.5547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5.8906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6.2266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6.5703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6.9141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7.1602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color="auto" w:sz="4" w:space="0"/>
              <w:left w:val="doub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7.4063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28</w:t>
            </w:r>
          </w:p>
        </w:tc>
        <w:tc>
          <w:tcPr>
            <w:tcW w:w="2002" w:type="dxa"/>
            <w:tcBorders>
              <w:top w:val="single" w:color="auto" w:sz="4" w:space="0"/>
              <w:left w:val="double" w:color="auto" w:sz="4" w:space="0"/>
              <w:bottom w:val="single" w:color="auto" w:sz="4" w:space="0"/>
              <w:right w:val="single" w:color="auto" w:sz="4" w:space="0"/>
            </w:tcBorders>
            <w:vAlign w:val="center"/>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2</w:t>
            </w:r>
          </w:p>
        </w:tc>
        <w:tc>
          <w:tcPr>
            <w:tcW w:w="4202" w:type="dxa"/>
            <w:gridSpan w:val="2"/>
            <w:tcBorders>
              <w:top w:val="single" w:color="auto" w:sz="4" w:space="0"/>
              <w:left w:val="single" w:color="auto" w:sz="4" w:space="0"/>
              <w:bottom w:val="single" w:color="auto" w:sz="4" w:space="0"/>
              <w:right w:val="single" w:color="auto" w:sz="4" w:space="0"/>
            </w:tcBorders>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29</w:t>
            </w:r>
          </w:p>
        </w:tc>
        <w:tc>
          <w:tcPr>
            <w:tcW w:w="2002" w:type="dxa"/>
            <w:tcBorders>
              <w:top w:val="single" w:color="auto" w:sz="4" w:space="0"/>
              <w:left w:val="double" w:color="auto" w:sz="4" w:space="0"/>
              <w:bottom w:val="single" w:color="auto" w:sz="4" w:space="0"/>
              <w:right w:val="single" w:color="auto" w:sz="4" w:space="0"/>
            </w:tcBorders>
            <w:vAlign w:val="center"/>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4</w:t>
            </w:r>
          </w:p>
        </w:tc>
        <w:tc>
          <w:tcPr>
            <w:tcW w:w="4202" w:type="dxa"/>
            <w:gridSpan w:val="2"/>
            <w:tcBorders>
              <w:top w:val="single" w:color="auto" w:sz="4" w:space="0"/>
              <w:left w:val="single" w:color="auto" w:sz="4" w:space="0"/>
              <w:bottom w:val="single" w:color="auto" w:sz="4" w:space="0"/>
              <w:right w:val="single" w:color="auto" w:sz="4" w:space="0"/>
            </w:tcBorders>
            <w:vAlign w:val="center"/>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30</w:t>
            </w:r>
          </w:p>
        </w:tc>
        <w:tc>
          <w:tcPr>
            <w:tcW w:w="2002" w:type="dxa"/>
            <w:tcBorders>
              <w:top w:val="single" w:color="auto" w:sz="4" w:space="0"/>
              <w:left w:val="double" w:color="auto" w:sz="4" w:space="0"/>
              <w:bottom w:val="single" w:color="auto" w:sz="4" w:space="0"/>
              <w:right w:val="single" w:color="auto" w:sz="4" w:space="0"/>
            </w:tcBorders>
            <w:vAlign w:val="center"/>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4202" w:type="dxa"/>
            <w:gridSpan w:val="2"/>
            <w:tcBorders>
              <w:top w:val="single" w:color="auto" w:sz="4" w:space="0"/>
              <w:left w:val="single" w:color="auto" w:sz="4" w:space="0"/>
              <w:bottom w:val="single" w:color="auto" w:sz="4" w:space="0"/>
              <w:right w:val="single" w:color="auto" w:sz="4" w:space="0"/>
            </w:tcBorders>
            <w:vAlign w:val="center"/>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reserved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exact"/>
          <w:tblHeader/>
        </w:trPr>
        <w:tc>
          <w:tcPr>
            <w:tcW w:w="1583" w:type="dxa"/>
            <w:tcBorders>
              <w:top w:val="single" w:color="auto" w:sz="4" w:space="0"/>
              <w:left w:val="single" w:color="auto" w:sz="4" w:space="0"/>
              <w:bottom w:val="single" w:color="auto" w:sz="4" w:space="0"/>
              <w:right w:val="double" w:color="auto" w:sz="4" w:space="0"/>
            </w:tcBorders>
            <w:vAlign w:val="center"/>
          </w:tcPr>
          <w:p>
            <w:pPr>
              <w:pStyle w:val="43"/>
              <w:spacing w:beforeLines="0" w:after="0" w:afterLines="0" w:line="240" w:lineRule="auto"/>
              <w:rPr>
                <w:rFonts w:ascii="Times New Roman" w:hAnsi="Times New Roman"/>
                <w:b/>
                <w:color w:val="000000"/>
                <w:szCs w:val="18"/>
                <w:lang w:val="en-GB"/>
              </w:rPr>
            </w:pPr>
            <w:r>
              <w:rPr>
                <w:rFonts w:ascii="Times New Roman" w:hAnsi="Times New Roman"/>
                <w:b/>
                <w:color w:val="000000"/>
                <w:szCs w:val="18"/>
                <w:lang w:val="en-GB"/>
              </w:rPr>
              <w:t>31</w:t>
            </w:r>
          </w:p>
        </w:tc>
        <w:tc>
          <w:tcPr>
            <w:tcW w:w="2002" w:type="dxa"/>
            <w:tcBorders>
              <w:top w:val="single" w:color="auto" w:sz="4" w:space="0"/>
              <w:left w:val="double" w:color="auto" w:sz="4" w:space="0"/>
              <w:bottom w:val="single" w:color="auto" w:sz="4" w:space="0"/>
              <w:right w:val="single" w:color="auto" w:sz="4" w:space="0"/>
            </w:tcBorders>
            <w:vAlign w:val="center"/>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4202" w:type="dxa"/>
            <w:gridSpan w:val="2"/>
            <w:tcBorders>
              <w:top w:val="single" w:color="auto" w:sz="4" w:space="0"/>
              <w:left w:val="single" w:color="auto" w:sz="4" w:space="0"/>
              <w:bottom w:val="single" w:color="auto" w:sz="4" w:space="0"/>
              <w:right w:val="single" w:color="auto" w:sz="4" w:space="0"/>
            </w:tcBorders>
            <w:vAlign w:val="center"/>
          </w:tcPr>
          <w:p>
            <w:pPr>
              <w:pStyle w:val="43"/>
              <w:spacing w:beforeLines="0" w:after="0" w:afterLines="0" w:line="240" w:lineRule="auto"/>
              <w:rPr>
                <w:rFonts w:ascii="Times New Roman" w:hAnsi="Times New Roman"/>
                <w:color w:val="000000"/>
                <w:szCs w:val="18"/>
                <w:lang w:val="en-GB"/>
              </w:rPr>
            </w:pPr>
            <w:r>
              <w:rPr>
                <w:rFonts w:ascii="Times New Roman" w:hAnsi="Times New Roman"/>
                <w:color w:val="000000"/>
                <w:szCs w:val="18"/>
                <w:lang w:val="en-GB"/>
              </w:rPr>
              <w:t>reserved</w:t>
            </w:r>
          </w:p>
        </w:tc>
      </w:tr>
    </w:tbl>
    <w:p>
      <w:pPr>
        <w:spacing w:before="120" w:after="120"/>
        <w:jc w:val="center"/>
      </w:pPr>
    </w:p>
    <w:p>
      <w:pPr>
        <w:spacing w:before="120" w:after="120"/>
        <w:jc w:val="center"/>
      </w:pPr>
    </w:p>
    <w:p>
      <w:pPr>
        <w:spacing w:before="120" w:after="120"/>
        <w:jc w:val="center"/>
      </w:pPr>
    </w:p>
    <w:p>
      <w:pPr>
        <w:spacing w:before="120" w:after="120"/>
        <w:jc w:val="center"/>
      </w:pPr>
      <w:r>
        <w:rPr>
          <w:rFonts w:hint="eastAsia"/>
        </w:rPr>
        <w:t>Table A-3 Simulation setting for fading channels</w:t>
      </w:r>
    </w:p>
    <w:tbl>
      <w:tblPr>
        <w:tblStyle w:val="16"/>
        <w:tblW w:w="9174" w:type="dxa"/>
        <w:jc w:val="center"/>
        <w:tblLayout w:type="autofit"/>
        <w:tblCellMar>
          <w:top w:w="0" w:type="dxa"/>
          <w:left w:w="0" w:type="dxa"/>
          <w:bottom w:w="0" w:type="dxa"/>
          <w:right w:w="0" w:type="dxa"/>
        </w:tblCellMar>
      </w:tblPr>
      <w:tblGrid>
        <w:gridCol w:w="1511"/>
        <w:gridCol w:w="2505"/>
        <w:gridCol w:w="5158"/>
      </w:tblGrid>
      <w:tr>
        <w:tblPrEx>
          <w:tblCellMar>
            <w:top w:w="0" w:type="dxa"/>
            <w:left w:w="0" w:type="dxa"/>
            <w:bottom w:w="0" w:type="dxa"/>
            <w:right w:w="0" w:type="dxa"/>
          </w:tblCellMar>
        </w:tblPrEx>
        <w:trPr>
          <w:jc w:val="center"/>
        </w:trPr>
        <w:tc>
          <w:tcPr>
            <w:tcW w:w="4016" w:type="dxa"/>
            <w:gridSpan w:val="2"/>
            <w:tcBorders>
              <w:top w:val="double" w:color="000000" w:sz="6" w:space="0"/>
              <w:left w:val="double" w:color="000000" w:sz="6" w:space="0"/>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b/>
                <w:bCs/>
                <w:caps/>
                <w:sz w:val="18"/>
                <w:szCs w:val="18"/>
              </w:rPr>
            </w:pPr>
            <w:r>
              <w:rPr>
                <w:b/>
                <w:bCs/>
                <w:caps/>
                <w:sz w:val="18"/>
                <w:szCs w:val="18"/>
              </w:rPr>
              <w:t>Parameter</w:t>
            </w:r>
          </w:p>
        </w:tc>
        <w:tc>
          <w:tcPr>
            <w:tcW w:w="5158" w:type="dxa"/>
            <w:tcBorders>
              <w:top w:val="double" w:color="000000" w:sz="6" w:space="0"/>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b/>
                <w:bCs/>
                <w:caps/>
                <w:sz w:val="18"/>
                <w:szCs w:val="18"/>
              </w:rPr>
            </w:pPr>
            <w:r>
              <w:rPr>
                <w:b/>
                <w:bCs/>
                <w:caps/>
                <w:sz w:val="18"/>
                <w:szCs w:val="18"/>
              </w:rPr>
              <w:t>Value</w:t>
            </w:r>
          </w:p>
        </w:tc>
      </w:tr>
      <w:tr>
        <w:trPr>
          <w:jc w:val="center"/>
        </w:trPr>
        <w:tc>
          <w:tcPr>
            <w:tcW w:w="1511" w:type="dxa"/>
            <w:vMerge w:val="restart"/>
            <w:tcBorders>
              <w:top w:val="single" w:color="auto" w:sz="4" w:space="0"/>
              <w:left w:val="double" w:color="000000" w:sz="6"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System settings</w:t>
            </w: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Bandwidth</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10 MHz</w:t>
            </w:r>
          </w:p>
        </w:tc>
      </w:tr>
      <w:tr>
        <w:tblPrEx>
          <w:tblCellMar>
            <w:top w:w="0" w:type="dxa"/>
            <w:left w:w="0" w:type="dxa"/>
            <w:bottom w:w="0" w:type="dxa"/>
            <w:right w:w="0" w:type="dxa"/>
          </w:tblCellMar>
        </w:tblPrEx>
        <w:trPr>
          <w:jc w:val="center"/>
        </w:trPr>
        <w:tc>
          <w:tcPr>
            <w:tcW w:w="1511" w:type="dxa"/>
            <w:vMerge w:val="continue"/>
            <w:tcBorders>
              <w:left w:val="double" w:color="000000" w:sz="6"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Subcarrier spacing</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30 kHz</w:t>
            </w:r>
          </w:p>
        </w:tc>
      </w:tr>
      <w:tr>
        <w:tblPrEx>
          <w:tblCellMar>
            <w:top w:w="0" w:type="dxa"/>
            <w:left w:w="0" w:type="dxa"/>
            <w:bottom w:w="0" w:type="dxa"/>
            <w:right w:w="0" w:type="dxa"/>
          </w:tblCellMar>
        </w:tblPrEx>
        <w:trPr>
          <w:jc w:val="center"/>
        </w:trPr>
        <w:tc>
          <w:tcPr>
            <w:tcW w:w="1511" w:type="dxa"/>
            <w:vMerge w:val="continue"/>
            <w:tcBorders>
              <w:left w:val="double" w:color="000000" w:sz="6"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RB number</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 xml:space="preserve">6 </w:t>
            </w:r>
          </w:p>
        </w:tc>
      </w:tr>
      <w:tr>
        <w:trPr>
          <w:jc w:val="center"/>
        </w:trPr>
        <w:tc>
          <w:tcPr>
            <w:tcW w:w="1511" w:type="dxa"/>
            <w:vMerge w:val="continue"/>
            <w:tcBorders>
              <w:left w:val="double" w:color="000000" w:sz="6"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OFDM symbols</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14 with 0 for PDCCH, 13 for data, and 1 for DM-RS</w:t>
            </w:r>
          </w:p>
        </w:tc>
      </w:tr>
      <w:tr>
        <w:tblPrEx>
          <w:tblCellMar>
            <w:top w:w="0" w:type="dxa"/>
            <w:left w:w="0" w:type="dxa"/>
            <w:bottom w:w="0" w:type="dxa"/>
            <w:right w:w="0" w:type="dxa"/>
          </w:tblCellMar>
        </w:tblPrEx>
        <w:trPr>
          <w:jc w:val="center"/>
        </w:trPr>
        <w:tc>
          <w:tcPr>
            <w:tcW w:w="1511" w:type="dxa"/>
            <w:vMerge w:val="continue"/>
            <w:tcBorders>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Cyclic prefix</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sz w:val="18"/>
                <w:szCs w:val="18"/>
              </w:rPr>
              <w:t>N</w:t>
            </w:r>
            <w:r>
              <w:rPr>
                <w:rFonts w:hint="eastAsia"/>
                <w:sz w:val="18"/>
                <w:szCs w:val="18"/>
              </w:rPr>
              <w:t>ormal</w:t>
            </w:r>
          </w:p>
        </w:tc>
      </w:tr>
      <w:tr>
        <w:tblPrEx>
          <w:tblCellMar>
            <w:top w:w="0" w:type="dxa"/>
            <w:left w:w="0" w:type="dxa"/>
            <w:bottom w:w="0" w:type="dxa"/>
            <w:right w:w="0" w:type="dxa"/>
          </w:tblCellMar>
        </w:tblPrEx>
        <w:trPr>
          <w:jc w:val="center"/>
        </w:trPr>
        <w:tc>
          <w:tcPr>
            <w:tcW w:w="1511" w:type="dxa"/>
            <w:vMerge w:val="restart"/>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MIMO settings</w:t>
            </w: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Receive Type</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numPr>
                <w:ilvl w:val="255"/>
                <w:numId w:val="0"/>
              </w:numPr>
              <w:snapToGrid w:val="0"/>
              <w:spacing w:beforeLines="0" w:after="0" w:afterLines="0" w:line="240" w:lineRule="auto"/>
              <w:rPr>
                <w:sz w:val="18"/>
                <w:szCs w:val="18"/>
              </w:rPr>
            </w:pPr>
            <w:r>
              <w:rPr>
                <w:rFonts w:hint="eastAsia"/>
                <w:sz w:val="18"/>
                <w:szCs w:val="18"/>
              </w:rPr>
              <w:t>LMMSE</w:t>
            </w:r>
          </w:p>
        </w:tc>
      </w:tr>
      <w:tr>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Antenna Type</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SU-MIMO</w:t>
            </w:r>
          </w:p>
        </w:tc>
      </w:tr>
      <w:tr>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NB antenna Number (Tx)</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1 for 1 layer, 4 for 4 layers</w:t>
            </w:r>
          </w:p>
        </w:tc>
      </w:tr>
      <w:tr>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UE antenna Number (Rx)</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1 for 1 layer, 4 for 4 layers</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Layer Number (N</w:t>
            </w:r>
            <w:r>
              <w:rPr>
                <w:rFonts w:hint="eastAsia"/>
                <w:sz w:val="18"/>
                <w:szCs w:val="18"/>
                <w:vertAlign w:val="subscript"/>
              </w:rPr>
              <w:t>layer</w:t>
            </w:r>
            <w:r>
              <w:rPr>
                <w:rFonts w:hint="eastAsia"/>
                <w:sz w:val="18"/>
                <w:szCs w:val="18"/>
              </w:rPr>
              <w:t>)</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fixed to 1 or 4</w:t>
            </w:r>
          </w:p>
        </w:tc>
      </w:tr>
      <w:tr>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MIMO Precoder</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closed-loop with SVD</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Code block Frequency Granularity</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4 RBs</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Code block Time Granularity</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5 slots</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8" w:space="0"/>
            </w:tcBorders>
            <w:tcMar>
              <w:top w:w="0" w:type="dxa"/>
              <w:left w:w="108" w:type="dxa"/>
              <w:bottom w:w="0" w:type="dxa"/>
              <w:right w:w="108" w:type="dxa"/>
            </w:tcMar>
          </w:tcPr>
          <w:p>
            <w:pPr>
              <w:snapToGrid w:val="0"/>
              <w:spacing w:beforeLines="0" w:after="0" w:afterLines="0" w:line="240" w:lineRule="auto"/>
              <w:rPr>
                <w:sz w:val="18"/>
                <w:szCs w:val="18"/>
              </w:rPr>
            </w:pPr>
          </w:p>
        </w:tc>
        <w:tc>
          <w:tcPr>
            <w:tcW w:w="2505" w:type="dxa"/>
            <w:tcBorders>
              <w:top w:val="nil"/>
              <w:left w:val="nil"/>
              <w:bottom w:val="single" w:color="000000" w:sz="8"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Feedback Delay</w:t>
            </w:r>
          </w:p>
        </w:tc>
        <w:tc>
          <w:tcPr>
            <w:tcW w:w="5158" w:type="dxa"/>
            <w:tcBorders>
              <w:top w:val="nil"/>
              <w:left w:val="nil"/>
              <w:bottom w:val="single" w:color="000000" w:sz="8"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5 slots</w:t>
            </w:r>
          </w:p>
        </w:tc>
      </w:tr>
      <w:tr>
        <w:tblPrEx>
          <w:tblCellMar>
            <w:top w:w="0" w:type="dxa"/>
            <w:left w:w="0" w:type="dxa"/>
            <w:bottom w:w="0" w:type="dxa"/>
            <w:right w:w="0" w:type="dxa"/>
          </w:tblCellMar>
        </w:tblPrEx>
        <w:trPr>
          <w:jc w:val="center"/>
        </w:trPr>
        <w:tc>
          <w:tcPr>
            <w:tcW w:w="1511" w:type="dxa"/>
            <w:vMerge w:val="restart"/>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Channel settings</w:t>
            </w: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Channel model</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CDL-A</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4 GHz</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UE speed</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3 km/h</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Delay spread</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30 ns</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Channel estimation type</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sz w:val="18"/>
                <w:szCs w:val="18"/>
              </w:rPr>
              <w:t>I</w:t>
            </w:r>
            <w:r>
              <w:rPr>
                <w:rFonts w:hint="eastAsia"/>
                <w:sz w:val="18"/>
                <w:szCs w:val="18"/>
              </w:rPr>
              <w:t>deal</w:t>
            </w:r>
          </w:p>
        </w:tc>
      </w:tr>
      <w:tr>
        <w:tblPrEx>
          <w:tblCellMar>
            <w:top w:w="0" w:type="dxa"/>
            <w:left w:w="0" w:type="dxa"/>
            <w:bottom w:w="0" w:type="dxa"/>
            <w:right w:w="0" w:type="dxa"/>
          </w:tblCellMar>
        </w:tblPrEx>
        <w:trPr>
          <w:jc w:val="center"/>
        </w:trPr>
        <w:tc>
          <w:tcPr>
            <w:tcW w:w="1511" w:type="dxa"/>
            <w:vMerge w:val="restart"/>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Coding settings</w:t>
            </w: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Channel coding</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5G NR LDPC coding</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Maximum number of transmission</w:t>
            </w:r>
            <w:r>
              <w:rPr>
                <w:sz w:val="18"/>
                <w:szCs w:val="18"/>
              </w:rPr>
              <w:t>s</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1 (including initial transmission)</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LDPC decoding algorithm</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scaled layered min-sum with 25 maximum iterations and scalar = 0.75</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MCS</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MCS levels 18 &amp; 23 for both 1 layer and 4 layers in Table A-2 for NUC and QAM,</w:t>
            </w:r>
          </w:p>
          <w:p>
            <w:pPr>
              <w:spacing w:beforeLines="0" w:after="0" w:afterLines="0" w:line="240" w:lineRule="auto"/>
              <w:rPr>
                <w:sz w:val="18"/>
                <w:szCs w:val="18"/>
              </w:rPr>
            </w:pPr>
            <w:r>
              <w:rPr>
                <w:rFonts w:hint="eastAsia"/>
                <w:sz w:val="18"/>
                <w:szCs w:val="18"/>
              </w:rPr>
              <w:t>MCS levels 19 &amp; 24 for 1 layer in Table A-2 for CCDM-based PAS with MB parameters are given in Table A-1.</w:t>
            </w:r>
          </w:p>
        </w:tc>
      </w:tr>
      <w:tr>
        <w:tblPrEx>
          <w:tblCellMar>
            <w:top w:w="0" w:type="dxa"/>
            <w:left w:w="0" w:type="dxa"/>
            <w:bottom w:w="0" w:type="dxa"/>
            <w:right w:w="0" w:type="dxa"/>
          </w:tblCellMar>
        </w:tblPrEx>
        <w:trPr>
          <w:jc w:val="center"/>
        </w:trPr>
        <w:tc>
          <w:tcPr>
            <w:tcW w:w="1511" w:type="dxa"/>
            <w:vMerge w:val="restart"/>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Modulation setting</w:t>
            </w: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Constellation type</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napToGrid w:val="0"/>
              <w:spacing w:beforeLines="0" w:after="0" w:afterLines="0" w:line="240" w:lineRule="auto"/>
              <w:rPr>
                <w:sz w:val="18"/>
                <w:szCs w:val="18"/>
              </w:rPr>
            </w:pPr>
            <w:r>
              <w:rPr>
                <w:rFonts w:hint="eastAsia"/>
                <w:sz w:val="18"/>
                <w:szCs w:val="18"/>
              </w:rPr>
              <w:t xml:space="preserve">64QAM, </w:t>
            </w:r>
            <w:r>
              <w:rPr>
                <w:sz w:val="18"/>
                <w:szCs w:val="18"/>
              </w:rPr>
              <w:t>1D/</w:t>
            </w:r>
            <w:r>
              <w:rPr>
                <w:rFonts w:hint="eastAsia"/>
                <w:sz w:val="18"/>
                <w:szCs w:val="18"/>
              </w:rPr>
              <w:t>2D 64NUC for MCS levels 18 &amp; 19,</w:t>
            </w:r>
          </w:p>
          <w:p>
            <w:pPr>
              <w:snapToGrid w:val="0"/>
              <w:spacing w:beforeLines="0" w:after="0" w:afterLines="0" w:line="240" w:lineRule="auto"/>
              <w:rPr>
                <w:sz w:val="18"/>
                <w:szCs w:val="18"/>
              </w:rPr>
            </w:pPr>
            <w:r>
              <w:rPr>
                <w:rFonts w:hint="eastAsia"/>
                <w:sz w:val="18"/>
                <w:szCs w:val="18"/>
              </w:rPr>
              <w:t xml:space="preserve">256QAM, </w:t>
            </w:r>
            <w:r>
              <w:rPr>
                <w:sz w:val="18"/>
                <w:szCs w:val="18"/>
              </w:rPr>
              <w:t>1D/</w:t>
            </w:r>
            <w:r>
              <w:rPr>
                <w:rFonts w:hint="eastAsia"/>
                <w:sz w:val="18"/>
                <w:szCs w:val="18"/>
              </w:rPr>
              <w:t>2D 256NUC for MCS levels 23 &amp; 24</w:t>
            </w:r>
          </w:p>
        </w:tc>
      </w:tr>
      <w:tr>
        <w:tblPrEx>
          <w:tblCellMar>
            <w:top w:w="0" w:type="dxa"/>
            <w:left w:w="0" w:type="dxa"/>
            <w:bottom w:w="0" w:type="dxa"/>
            <w:right w:w="0" w:type="dxa"/>
          </w:tblCellMar>
        </w:tblPrEx>
        <w:trPr>
          <w:jc w:val="center"/>
        </w:trPr>
        <w:tc>
          <w:tcPr>
            <w:tcW w:w="1511" w:type="dxa"/>
            <w:vMerge w:val="continue"/>
            <w:tcBorders>
              <w:top w:val="single" w:color="auto" w:sz="4" w:space="0"/>
              <w:left w:val="double" w:color="000000" w:sz="6" w:space="0"/>
              <w:bottom w:val="single" w:color="auto" w:sz="4" w:space="0"/>
              <w:right w:val="single" w:color="000000" w:sz="4" w:space="0"/>
            </w:tcBorders>
            <w:tcMar>
              <w:top w:w="0" w:type="dxa"/>
              <w:left w:w="108" w:type="dxa"/>
              <w:bottom w:w="0" w:type="dxa"/>
              <w:right w:w="108" w:type="dxa"/>
            </w:tcMar>
          </w:tcPr>
          <w:p>
            <w:pPr>
              <w:spacing w:beforeLines="0" w:after="0" w:afterLines="0" w:line="240" w:lineRule="auto"/>
              <w:rPr>
                <w:sz w:val="18"/>
                <w:szCs w:val="18"/>
              </w:rPr>
            </w:pPr>
          </w:p>
        </w:tc>
        <w:tc>
          <w:tcPr>
            <w:tcW w:w="2505"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rFonts w:hint="eastAsia"/>
                <w:sz w:val="18"/>
                <w:szCs w:val="18"/>
              </w:rPr>
              <w:t>Demodulation algorithm</w:t>
            </w:r>
          </w:p>
        </w:tc>
        <w:tc>
          <w:tcPr>
            <w:tcW w:w="5158" w:type="dxa"/>
            <w:tcBorders>
              <w:top w:val="single" w:color="000000" w:sz="4" w:space="0"/>
              <w:left w:val="single" w:color="000000" w:sz="4" w:space="0"/>
              <w:bottom w:val="single" w:color="000000" w:sz="4" w:space="0"/>
              <w:right w:val="double" w:color="000000" w:sz="6" w:space="0"/>
            </w:tcBorders>
            <w:tcMar>
              <w:top w:w="0" w:type="dxa"/>
              <w:left w:w="108" w:type="dxa"/>
              <w:bottom w:w="0" w:type="dxa"/>
              <w:right w:w="108" w:type="dxa"/>
            </w:tcMar>
          </w:tcPr>
          <w:p>
            <w:pPr>
              <w:spacing w:beforeLines="0" w:after="0" w:afterLines="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pPr>
              <w:spacing w:beforeLines="0" w:after="0" w:afterLines="0" w:line="240" w:lineRule="auto"/>
              <w:rPr>
                <w:sz w:val="18"/>
                <w:szCs w:val="18"/>
              </w:rPr>
            </w:pPr>
            <w:r>
              <w:rPr>
                <w:rFonts w:hint="eastAsia"/>
                <w:sz w:val="18"/>
                <w:szCs w:val="18"/>
              </w:rPr>
              <w:t>F</w:t>
            </w:r>
            <w:r>
              <w:rPr>
                <w:sz w:val="18"/>
                <w:szCs w:val="18"/>
              </w:rPr>
              <w:t>or PAS: [14]</w:t>
            </w:r>
          </w:p>
        </w:tc>
      </w:tr>
    </w:tbl>
    <w:p>
      <w:pPr>
        <w:spacing w:beforeLines="0" w:after="0" w:afterLines="0" w:line="240" w:lineRule="auto"/>
        <w:jc w:val="center"/>
      </w:pPr>
    </w:p>
    <w:p>
      <w:pPr>
        <w:spacing w:beforeLines="0" w:after="0" w:afterLines="0" w:line="240" w:lineRule="auto"/>
        <w:jc w:val="center"/>
      </w:pPr>
    </w:p>
    <w:p>
      <w:pPr>
        <w:spacing w:beforeLines="0" w:after="0" w:afterLines="0" w:line="240" w:lineRule="auto"/>
        <w:jc w:val="center"/>
      </w:pPr>
      <w:r>
        <w:rPr>
          <w:rFonts w:hint="eastAsia"/>
        </w:rPr>
        <w:t xml:space="preserve">Table A-4 Simulation </w:t>
      </w:r>
      <w:r>
        <w:t>parameters for low PAPR modulation</w:t>
      </w:r>
    </w:p>
    <w:tbl>
      <w:tblPr>
        <w:tblStyle w:val="16"/>
        <w:tblW w:w="4192" w:type="pct"/>
        <w:tblInd w:w="6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365"/>
        <w:gridCol w:w="5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Carrier frequency</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Subcarrier spacing</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Number of antennas</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1T4R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Bandwidth</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2 PRBs; 8 PRBs; 24 PRBs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Spectral efficiency</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0.0977; 0.1934; 0.2344; 0.3770; 0.7402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Target BLER</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Channel</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TDL-C 300ns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UE speed</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Waveform</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DFT-s-OFDM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lang w:eastAsia="zh-CN"/>
              </w:rPr>
              <w:t>Number</w:t>
            </w:r>
            <w:bookmarkStart w:id="267" w:name="_GoBack"/>
            <w:bookmarkEnd w:id="267"/>
            <w:r>
              <w:rPr>
                <w:rFonts w:hint="eastAsia"/>
                <w:sz w:val="18"/>
                <w:szCs w:val="18"/>
              </w:rPr>
              <w:t xml:space="preserve"> of DMRS</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2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rFonts w:hint="eastAsia"/>
                <w:sz w:val="18"/>
                <w:szCs w:val="18"/>
              </w:rPr>
              <w:t>Transparent FDSS</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rFonts w:hint="eastAsia"/>
                <w:sz w:val="18"/>
                <w:szCs w:val="18"/>
              </w:rPr>
              <w:t xml:space="preserve">For </w:t>
            </w:r>
            <w:r>
              <w:rPr>
                <w:sz w:val="18"/>
                <w:szCs w:val="18"/>
              </w:rPr>
              <w:t>π</w:t>
            </w:r>
            <w:r>
              <w:rPr>
                <w:rFonts w:hint="eastAsia"/>
                <w:sz w:val="18"/>
                <w:szCs w:val="18"/>
              </w:rPr>
              <w:t xml:space="preserve">/2-BPSK, 3-tap with [-0.28, 1, -0.28] </w:t>
            </w:r>
          </w:p>
          <w:p>
            <w:pPr>
              <w:spacing w:beforeLines="0" w:after="0" w:afterLines="0" w:line="240" w:lineRule="auto"/>
              <w:rPr>
                <w:sz w:val="18"/>
                <w:szCs w:val="18"/>
              </w:rPr>
            </w:pPr>
            <w:r>
              <w:rPr>
                <w:rFonts w:hint="eastAsia"/>
                <w:sz w:val="18"/>
                <w:szCs w:val="18"/>
              </w:rPr>
              <w:t>For QPSK and I-modulation schemes, root raised cosine with α=1 and 1.2 times length than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 w:hRule="atLeast"/>
        </w:trPr>
        <w:tc>
          <w:tcPr>
            <w:tcW w:w="1478" w:type="pct"/>
            <w:tcBorders>
              <w:tl2br w:val="nil"/>
              <w:tr2bl w:val="nil"/>
            </w:tcBorders>
            <w:tcMar>
              <w:top w:w="0" w:type="dxa"/>
              <w:left w:w="108" w:type="dxa"/>
              <w:bottom w:w="0" w:type="dxa"/>
              <w:right w:w="108" w:type="dxa"/>
            </w:tcMar>
            <w:vAlign w:val="center"/>
          </w:tcPr>
          <w:p>
            <w:pPr>
              <w:spacing w:beforeLines="0" w:after="0" w:afterLines="0" w:line="240" w:lineRule="auto"/>
              <w:jc w:val="center"/>
              <w:rPr>
                <w:sz w:val="18"/>
                <w:szCs w:val="18"/>
              </w:rPr>
            </w:pPr>
            <w:r>
              <w:rPr>
                <w:sz w:val="18"/>
                <w:szCs w:val="18"/>
                <w:lang w:eastAsia="en-GB"/>
              </w:rPr>
              <w:t>Channel estimation</w:t>
            </w:r>
          </w:p>
        </w:tc>
        <w:tc>
          <w:tcPr>
            <w:tcW w:w="3522" w:type="pct"/>
            <w:tcBorders>
              <w:tl2br w:val="nil"/>
              <w:tr2bl w:val="nil"/>
            </w:tcBorders>
            <w:tcMar>
              <w:top w:w="0" w:type="dxa"/>
              <w:left w:w="108" w:type="dxa"/>
              <w:bottom w:w="0" w:type="dxa"/>
              <w:right w:w="108" w:type="dxa"/>
            </w:tcMar>
            <w:vAlign w:val="center"/>
          </w:tcPr>
          <w:p>
            <w:pPr>
              <w:spacing w:beforeLines="0" w:after="0" w:afterLines="0" w:line="240" w:lineRule="auto"/>
              <w:rPr>
                <w:sz w:val="18"/>
                <w:szCs w:val="18"/>
              </w:rPr>
            </w:pPr>
            <w:r>
              <w:rPr>
                <w:sz w:val="18"/>
                <w:szCs w:val="18"/>
              </w:rPr>
              <w:t>LMMSE</w:t>
            </w:r>
          </w:p>
        </w:tc>
      </w:tr>
    </w:tbl>
    <w:p>
      <w:pPr>
        <w:spacing w:before="120" w:after="120"/>
        <w:rPr>
          <w:highlight w:val="yellow"/>
        </w:rPr>
      </w:pPr>
    </w:p>
    <w:sectPr>
      <w:headerReference r:id="rId7" w:type="first"/>
      <w:footerReference r:id="rId10" w:type="first"/>
      <w:headerReference r:id="rId5" w:type="default"/>
      <w:footerReference r:id="rId8" w:type="default"/>
      <w:headerReference r:id="rId6" w:type="even"/>
      <w:footerReference r:id="rId9" w:type="even"/>
      <w:pgSz w:w="11905" w:h="16838"/>
      <w:pgMar w:top="1440" w:right="1202" w:bottom="1440" w:left="1378" w:header="720" w:footer="720" w:gutter="0"/>
      <w:cols w:space="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Batang">
    <w:altName w:val="Malgun Gothic"/>
    <w:panose1 w:val="02030600000101010101"/>
    <w:charset w:val="81"/>
    <w:family w:val="roman"/>
    <w:pitch w:val="default"/>
    <w:sig w:usb0="00000000" w:usb1="00000000" w:usb2="00000030" w:usb3="00000000" w:csb0="0008009F" w:csb1="0000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88246921"/>
    </w:sdtPr>
    <w:sdtContent>
      <w:p>
        <w:pPr>
          <w:pStyle w:val="11"/>
          <w:spacing w:before="120" w:after="120"/>
          <w:jc w:val="center"/>
        </w:pPr>
        <w:r>
          <w:fldChar w:fldCharType="begin"/>
        </w:r>
        <w:r>
          <w:instrText xml:space="preserve">PAGE   \* MERGEFORMAT</w:instrText>
        </w:r>
        <w:r>
          <w:fldChar w:fldCharType="separate"/>
        </w:r>
        <w:r>
          <w:rPr>
            <w:lang w:val="zh-CN"/>
          </w:rPr>
          <w:t>2</w:t>
        </w:r>
        <w:r>
          <w:fldChar w:fldCharType="end"/>
        </w:r>
      </w:p>
    </w:sdtContent>
  </w:sdt>
  <w:p>
    <w:pPr>
      <w:pStyle w:val="11"/>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16C016"/>
    <w:multiLevelType w:val="multilevel"/>
    <w:tmpl w:val="8716C016"/>
    <w:lvl w:ilvl="0" w:tentative="0">
      <w:start w:val="1"/>
      <w:numFmt w:val="bullet"/>
      <w:lvlText w:val=""/>
      <w:lvlJc w:val="left"/>
      <w:pPr>
        <w:tabs>
          <w:tab w:val="left" w:pos="-840"/>
        </w:tabs>
        <w:ind w:left="864" w:hanging="400"/>
      </w:pPr>
      <w:rPr>
        <w:rFonts w:hint="default" w:ascii="Symbol" w:hAnsi="Symbol"/>
      </w:rPr>
    </w:lvl>
    <w:lvl w:ilvl="1" w:tentative="0">
      <w:start w:val="1"/>
      <w:numFmt w:val="bullet"/>
      <w:lvlText w:val=""/>
      <w:lvlJc w:val="left"/>
      <w:pPr>
        <w:tabs>
          <w:tab w:val="left" w:pos="-840"/>
        </w:tabs>
        <w:ind w:left="1264" w:hanging="400"/>
      </w:pPr>
      <w:rPr>
        <w:rFonts w:hint="default" w:ascii="Wingdings" w:hAnsi="Wingdings"/>
      </w:rPr>
    </w:lvl>
    <w:lvl w:ilvl="2" w:tentative="0">
      <w:start w:val="1"/>
      <w:numFmt w:val="bullet"/>
      <w:lvlText w:val=""/>
      <w:lvlJc w:val="left"/>
      <w:pPr>
        <w:tabs>
          <w:tab w:val="left" w:pos="-840"/>
        </w:tabs>
        <w:ind w:left="1664" w:hanging="400"/>
      </w:pPr>
      <w:rPr>
        <w:rFonts w:hint="default" w:ascii="Wingdings" w:hAnsi="Wingdings"/>
      </w:rPr>
    </w:lvl>
    <w:lvl w:ilvl="3" w:tentative="0">
      <w:start w:val="1"/>
      <w:numFmt w:val="bullet"/>
      <w:lvlText w:val=""/>
      <w:lvlJc w:val="left"/>
      <w:pPr>
        <w:tabs>
          <w:tab w:val="left" w:pos="-840"/>
        </w:tabs>
        <w:ind w:left="2064" w:hanging="400"/>
      </w:pPr>
      <w:rPr>
        <w:rFonts w:hint="default" w:ascii="Wingdings" w:hAnsi="Wingdings"/>
      </w:rPr>
    </w:lvl>
    <w:lvl w:ilvl="4" w:tentative="0">
      <w:start w:val="1"/>
      <w:numFmt w:val="bullet"/>
      <w:lvlText w:val=""/>
      <w:lvlJc w:val="left"/>
      <w:pPr>
        <w:tabs>
          <w:tab w:val="left" w:pos="-840"/>
        </w:tabs>
        <w:ind w:left="2464" w:hanging="400"/>
      </w:pPr>
      <w:rPr>
        <w:rFonts w:hint="default" w:ascii="Wingdings" w:hAnsi="Wingdings"/>
      </w:rPr>
    </w:lvl>
    <w:lvl w:ilvl="5" w:tentative="0">
      <w:start w:val="1"/>
      <w:numFmt w:val="bullet"/>
      <w:lvlText w:val=""/>
      <w:lvlJc w:val="left"/>
      <w:pPr>
        <w:tabs>
          <w:tab w:val="left" w:pos="-840"/>
        </w:tabs>
        <w:ind w:left="2864" w:hanging="400"/>
      </w:pPr>
      <w:rPr>
        <w:rFonts w:hint="default" w:ascii="Wingdings" w:hAnsi="Wingdings"/>
      </w:rPr>
    </w:lvl>
    <w:lvl w:ilvl="6" w:tentative="0">
      <w:start w:val="1"/>
      <w:numFmt w:val="bullet"/>
      <w:lvlText w:val=""/>
      <w:lvlJc w:val="left"/>
      <w:pPr>
        <w:tabs>
          <w:tab w:val="left" w:pos="-840"/>
        </w:tabs>
        <w:ind w:left="3264" w:hanging="400"/>
      </w:pPr>
      <w:rPr>
        <w:rFonts w:hint="default" w:ascii="Wingdings" w:hAnsi="Wingdings"/>
      </w:rPr>
    </w:lvl>
    <w:lvl w:ilvl="7" w:tentative="0">
      <w:start w:val="1"/>
      <w:numFmt w:val="bullet"/>
      <w:lvlText w:val=""/>
      <w:lvlJc w:val="left"/>
      <w:pPr>
        <w:tabs>
          <w:tab w:val="left" w:pos="-840"/>
        </w:tabs>
        <w:ind w:left="3664" w:hanging="400"/>
      </w:pPr>
      <w:rPr>
        <w:rFonts w:hint="default" w:ascii="Wingdings" w:hAnsi="Wingdings"/>
      </w:rPr>
    </w:lvl>
    <w:lvl w:ilvl="8" w:tentative="0">
      <w:start w:val="1"/>
      <w:numFmt w:val="bullet"/>
      <w:lvlText w:val=""/>
      <w:lvlJc w:val="left"/>
      <w:pPr>
        <w:tabs>
          <w:tab w:val="left" w:pos="-840"/>
        </w:tabs>
        <w:ind w:left="4064" w:hanging="400"/>
      </w:pPr>
      <w:rPr>
        <w:rFonts w:hint="default" w:ascii="Wingdings" w:hAnsi="Wingdings"/>
      </w:rPr>
    </w:lvl>
  </w:abstractNum>
  <w:abstractNum w:abstractNumId="1">
    <w:nsid w:val="AB34B193"/>
    <w:multiLevelType w:val="singleLevel"/>
    <w:tmpl w:val="AB34B193"/>
    <w:lvl w:ilvl="0" w:tentative="0">
      <w:start w:val="1"/>
      <w:numFmt w:val="decimal"/>
      <w:pStyle w:val="52"/>
      <w:lvlText w:val="Observation %1: "/>
      <w:lvlJc w:val="left"/>
      <w:pPr>
        <w:tabs>
          <w:tab w:val="left" w:pos="0"/>
        </w:tabs>
        <w:ind w:left="0" w:firstLine="0"/>
      </w:pPr>
      <w:rPr>
        <w:rFonts w:hint="default" w:ascii="Times New Roman" w:hAnsi="Times New Roman" w:eastAsia="宋体" w:cs="Times New Roman"/>
        <w:b/>
        <w:bCs/>
        <w:i/>
        <w:iCs/>
        <w:highlight w:val="none"/>
        <w:lang w:val="en-US"/>
      </w:rPr>
    </w:lvl>
  </w:abstractNum>
  <w:abstractNum w:abstractNumId="2">
    <w:nsid w:val="BD018A50"/>
    <w:multiLevelType w:val="singleLevel"/>
    <w:tmpl w:val="BD018A50"/>
    <w:lvl w:ilvl="0" w:tentative="0">
      <w:start w:val="1"/>
      <w:numFmt w:val="decimal"/>
      <w:suff w:val="space"/>
      <w:lvlText w:val="(%1)"/>
      <w:lvlJc w:val="left"/>
    </w:lvl>
  </w:abstractNum>
  <w:abstractNum w:abstractNumId="3">
    <w:nsid w:val="BD0CA652"/>
    <w:multiLevelType w:val="multilevel"/>
    <w:tmpl w:val="BD0CA652"/>
    <w:lvl w:ilvl="0" w:tentative="0">
      <w:start w:val="1"/>
      <w:numFmt w:val="decimal"/>
      <w:pStyle w:val="55"/>
      <w:lvlText w:val="Proposal %1:"/>
      <w:lvlJc w:val="left"/>
      <w:pPr>
        <w:tabs>
          <w:tab w:val="left" w:pos="0"/>
        </w:tabs>
        <w:ind w:left="0" w:firstLine="0"/>
      </w:pPr>
      <w:rPr>
        <w:rFonts w:hint="default" w:ascii="Times New Roman" w:hAnsi="Times New Roman" w:eastAsia="宋体" w:cs="Times New Roman"/>
        <w:b/>
        <w:bCs/>
        <w:i/>
        <w:iCs/>
        <w:highlight w:val="none"/>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4">
    <w:nsid w:val="C1CCB35E"/>
    <w:multiLevelType w:val="multilevel"/>
    <w:tmpl w:val="C1CCB35E"/>
    <w:lvl w:ilvl="0" w:tentative="0">
      <w:start w:val="1"/>
      <w:numFmt w:val="decimal"/>
      <w:suff w:val="space"/>
      <w:lvlText w:val="(%1)"/>
      <w:lvlJc w:val="left"/>
      <w:rPr>
        <w:rFonts w:hint="default"/>
        <w:i w:val="0"/>
        <w:iCs w:val="0"/>
      </w:rPr>
    </w:lvl>
    <w:lvl w:ilvl="1" w:tentative="0">
      <w:start w:val="1"/>
      <w:numFmt w:val="decimalEnclosedCircleChinese"/>
      <w:lvlText w:val="%2"/>
      <w:lvlJc w:val="left"/>
      <w:pPr>
        <w:tabs>
          <w:tab w:val="left" w:pos="840"/>
        </w:tabs>
        <w:ind w:left="840" w:hanging="420"/>
      </w:pPr>
      <w:rPr>
        <w:rFonts w:hint="default"/>
      </w:rPr>
    </w:lvl>
    <w:lvl w:ilvl="2" w:tentative="0">
      <w:start w:val="1"/>
      <w:numFmt w:val="decimal"/>
      <w:lvlText w:val="%3)"/>
      <w:lvlJc w:val="left"/>
      <w:pPr>
        <w:tabs>
          <w:tab w:val="left" w:pos="1260"/>
        </w:tabs>
        <w:ind w:left="1260" w:hanging="420"/>
      </w:pPr>
      <w:rPr>
        <w:rFonts w:hint="default"/>
      </w:rPr>
    </w:lvl>
    <w:lvl w:ilvl="3" w:tentative="0">
      <w:start w:val="1"/>
      <w:numFmt w:val="lowerLetter"/>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5">
    <w:nsid w:val="DEC3355C"/>
    <w:multiLevelType w:val="multilevel"/>
    <w:tmpl w:val="DEC3355C"/>
    <w:lvl w:ilvl="0" w:tentative="0">
      <w:start w:val="1"/>
      <w:numFmt w:val="decimal"/>
      <w:suff w:val="space"/>
      <w:lvlText w:val="(%1)"/>
      <w:lvlJc w:val="left"/>
    </w:lvl>
    <w:lvl w:ilvl="1" w:tentative="0">
      <w:start w:val="1"/>
      <w:numFmt w:val="decimalEnclosedCircleChinese"/>
      <w:lvlText w:val="%2"/>
      <w:lvlJc w:val="left"/>
      <w:pPr>
        <w:tabs>
          <w:tab w:val="left" w:pos="840"/>
        </w:tabs>
        <w:ind w:left="840" w:hanging="420"/>
      </w:pPr>
      <w:rPr>
        <w:rFonts w:hint="default"/>
      </w:rPr>
    </w:lvl>
    <w:lvl w:ilvl="2" w:tentative="0">
      <w:start w:val="1"/>
      <w:numFmt w:val="decimal"/>
      <w:lvlText w:val="%3)"/>
      <w:lvlJc w:val="left"/>
      <w:pPr>
        <w:tabs>
          <w:tab w:val="left" w:pos="1260"/>
        </w:tabs>
        <w:ind w:left="1260" w:hanging="420"/>
      </w:pPr>
      <w:rPr>
        <w:rFonts w:hint="default"/>
      </w:rPr>
    </w:lvl>
    <w:lvl w:ilvl="3" w:tentative="0">
      <w:start w:val="1"/>
      <w:numFmt w:val="lowerLetter"/>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6">
    <w:nsid w:val="0BDD5F2B"/>
    <w:multiLevelType w:val="multilevel"/>
    <w:tmpl w:val="0BDD5F2B"/>
    <w:lvl w:ilvl="0" w:tentative="0">
      <w:start w:val="1"/>
      <w:numFmt w:val="decimal"/>
      <w:pStyle w:val="2"/>
      <w:suff w:val="nothing"/>
      <w:lvlText w:val="%1  "/>
      <w:lvlJc w:val="left"/>
      <w:pPr>
        <w:ind w:left="4962" w:firstLine="0"/>
      </w:pPr>
      <w:rPr>
        <w:rFonts w:hint="default" w:ascii="Arial" w:hAnsi="Arial" w:eastAsia="黑体"/>
        <w:b w:val="0"/>
        <w:i w:val="0"/>
        <w:sz w:val="36"/>
        <w:szCs w:val="36"/>
        <w:lang w:val="en-US"/>
      </w:rPr>
    </w:lvl>
    <w:lvl w:ilvl="1" w:tentative="0">
      <w:start w:val="1"/>
      <w:numFmt w:val="decimal"/>
      <w:pStyle w:val="3"/>
      <w:suff w:val="nothing"/>
      <w:lvlText w:val="%1.%2  "/>
      <w:lvlJc w:val="left"/>
      <w:pPr>
        <w:ind w:left="4395" w:firstLine="0"/>
      </w:pPr>
      <w:rPr>
        <w:rFonts w:hint="default" w:ascii="Arial" w:hAnsi="Arial" w:cs="Arial"/>
        <w:b w:val="0"/>
        <w:bCs w:val="0"/>
        <w:i w:val="0"/>
        <w:iCs w:val="0"/>
        <w:caps w:val="0"/>
        <w:smallCaps w:val="0"/>
        <w:strike w:val="0"/>
        <w:dstrike w:val="0"/>
        <w:vanish w:val="0"/>
        <w:color w:val="000000"/>
        <w:spacing w:val="0"/>
        <w:kern w:val="0"/>
        <w:position w:val="0"/>
        <w:u w:val="none"/>
        <w:vertAlign w:val="baseline"/>
      </w:rPr>
    </w:lvl>
    <w:lvl w:ilvl="2" w:tentative="0">
      <w:start w:val="1"/>
      <w:numFmt w:val="decimal"/>
      <w:pStyle w:val="4"/>
      <w:suff w:val="nothing"/>
      <w:lvlText w:val="%1.%2.%3  "/>
      <w:lvlJc w:val="left"/>
      <w:pPr>
        <w:ind w:left="0" w:firstLine="0"/>
      </w:pPr>
      <w:rPr>
        <w:rFonts w:hint="default" w:ascii="Arial" w:hAnsi="Arial" w:cs="Arial"/>
        <w:b w:val="0"/>
        <w:bCs w:val="0"/>
        <w:i w:val="0"/>
        <w:iCs w:val="0"/>
        <w:caps w:val="0"/>
        <w:smallCaps w:val="0"/>
        <w:strike w:val="0"/>
        <w:dstrike w:val="0"/>
        <w:snapToGrid w:val="0"/>
        <w:vanish w:val="0"/>
        <w:color w:val="000000"/>
        <w:spacing w:val="0"/>
        <w:w w:val="0"/>
        <w:kern w:val="0"/>
        <w:position w:val="0"/>
        <w:szCs w:val="0"/>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7">
    <w:nsid w:val="0E480032"/>
    <w:multiLevelType w:val="multilevel"/>
    <w:tmpl w:val="0E48003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8">
    <w:nsid w:val="0FF31619"/>
    <w:multiLevelType w:val="multilevel"/>
    <w:tmpl w:val="0FF3161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108F6757"/>
    <w:multiLevelType w:val="multilevel"/>
    <w:tmpl w:val="108F6757"/>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0">
    <w:nsid w:val="14A294F5"/>
    <w:multiLevelType w:val="multilevel"/>
    <w:tmpl w:val="14A294F5"/>
    <w:lvl w:ilvl="0" w:tentative="0">
      <w:start w:val="1"/>
      <w:numFmt w:val="bullet"/>
      <w:lvlText w:val=""/>
      <w:lvlJc w:val="left"/>
      <w:pPr>
        <w:tabs>
          <w:tab w:val="left" w:pos="-1260"/>
        </w:tabs>
        <w:ind w:left="444" w:hanging="400"/>
      </w:pPr>
      <w:rPr>
        <w:rFonts w:hint="default" w:ascii="Symbol" w:hAnsi="Symbol"/>
      </w:rPr>
    </w:lvl>
    <w:lvl w:ilvl="1" w:tentative="0">
      <w:start w:val="1"/>
      <w:numFmt w:val="bullet"/>
      <w:lvlText w:val=""/>
      <w:lvlJc w:val="left"/>
      <w:pPr>
        <w:tabs>
          <w:tab w:val="left" w:pos="-1260"/>
        </w:tabs>
        <w:ind w:left="844" w:hanging="400"/>
      </w:pPr>
      <w:rPr>
        <w:rFonts w:hint="default" w:ascii="Wingdings" w:hAnsi="Wingdings"/>
      </w:rPr>
    </w:lvl>
    <w:lvl w:ilvl="2" w:tentative="0">
      <w:start w:val="1"/>
      <w:numFmt w:val="bullet"/>
      <w:lvlText w:val=""/>
      <w:lvlJc w:val="left"/>
      <w:pPr>
        <w:tabs>
          <w:tab w:val="left" w:pos="-1260"/>
        </w:tabs>
        <w:ind w:left="1244" w:hanging="400"/>
      </w:pPr>
      <w:rPr>
        <w:rFonts w:hint="default" w:ascii="Wingdings" w:hAnsi="Wingdings"/>
      </w:rPr>
    </w:lvl>
    <w:lvl w:ilvl="3" w:tentative="0">
      <w:start w:val="1"/>
      <w:numFmt w:val="bullet"/>
      <w:lvlText w:val=""/>
      <w:lvlJc w:val="left"/>
      <w:pPr>
        <w:tabs>
          <w:tab w:val="left" w:pos="-1260"/>
        </w:tabs>
        <w:ind w:left="1644" w:hanging="400"/>
      </w:pPr>
      <w:rPr>
        <w:rFonts w:hint="default" w:ascii="Wingdings" w:hAnsi="Wingdings"/>
      </w:rPr>
    </w:lvl>
    <w:lvl w:ilvl="4" w:tentative="0">
      <w:start w:val="1"/>
      <w:numFmt w:val="bullet"/>
      <w:lvlText w:val=""/>
      <w:lvlJc w:val="left"/>
      <w:pPr>
        <w:tabs>
          <w:tab w:val="left" w:pos="-1260"/>
        </w:tabs>
        <w:ind w:left="2044" w:hanging="400"/>
      </w:pPr>
      <w:rPr>
        <w:rFonts w:hint="default" w:ascii="Wingdings" w:hAnsi="Wingdings"/>
      </w:rPr>
    </w:lvl>
    <w:lvl w:ilvl="5" w:tentative="0">
      <w:start w:val="1"/>
      <w:numFmt w:val="bullet"/>
      <w:lvlText w:val=""/>
      <w:lvlJc w:val="left"/>
      <w:pPr>
        <w:tabs>
          <w:tab w:val="left" w:pos="-1260"/>
        </w:tabs>
        <w:ind w:left="2444" w:hanging="400"/>
      </w:pPr>
      <w:rPr>
        <w:rFonts w:hint="default" w:ascii="Wingdings" w:hAnsi="Wingdings"/>
      </w:rPr>
    </w:lvl>
    <w:lvl w:ilvl="6" w:tentative="0">
      <w:start w:val="1"/>
      <w:numFmt w:val="bullet"/>
      <w:lvlText w:val=""/>
      <w:lvlJc w:val="left"/>
      <w:pPr>
        <w:tabs>
          <w:tab w:val="left" w:pos="-1260"/>
        </w:tabs>
        <w:ind w:left="2844" w:hanging="400"/>
      </w:pPr>
      <w:rPr>
        <w:rFonts w:hint="default" w:ascii="Wingdings" w:hAnsi="Wingdings"/>
      </w:rPr>
    </w:lvl>
    <w:lvl w:ilvl="7" w:tentative="0">
      <w:start w:val="1"/>
      <w:numFmt w:val="bullet"/>
      <w:lvlText w:val=""/>
      <w:lvlJc w:val="left"/>
      <w:pPr>
        <w:tabs>
          <w:tab w:val="left" w:pos="-1260"/>
        </w:tabs>
        <w:ind w:left="3244" w:hanging="400"/>
      </w:pPr>
      <w:rPr>
        <w:rFonts w:hint="default" w:ascii="Wingdings" w:hAnsi="Wingdings"/>
      </w:rPr>
    </w:lvl>
    <w:lvl w:ilvl="8" w:tentative="0">
      <w:start w:val="1"/>
      <w:numFmt w:val="bullet"/>
      <w:lvlText w:val=""/>
      <w:lvlJc w:val="left"/>
      <w:pPr>
        <w:tabs>
          <w:tab w:val="left" w:pos="-1260"/>
        </w:tabs>
        <w:ind w:left="3644" w:hanging="400"/>
      </w:pPr>
      <w:rPr>
        <w:rFonts w:hint="default" w:ascii="Wingdings" w:hAnsi="Wingdings"/>
      </w:rPr>
    </w:lvl>
  </w:abstractNum>
  <w:abstractNum w:abstractNumId="11">
    <w:nsid w:val="19D41A52"/>
    <w:multiLevelType w:val="multilevel"/>
    <w:tmpl w:val="19D41A52"/>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201635A1"/>
    <w:multiLevelType w:val="multilevel"/>
    <w:tmpl w:val="201635A1"/>
    <w:lvl w:ilvl="0" w:tentative="0">
      <w:start w:val="0"/>
      <w:numFmt w:val="bullet"/>
      <w:lvlText w:val=""/>
      <w:lvlJc w:val="left"/>
      <w:pPr>
        <w:ind w:left="360" w:hanging="360"/>
      </w:pPr>
      <w:rPr>
        <w:rFonts w:hint="default" w:ascii="Symbol" w:hAnsi="Symbol" w:eastAsia="Times New Roman"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0"/>
      <w:numFmt w:val="bullet"/>
      <w:lvlText w:val="•"/>
      <w:lvlJc w:val="left"/>
      <w:pPr>
        <w:ind w:left="2880" w:hanging="720"/>
      </w:pPr>
      <w:rPr>
        <w:rFonts w:hint="default" w:ascii="Times New Roman" w:hAnsi="Times New Roman" w:cs="Times New Roman"/>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3">
    <w:nsid w:val="2F3C17CF"/>
    <w:multiLevelType w:val="singleLevel"/>
    <w:tmpl w:val="2F3C17CF"/>
    <w:lvl w:ilvl="0" w:tentative="0">
      <w:start w:val="1"/>
      <w:numFmt w:val="decimal"/>
      <w:suff w:val="space"/>
      <w:lvlText w:val="(%1)"/>
      <w:lvlJc w:val="left"/>
    </w:lvl>
  </w:abstractNum>
  <w:abstractNum w:abstractNumId="14">
    <w:nsid w:val="3A877D64"/>
    <w:multiLevelType w:val="singleLevel"/>
    <w:tmpl w:val="3A877D64"/>
    <w:lvl w:ilvl="0" w:tentative="0">
      <w:start w:val="1"/>
      <w:numFmt w:val="decimal"/>
      <w:pStyle w:val="31"/>
      <w:lvlText w:val="[%1]"/>
      <w:lvlJc w:val="left"/>
      <w:pPr>
        <w:tabs>
          <w:tab w:val="left" w:pos="360"/>
        </w:tabs>
        <w:ind w:left="360" w:hanging="360"/>
      </w:pPr>
    </w:lvl>
  </w:abstractNum>
  <w:abstractNum w:abstractNumId="15">
    <w:nsid w:val="3B961E63"/>
    <w:multiLevelType w:val="multilevel"/>
    <w:tmpl w:val="3B961E6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443E42E3"/>
    <w:multiLevelType w:val="multilevel"/>
    <w:tmpl w:val="443E42E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44CA3056"/>
    <w:multiLevelType w:val="multilevel"/>
    <w:tmpl w:val="44CA3056"/>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8">
    <w:nsid w:val="49837BF0"/>
    <w:multiLevelType w:val="multilevel"/>
    <w:tmpl w:val="49837BF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4B5964BF"/>
    <w:multiLevelType w:val="multilevel"/>
    <w:tmpl w:val="4B5964BF"/>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4D2B38CE"/>
    <w:multiLevelType w:val="multilevel"/>
    <w:tmpl w:val="4D2B38CE"/>
    <w:lvl w:ilvl="0" w:tentative="0">
      <w:start w:val="1"/>
      <w:numFmt w:val="bullet"/>
      <w:lvlText w:val=""/>
      <w:lvlJc w:val="left"/>
      <w:pPr>
        <w:ind w:left="840" w:hanging="420"/>
      </w:pPr>
      <w:rPr>
        <w:rFonts w:hint="default" w:ascii="Wingdings" w:hAnsi="Wingdings" w:cs="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1">
    <w:nsid w:val="59111C98"/>
    <w:multiLevelType w:val="multilevel"/>
    <w:tmpl w:val="59111C98"/>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2">
    <w:nsid w:val="5C1D2047"/>
    <w:multiLevelType w:val="multilevel"/>
    <w:tmpl w:val="5C1D20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5E2B6166"/>
    <w:multiLevelType w:val="multilevel"/>
    <w:tmpl w:val="5E2B616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5FEE0B21"/>
    <w:multiLevelType w:val="multilevel"/>
    <w:tmpl w:val="5FEE0B21"/>
    <w:lvl w:ilvl="0" w:tentative="0">
      <w:start w:val="1"/>
      <w:numFmt w:val="bullet"/>
      <w:lvlText w:val=""/>
      <w:lvlJc w:val="left"/>
      <w:pPr>
        <w:ind w:left="840" w:hanging="420"/>
      </w:pPr>
      <w:rPr>
        <w:rFonts w:hint="default" w:ascii="Wingdings" w:hAnsi="Wingdings" w:cs="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5">
    <w:nsid w:val="61AE2678"/>
    <w:multiLevelType w:val="multilevel"/>
    <w:tmpl w:val="61AE267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6CA3078B"/>
    <w:multiLevelType w:val="multilevel"/>
    <w:tmpl w:val="6CA3078B"/>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6CED0ACD"/>
    <w:multiLevelType w:val="multilevel"/>
    <w:tmpl w:val="6CED0ACD"/>
    <w:lvl w:ilvl="0" w:tentative="0">
      <w:start w:val="0"/>
      <w:numFmt w:val="bullet"/>
      <w:lvlText w:val=""/>
      <w:lvlJc w:val="left"/>
      <w:pPr>
        <w:ind w:left="360" w:hanging="360"/>
      </w:pPr>
      <w:rPr>
        <w:rFonts w:hint="default" w:ascii="Symbol" w:hAnsi="Symbol" w:eastAsia="Times New Roman"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0"/>
      <w:numFmt w:val="bullet"/>
      <w:lvlText w:val="•"/>
      <w:lvlJc w:val="left"/>
      <w:pPr>
        <w:ind w:left="2880" w:hanging="720"/>
      </w:pPr>
      <w:rPr>
        <w:rFonts w:hint="default" w:ascii="Times New Roman" w:hAnsi="Times New Roman" w:cs="Times New Roman"/>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8">
    <w:nsid w:val="7DB027D9"/>
    <w:multiLevelType w:val="multilevel"/>
    <w:tmpl w:val="7DB027D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6"/>
  </w:num>
  <w:num w:numId="2">
    <w:abstractNumId w:val="14"/>
  </w:num>
  <w:num w:numId="3">
    <w:abstractNumId w:val="1"/>
  </w:num>
  <w:num w:numId="4">
    <w:abstractNumId w:val="3"/>
  </w:num>
  <w:num w:numId="5">
    <w:abstractNumId w:val="22"/>
  </w:num>
  <w:num w:numId="6">
    <w:abstractNumId w:val="7"/>
  </w:num>
  <w:num w:numId="7">
    <w:abstractNumId w:val="27"/>
  </w:num>
  <w:num w:numId="8">
    <w:abstractNumId w:val="12"/>
  </w:num>
  <w:num w:numId="9">
    <w:abstractNumId w:val="15"/>
  </w:num>
  <w:num w:numId="10">
    <w:abstractNumId w:val="26"/>
  </w:num>
  <w:num w:numId="11">
    <w:abstractNumId w:val="9"/>
  </w:num>
  <w:num w:numId="12">
    <w:abstractNumId w:val="19"/>
  </w:num>
  <w:num w:numId="13">
    <w:abstractNumId w:val="20"/>
  </w:num>
  <w:num w:numId="14">
    <w:abstractNumId w:val="23"/>
  </w:num>
  <w:num w:numId="15">
    <w:abstractNumId w:val="13"/>
  </w:num>
  <w:num w:numId="16">
    <w:abstractNumId w:val="2"/>
  </w:num>
  <w:num w:numId="17">
    <w:abstractNumId w:val="17"/>
  </w:num>
  <w:num w:numId="18">
    <w:abstractNumId w:val="16"/>
  </w:num>
  <w:num w:numId="19">
    <w:abstractNumId w:val="21"/>
  </w:num>
  <w:num w:numId="20">
    <w:abstractNumId w:val="18"/>
  </w:num>
  <w:num w:numId="21">
    <w:abstractNumId w:val="11"/>
  </w:num>
  <w:num w:numId="22">
    <w:abstractNumId w:val="25"/>
  </w:num>
  <w:num w:numId="23">
    <w:abstractNumId w:val="5"/>
  </w:num>
  <w:num w:numId="24">
    <w:abstractNumId w:val="24"/>
  </w:num>
  <w:num w:numId="25">
    <w:abstractNumId w:val="8"/>
  </w:num>
  <w:num w:numId="26">
    <w:abstractNumId w:val="4"/>
  </w:num>
  <w:num w:numId="27">
    <w:abstractNumId w:val="28"/>
  </w:num>
  <w:num w:numId="28">
    <w:abstractNumId w:val="10"/>
  </w:num>
  <w:num w:numId="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7997"/>
    <w:rsid w:val="00026ED5"/>
    <w:rsid w:val="0003032F"/>
    <w:rsid w:val="0003539F"/>
    <w:rsid w:val="000372CC"/>
    <w:rsid w:val="00037902"/>
    <w:rsid w:val="00041DB0"/>
    <w:rsid w:val="00042BD8"/>
    <w:rsid w:val="00043B44"/>
    <w:rsid w:val="00046D0F"/>
    <w:rsid w:val="00047D7D"/>
    <w:rsid w:val="00050423"/>
    <w:rsid w:val="0005188D"/>
    <w:rsid w:val="00051F4E"/>
    <w:rsid w:val="000529AC"/>
    <w:rsid w:val="000630BC"/>
    <w:rsid w:val="00072FB0"/>
    <w:rsid w:val="0007627A"/>
    <w:rsid w:val="00080236"/>
    <w:rsid w:val="000817C4"/>
    <w:rsid w:val="000903FF"/>
    <w:rsid w:val="00091E99"/>
    <w:rsid w:val="000928E1"/>
    <w:rsid w:val="00093DF3"/>
    <w:rsid w:val="00094406"/>
    <w:rsid w:val="00094788"/>
    <w:rsid w:val="000A15BE"/>
    <w:rsid w:val="000B23CB"/>
    <w:rsid w:val="000B426A"/>
    <w:rsid w:val="000C1A96"/>
    <w:rsid w:val="000C61B3"/>
    <w:rsid w:val="000C641B"/>
    <w:rsid w:val="000D0462"/>
    <w:rsid w:val="000D28EB"/>
    <w:rsid w:val="000D4DFF"/>
    <w:rsid w:val="000E202E"/>
    <w:rsid w:val="000E2433"/>
    <w:rsid w:val="000E4FDD"/>
    <w:rsid w:val="000E5081"/>
    <w:rsid w:val="000E53C2"/>
    <w:rsid w:val="000F0283"/>
    <w:rsid w:val="000F28CA"/>
    <w:rsid w:val="000F508E"/>
    <w:rsid w:val="000F62E2"/>
    <w:rsid w:val="00103906"/>
    <w:rsid w:val="00110D37"/>
    <w:rsid w:val="00115113"/>
    <w:rsid w:val="001237C8"/>
    <w:rsid w:val="0012391E"/>
    <w:rsid w:val="00130D6E"/>
    <w:rsid w:val="00131A07"/>
    <w:rsid w:val="00137D7C"/>
    <w:rsid w:val="00140523"/>
    <w:rsid w:val="00140FD0"/>
    <w:rsid w:val="00142961"/>
    <w:rsid w:val="00146168"/>
    <w:rsid w:val="001470AA"/>
    <w:rsid w:val="00151A45"/>
    <w:rsid w:val="00153BF7"/>
    <w:rsid w:val="00156E98"/>
    <w:rsid w:val="0016113B"/>
    <w:rsid w:val="001614FB"/>
    <w:rsid w:val="001632AB"/>
    <w:rsid w:val="0016410B"/>
    <w:rsid w:val="001652B8"/>
    <w:rsid w:val="001703E0"/>
    <w:rsid w:val="001709DE"/>
    <w:rsid w:val="00172A27"/>
    <w:rsid w:val="001754AE"/>
    <w:rsid w:val="00182E3F"/>
    <w:rsid w:val="00183E50"/>
    <w:rsid w:val="00185416"/>
    <w:rsid w:val="00185BB7"/>
    <w:rsid w:val="0018732E"/>
    <w:rsid w:val="001916D8"/>
    <w:rsid w:val="00191912"/>
    <w:rsid w:val="00191CA6"/>
    <w:rsid w:val="0019261A"/>
    <w:rsid w:val="00193D53"/>
    <w:rsid w:val="00195F46"/>
    <w:rsid w:val="001A0460"/>
    <w:rsid w:val="001A7136"/>
    <w:rsid w:val="001B3634"/>
    <w:rsid w:val="001B4FF5"/>
    <w:rsid w:val="001C1894"/>
    <w:rsid w:val="001C196F"/>
    <w:rsid w:val="001C6389"/>
    <w:rsid w:val="001C7C37"/>
    <w:rsid w:val="001D1287"/>
    <w:rsid w:val="001D54B6"/>
    <w:rsid w:val="001D6ED6"/>
    <w:rsid w:val="001E03DC"/>
    <w:rsid w:val="001E125B"/>
    <w:rsid w:val="001E262F"/>
    <w:rsid w:val="001E2F0A"/>
    <w:rsid w:val="001F1BB1"/>
    <w:rsid w:val="001F415E"/>
    <w:rsid w:val="001F6E58"/>
    <w:rsid w:val="0020406B"/>
    <w:rsid w:val="00207BA8"/>
    <w:rsid w:val="00212872"/>
    <w:rsid w:val="00212F87"/>
    <w:rsid w:val="0021348C"/>
    <w:rsid w:val="002138DF"/>
    <w:rsid w:val="002157E9"/>
    <w:rsid w:val="00216169"/>
    <w:rsid w:val="00216AE4"/>
    <w:rsid w:val="002240E1"/>
    <w:rsid w:val="00224366"/>
    <w:rsid w:val="00224A1A"/>
    <w:rsid w:val="00225E60"/>
    <w:rsid w:val="00227DF5"/>
    <w:rsid w:val="002320CA"/>
    <w:rsid w:val="002401EC"/>
    <w:rsid w:val="002418CC"/>
    <w:rsid w:val="00243B44"/>
    <w:rsid w:val="00244ABB"/>
    <w:rsid w:val="00247A67"/>
    <w:rsid w:val="00251814"/>
    <w:rsid w:val="00255DF8"/>
    <w:rsid w:val="00256B05"/>
    <w:rsid w:val="00261C72"/>
    <w:rsid w:val="00263349"/>
    <w:rsid w:val="00266F1B"/>
    <w:rsid w:val="0026766E"/>
    <w:rsid w:val="002748A9"/>
    <w:rsid w:val="00276CFC"/>
    <w:rsid w:val="00282069"/>
    <w:rsid w:val="00283D47"/>
    <w:rsid w:val="0029045D"/>
    <w:rsid w:val="002A0961"/>
    <w:rsid w:val="002A1E2C"/>
    <w:rsid w:val="002A4D19"/>
    <w:rsid w:val="002B4661"/>
    <w:rsid w:val="002B6DE0"/>
    <w:rsid w:val="002C4448"/>
    <w:rsid w:val="002C68AC"/>
    <w:rsid w:val="002C6F46"/>
    <w:rsid w:val="002C7CCD"/>
    <w:rsid w:val="002D02AA"/>
    <w:rsid w:val="002D151C"/>
    <w:rsid w:val="002E4716"/>
    <w:rsid w:val="002E536D"/>
    <w:rsid w:val="002F0E7A"/>
    <w:rsid w:val="002F2535"/>
    <w:rsid w:val="002F5687"/>
    <w:rsid w:val="002F5A8D"/>
    <w:rsid w:val="002F7619"/>
    <w:rsid w:val="00302F20"/>
    <w:rsid w:val="00303936"/>
    <w:rsid w:val="003077E7"/>
    <w:rsid w:val="00307F7F"/>
    <w:rsid w:val="00314748"/>
    <w:rsid w:val="003153BB"/>
    <w:rsid w:val="00315688"/>
    <w:rsid w:val="00316046"/>
    <w:rsid w:val="00317501"/>
    <w:rsid w:val="00322EE2"/>
    <w:rsid w:val="00323EDC"/>
    <w:rsid w:val="00325902"/>
    <w:rsid w:val="003265A9"/>
    <w:rsid w:val="003275A3"/>
    <w:rsid w:val="00330394"/>
    <w:rsid w:val="00332576"/>
    <w:rsid w:val="00332D30"/>
    <w:rsid w:val="00333141"/>
    <w:rsid w:val="00333C7F"/>
    <w:rsid w:val="0033573E"/>
    <w:rsid w:val="00335FF9"/>
    <w:rsid w:val="0034009F"/>
    <w:rsid w:val="00340631"/>
    <w:rsid w:val="00343CE4"/>
    <w:rsid w:val="00344E48"/>
    <w:rsid w:val="003462E3"/>
    <w:rsid w:val="00346679"/>
    <w:rsid w:val="003466BB"/>
    <w:rsid w:val="0035253F"/>
    <w:rsid w:val="00356565"/>
    <w:rsid w:val="00360CDB"/>
    <w:rsid w:val="00361D52"/>
    <w:rsid w:val="00365E0E"/>
    <w:rsid w:val="00367D2A"/>
    <w:rsid w:val="003704FF"/>
    <w:rsid w:val="00370D7F"/>
    <w:rsid w:val="00372A00"/>
    <w:rsid w:val="00373667"/>
    <w:rsid w:val="00376E4B"/>
    <w:rsid w:val="00376EEB"/>
    <w:rsid w:val="00383F83"/>
    <w:rsid w:val="003872BB"/>
    <w:rsid w:val="003912DD"/>
    <w:rsid w:val="003954DC"/>
    <w:rsid w:val="00396543"/>
    <w:rsid w:val="00396F31"/>
    <w:rsid w:val="00397BA3"/>
    <w:rsid w:val="003A1DCE"/>
    <w:rsid w:val="003A301F"/>
    <w:rsid w:val="003A4365"/>
    <w:rsid w:val="003A6675"/>
    <w:rsid w:val="003A6BBE"/>
    <w:rsid w:val="003A75C0"/>
    <w:rsid w:val="003A7EAD"/>
    <w:rsid w:val="003B50E7"/>
    <w:rsid w:val="003B53DF"/>
    <w:rsid w:val="003B799C"/>
    <w:rsid w:val="003D44C6"/>
    <w:rsid w:val="003E3A25"/>
    <w:rsid w:val="003E492C"/>
    <w:rsid w:val="003E4C75"/>
    <w:rsid w:val="003E6E56"/>
    <w:rsid w:val="003E76E8"/>
    <w:rsid w:val="003F6DD6"/>
    <w:rsid w:val="003F7415"/>
    <w:rsid w:val="003F7CF7"/>
    <w:rsid w:val="004003D2"/>
    <w:rsid w:val="0040065B"/>
    <w:rsid w:val="00410809"/>
    <w:rsid w:val="00415008"/>
    <w:rsid w:val="00415E2A"/>
    <w:rsid w:val="00416831"/>
    <w:rsid w:val="004209E1"/>
    <w:rsid w:val="0042238B"/>
    <w:rsid w:val="004322B2"/>
    <w:rsid w:val="004406B8"/>
    <w:rsid w:val="00450C17"/>
    <w:rsid w:val="004527B1"/>
    <w:rsid w:val="004545A5"/>
    <w:rsid w:val="004608F6"/>
    <w:rsid w:val="004724B4"/>
    <w:rsid w:val="00472B06"/>
    <w:rsid w:val="004756ED"/>
    <w:rsid w:val="00477655"/>
    <w:rsid w:val="00477A92"/>
    <w:rsid w:val="0048120F"/>
    <w:rsid w:val="00482706"/>
    <w:rsid w:val="00490434"/>
    <w:rsid w:val="004927C9"/>
    <w:rsid w:val="004A091E"/>
    <w:rsid w:val="004A142B"/>
    <w:rsid w:val="004A5D1D"/>
    <w:rsid w:val="004A699E"/>
    <w:rsid w:val="004B44A9"/>
    <w:rsid w:val="004B6AC5"/>
    <w:rsid w:val="004C1A54"/>
    <w:rsid w:val="004C6B34"/>
    <w:rsid w:val="004D51D5"/>
    <w:rsid w:val="004D6A3B"/>
    <w:rsid w:val="004E1533"/>
    <w:rsid w:val="004E2157"/>
    <w:rsid w:val="004E565D"/>
    <w:rsid w:val="004F5994"/>
    <w:rsid w:val="005006F7"/>
    <w:rsid w:val="00500F45"/>
    <w:rsid w:val="00503921"/>
    <w:rsid w:val="00507A00"/>
    <w:rsid w:val="00510298"/>
    <w:rsid w:val="00514474"/>
    <w:rsid w:val="005176E7"/>
    <w:rsid w:val="00523589"/>
    <w:rsid w:val="00523668"/>
    <w:rsid w:val="00523AD9"/>
    <w:rsid w:val="00523D5E"/>
    <w:rsid w:val="00527033"/>
    <w:rsid w:val="00527963"/>
    <w:rsid w:val="00531B5B"/>
    <w:rsid w:val="00531F66"/>
    <w:rsid w:val="0053218A"/>
    <w:rsid w:val="00532500"/>
    <w:rsid w:val="005349A5"/>
    <w:rsid w:val="00541B22"/>
    <w:rsid w:val="00543E8F"/>
    <w:rsid w:val="00546436"/>
    <w:rsid w:val="00547723"/>
    <w:rsid w:val="00550D69"/>
    <w:rsid w:val="00557AAE"/>
    <w:rsid w:val="00561DA4"/>
    <w:rsid w:val="0056301C"/>
    <w:rsid w:val="00564BCB"/>
    <w:rsid w:val="00567F8C"/>
    <w:rsid w:val="00571CB9"/>
    <w:rsid w:val="00571E78"/>
    <w:rsid w:val="00572F6E"/>
    <w:rsid w:val="00573AC2"/>
    <w:rsid w:val="00574776"/>
    <w:rsid w:val="0058526A"/>
    <w:rsid w:val="00590634"/>
    <w:rsid w:val="00592701"/>
    <w:rsid w:val="0059321F"/>
    <w:rsid w:val="00593818"/>
    <w:rsid w:val="005A05C6"/>
    <w:rsid w:val="005A0FE9"/>
    <w:rsid w:val="005A1041"/>
    <w:rsid w:val="005A3DFB"/>
    <w:rsid w:val="005B0902"/>
    <w:rsid w:val="005B0D94"/>
    <w:rsid w:val="005B2D7D"/>
    <w:rsid w:val="005B4C0C"/>
    <w:rsid w:val="005B77A5"/>
    <w:rsid w:val="005C3C86"/>
    <w:rsid w:val="005C41D1"/>
    <w:rsid w:val="005C6B42"/>
    <w:rsid w:val="005D485D"/>
    <w:rsid w:val="005D644F"/>
    <w:rsid w:val="005D6A1C"/>
    <w:rsid w:val="005E2C89"/>
    <w:rsid w:val="005E6492"/>
    <w:rsid w:val="005E6798"/>
    <w:rsid w:val="005F26E5"/>
    <w:rsid w:val="005F5ABE"/>
    <w:rsid w:val="005F62C0"/>
    <w:rsid w:val="00604264"/>
    <w:rsid w:val="00611232"/>
    <w:rsid w:val="006113B9"/>
    <w:rsid w:val="00614103"/>
    <w:rsid w:val="00614E28"/>
    <w:rsid w:val="00614EF4"/>
    <w:rsid w:val="00617327"/>
    <w:rsid w:val="00617EE7"/>
    <w:rsid w:val="0062027E"/>
    <w:rsid w:val="00620288"/>
    <w:rsid w:val="00620D7C"/>
    <w:rsid w:val="00622ABB"/>
    <w:rsid w:val="006231ED"/>
    <w:rsid w:val="00624C23"/>
    <w:rsid w:val="006310C5"/>
    <w:rsid w:val="00633E43"/>
    <w:rsid w:val="006348A4"/>
    <w:rsid w:val="0063534A"/>
    <w:rsid w:val="006364B6"/>
    <w:rsid w:val="00637D11"/>
    <w:rsid w:val="00640223"/>
    <w:rsid w:val="00640B94"/>
    <w:rsid w:val="00640C54"/>
    <w:rsid w:val="00642298"/>
    <w:rsid w:val="00645EA6"/>
    <w:rsid w:val="00646EAA"/>
    <w:rsid w:val="00647E86"/>
    <w:rsid w:val="006501AA"/>
    <w:rsid w:val="006519C3"/>
    <w:rsid w:val="006536B8"/>
    <w:rsid w:val="00654D98"/>
    <w:rsid w:val="00665194"/>
    <w:rsid w:val="00670F55"/>
    <w:rsid w:val="006720F6"/>
    <w:rsid w:val="0067426A"/>
    <w:rsid w:val="00674297"/>
    <w:rsid w:val="00676C72"/>
    <w:rsid w:val="00680FFF"/>
    <w:rsid w:val="00683DCB"/>
    <w:rsid w:val="00691376"/>
    <w:rsid w:val="00691620"/>
    <w:rsid w:val="006922EF"/>
    <w:rsid w:val="00694FB9"/>
    <w:rsid w:val="00696DD2"/>
    <w:rsid w:val="006C2229"/>
    <w:rsid w:val="006C55B1"/>
    <w:rsid w:val="006C69C1"/>
    <w:rsid w:val="006C7C51"/>
    <w:rsid w:val="006D11DE"/>
    <w:rsid w:val="006D3D89"/>
    <w:rsid w:val="006D514F"/>
    <w:rsid w:val="006E01C3"/>
    <w:rsid w:val="006E392C"/>
    <w:rsid w:val="006F1D30"/>
    <w:rsid w:val="006F3794"/>
    <w:rsid w:val="006F4852"/>
    <w:rsid w:val="00700636"/>
    <w:rsid w:val="007009EE"/>
    <w:rsid w:val="00701353"/>
    <w:rsid w:val="00701BF9"/>
    <w:rsid w:val="007036F7"/>
    <w:rsid w:val="00703B14"/>
    <w:rsid w:val="00703C75"/>
    <w:rsid w:val="0070691A"/>
    <w:rsid w:val="0070693A"/>
    <w:rsid w:val="0070752E"/>
    <w:rsid w:val="00710A56"/>
    <w:rsid w:val="00717A38"/>
    <w:rsid w:val="0072615B"/>
    <w:rsid w:val="0073048C"/>
    <w:rsid w:val="0073053B"/>
    <w:rsid w:val="00735DC1"/>
    <w:rsid w:val="007427BB"/>
    <w:rsid w:val="007440A2"/>
    <w:rsid w:val="00745143"/>
    <w:rsid w:val="007456A8"/>
    <w:rsid w:val="00747C56"/>
    <w:rsid w:val="007501AC"/>
    <w:rsid w:val="0075050D"/>
    <w:rsid w:val="00761D18"/>
    <w:rsid w:val="00762F1B"/>
    <w:rsid w:val="0076682E"/>
    <w:rsid w:val="0077581A"/>
    <w:rsid w:val="0077761A"/>
    <w:rsid w:val="00781418"/>
    <w:rsid w:val="007840DF"/>
    <w:rsid w:val="00784828"/>
    <w:rsid w:val="00785A2A"/>
    <w:rsid w:val="00786A2C"/>
    <w:rsid w:val="00787FA9"/>
    <w:rsid w:val="00793E50"/>
    <w:rsid w:val="007A0CD8"/>
    <w:rsid w:val="007A28A7"/>
    <w:rsid w:val="007A5332"/>
    <w:rsid w:val="007B0FD9"/>
    <w:rsid w:val="007B2945"/>
    <w:rsid w:val="007B2B56"/>
    <w:rsid w:val="007B2EB4"/>
    <w:rsid w:val="007B458B"/>
    <w:rsid w:val="007C025B"/>
    <w:rsid w:val="007C4328"/>
    <w:rsid w:val="007C440F"/>
    <w:rsid w:val="007C44E0"/>
    <w:rsid w:val="007C5E0B"/>
    <w:rsid w:val="007C5FAC"/>
    <w:rsid w:val="007C6B64"/>
    <w:rsid w:val="007E4A23"/>
    <w:rsid w:val="007F16AC"/>
    <w:rsid w:val="007F20D9"/>
    <w:rsid w:val="007F39F4"/>
    <w:rsid w:val="007F787F"/>
    <w:rsid w:val="00802A15"/>
    <w:rsid w:val="0080767E"/>
    <w:rsid w:val="00810C42"/>
    <w:rsid w:val="00815CD7"/>
    <w:rsid w:val="00816EF3"/>
    <w:rsid w:val="008266C4"/>
    <w:rsid w:val="008412CD"/>
    <w:rsid w:val="0084144D"/>
    <w:rsid w:val="0084276C"/>
    <w:rsid w:val="0084332A"/>
    <w:rsid w:val="00847621"/>
    <w:rsid w:val="00852635"/>
    <w:rsid w:val="0085443B"/>
    <w:rsid w:val="00857E93"/>
    <w:rsid w:val="00857EEE"/>
    <w:rsid w:val="008652E8"/>
    <w:rsid w:val="00870679"/>
    <w:rsid w:val="00870E40"/>
    <w:rsid w:val="00877CC0"/>
    <w:rsid w:val="0088152D"/>
    <w:rsid w:val="0088235D"/>
    <w:rsid w:val="00885AE1"/>
    <w:rsid w:val="00886E49"/>
    <w:rsid w:val="00886EA7"/>
    <w:rsid w:val="00892B4C"/>
    <w:rsid w:val="00893268"/>
    <w:rsid w:val="0089344F"/>
    <w:rsid w:val="00893D30"/>
    <w:rsid w:val="00894520"/>
    <w:rsid w:val="008975D6"/>
    <w:rsid w:val="008A0E2F"/>
    <w:rsid w:val="008A4560"/>
    <w:rsid w:val="008A6449"/>
    <w:rsid w:val="008A72B5"/>
    <w:rsid w:val="008B3130"/>
    <w:rsid w:val="008B547D"/>
    <w:rsid w:val="008B5C48"/>
    <w:rsid w:val="008B6033"/>
    <w:rsid w:val="008B7F10"/>
    <w:rsid w:val="008C0445"/>
    <w:rsid w:val="008C1801"/>
    <w:rsid w:val="008C607A"/>
    <w:rsid w:val="008E728A"/>
    <w:rsid w:val="008F255E"/>
    <w:rsid w:val="008F3DC8"/>
    <w:rsid w:val="008F56B9"/>
    <w:rsid w:val="008F5930"/>
    <w:rsid w:val="008F7918"/>
    <w:rsid w:val="00903A35"/>
    <w:rsid w:val="00906E07"/>
    <w:rsid w:val="00921F00"/>
    <w:rsid w:val="00922624"/>
    <w:rsid w:val="00923BDA"/>
    <w:rsid w:val="00931716"/>
    <w:rsid w:val="00932373"/>
    <w:rsid w:val="00933BAD"/>
    <w:rsid w:val="0093617A"/>
    <w:rsid w:val="009411A5"/>
    <w:rsid w:val="00941212"/>
    <w:rsid w:val="00944705"/>
    <w:rsid w:val="00944C65"/>
    <w:rsid w:val="00946A7C"/>
    <w:rsid w:val="00950DB1"/>
    <w:rsid w:val="00952C83"/>
    <w:rsid w:val="009547DA"/>
    <w:rsid w:val="00957418"/>
    <w:rsid w:val="009610C6"/>
    <w:rsid w:val="0096194F"/>
    <w:rsid w:val="00966E7D"/>
    <w:rsid w:val="00970630"/>
    <w:rsid w:val="009717AB"/>
    <w:rsid w:val="00971A1F"/>
    <w:rsid w:val="009734B7"/>
    <w:rsid w:val="00982414"/>
    <w:rsid w:val="00983FE2"/>
    <w:rsid w:val="00985D03"/>
    <w:rsid w:val="00986B97"/>
    <w:rsid w:val="00990C3C"/>
    <w:rsid w:val="009913CB"/>
    <w:rsid w:val="00994A41"/>
    <w:rsid w:val="009A21E7"/>
    <w:rsid w:val="009A380A"/>
    <w:rsid w:val="009A3A36"/>
    <w:rsid w:val="009A4F31"/>
    <w:rsid w:val="009B05AD"/>
    <w:rsid w:val="009B18A3"/>
    <w:rsid w:val="009B3722"/>
    <w:rsid w:val="009B5557"/>
    <w:rsid w:val="009B6161"/>
    <w:rsid w:val="009C0075"/>
    <w:rsid w:val="009C154E"/>
    <w:rsid w:val="009C362B"/>
    <w:rsid w:val="009C7064"/>
    <w:rsid w:val="009D0F39"/>
    <w:rsid w:val="009D1236"/>
    <w:rsid w:val="009D434D"/>
    <w:rsid w:val="009D5ADE"/>
    <w:rsid w:val="009D6400"/>
    <w:rsid w:val="009D72F1"/>
    <w:rsid w:val="009D7770"/>
    <w:rsid w:val="009D7C12"/>
    <w:rsid w:val="009E1D79"/>
    <w:rsid w:val="009E20FF"/>
    <w:rsid w:val="009F1417"/>
    <w:rsid w:val="009F65A8"/>
    <w:rsid w:val="009F7747"/>
    <w:rsid w:val="009F79D0"/>
    <w:rsid w:val="00A01570"/>
    <w:rsid w:val="00A02D15"/>
    <w:rsid w:val="00A043F5"/>
    <w:rsid w:val="00A05A33"/>
    <w:rsid w:val="00A066A9"/>
    <w:rsid w:val="00A14F22"/>
    <w:rsid w:val="00A171E5"/>
    <w:rsid w:val="00A17810"/>
    <w:rsid w:val="00A20C89"/>
    <w:rsid w:val="00A21523"/>
    <w:rsid w:val="00A22D60"/>
    <w:rsid w:val="00A26720"/>
    <w:rsid w:val="00A32A3D"/>
    <w:rsid w:val="00A33BD9"/>
    <w:rsid w:val="00A33D01"/>
    <w:rsid w:val="00A37B70"/>
    <w:rsid w:val="00A40C3F"/>
    <w:rsid w:val="00A4182C"/>
    <w:rsid w:val="00A508AF"/>
    <w:rsid w:val="00A50B2A"/>
    <w:rsid w:val="00A54A48"/>
    <w:rsid w:val="00A551E2"/>
    <w:rsid w:val="00A56849"/>
    <w:rsid w:val="00A632C7"/>
    <w:rsid w:val="00A64219"/>
    <w:rsid w:val="00A656E5"/>
    <w:rsid w:val="00A66A5B"/>
    <w:rsid w:val="00A672DE"/>
    <w:rsid w:val="00A739F1"/>
    <w:rsid w:val="00A75501"/>
    <w:rsid w:val="00A76457"/>
    <w:rsid w:val="00A809DB"/>
    <w:rsid w:val="00A80E57"/>
    <w:rsid w:val="00A81D1F"/>
    <w:rsid w:val="00A83172"/>
    <w:rsid w:val="00A847DD"/>
    <w:rsid w:val="00A86552"/>
    <w:rsid w:val="00A86EB5"/>
    <w:rsid w:val="00A91773"/>
    <w:rsid w:val="00A918D1"/>
    <w:rsid w:val="00A92854"/>
    <w:rsid w:val="00A92CA8"/>
    <w:rsid w:val="00A92D55"/>
    <w:rsid w:val="00A9332E"/>
    <w:rsid w:val="00A971C9"/>
    <w:rsid w:val="00AA1889"/>
    <w:rsid w:val="00AA195C"/>
    <w:rsid w:val="00AA6939"/>
    <w:rsid w:val="00AA78E9"/>
    <w:rsid w:val="00AB0AAF"/>
    <w:rsid w:val="00AB1AD0"/>
    <w:rsid w:val="00AB251B"/>
    <w:rsid w:val="00AB5108"/>
    <w:rsid w:val="00AB67FF"/>
    <w:rsid w:val="00AB6D0F"/>
    <w:rsid w:val="00AB6D34"/>
    <w:rsid w:val="00AC24BF"/>
    <w:rsid w:val="00AC3965"/>
    <w:rsid w:val="00AC4D27"/>
    <w:rsid w:val="00AD37AB"/>
    <w:rsid w:val="00AD56C4"/>
    <w:rsid w:val="00AD7FE5"/>
    <w:rsid w:val="00AE5530"/>
    <w:rsid w:val="00AE6CFC"/>
    <w:rsid w:val="00AF390A"/>
    <w:rsid w:val="00B031EF"/>
    <w:rsid w:val="00B06656"/>
    <w:rsid w:val="00B11405"/>
    <w:rsid w:val="00B138E9"/>
    <w:rsid w:val="00B179E3"/>
    <w:rsid w:val="00B2019A"/>
    <w:rsid w:val="00B245AA"/>
    <w:rsid w:val="00B341CB"/>
    <w:rsid w:val="00B34FF8"/>
    <w:rsid w:val="00B35331"/>
    <w:rsid w:val="00B35C13"/>
    <w:rsid w:val="00B43645"/>
    <w:rsid w:val="00B44304"/>
    <w:rsid w:val="00B54730"/>
    <w:rsid w:val="00B56091"/>
    <w:rsid w:val="00B60E79"/>
    <w:rsid w:val="00B60F6C"/>
    <w:rsid w:val="00B61989"/>
    <w:rsid w:val="00B63362"/>
    <w:rsid w:val="00B64B83"/>
    <w:rsid w:val="00B663FA"/>
    <w:rsid w:val="00B7213F"/>
    <w:rsid w:val="00B76824"/>
    <w:rsid w:val="00B807C4"/>
    <w:rsid w:val="00B80ABA"/>
    <w:rsid w:val="00B81C3C"/>
    <w:rsid w:val="00B81EF9"/>
    <w:rsid w:val="00B87569"/>
    <w:rsid w:val="00B87AB7"/>
    <w:rsid w:val="00B9141A"/>
    <w:rsid w:val="00B91944"/>
    <w:rsid w:val="00B93498"/>
    <w:rsid w:val="00B93C35"/>
    <w:rsid w:val="00BA72B7"/>
    <w:rsid w:val="00BA7674"/>
    <w:rsid w:val="00BB08C4"/>
    <w:rsid w:val="00BB38EE"/>
    <w:rsid w:val="00BC2DD6"/>
    <w:rsid w:val="00BD72A5"/>
    <w:rsid w:val="00BE22EC"/>
    <w:rsid w:val="00BE366E"/>
    <w:rsid w:val="00BE5D22"/>
    <w:rsid w:val="00BF3DEC"/>
    <w:rsid w:val="00BF526E"/>
    <w:rsid w:val="00BF5403"/>
    <w:rsid w:val="00BF743C"/>
    <w:rsid w:val="00C07C74"/>
    <w:rsid w:val="00C12784"/>
    <w:rsid w:val="00C16276"/>
    <w:rsid w:val="00C2142E"/>
    <w:rsid w:val="00C22FCF"/>
    <w:rsid w:val="00C2334E"/>
    <w:rsid w:val="00C23662"/>
    <w:rsid w:val="00C24497"/>
    <w:rsid w:val="00C26DBB"/>
    <w:rsid w:val="00C2713A"/>
    <w:rsid w:val="00C30239"/>
    <w:rsid w:val="00C30441"/>
    <w:rsid w:val="00C31951"/>
    <w:rsid w:val="00C31BF7"/>
    <w:rsid w:val="00C34FD0"/>
    <w:rsid w:val="00C43F75"/>
    <w:rsid w:val="00C45C6F"/>
    <w:rsid w:val="00C45CE1"/>
    <w:rsid w:val="00C50070"/>
    <w:rsid w:val="00C54DC4"/>
    <w:rsid w:val="00C625E3"/>
    <w:rsid w:val="00C62A47"/>
    <w:rsid w:val="00C67AE3"/>
    <w:rsid w:val="00C71AD4"/>
    <w:rsid w:val="00C71ECB"/>
    <w:rsid w:val="00C75CD1"/>
    <w:rsid w:val="00C76271"/>
    <w:rsid w:val="00C77C85"/>
    <w:rsid w:val="00C829B3"/>
    <w:rsid w:val="00C855D2"/>
    <w:rsid w:val="00C879E0"/>
    <w:rsid w:val="00C91BFA"/>
    <w:rsid w:val="00C925E7"/>
    <w:rsid w:val="00C94F1A"/>
    <w:rsid w:val="00C94F58"/>
    <w:rsid w:val="00CA09F5"/>
    <w:rsid w:val="00CA152B"/>
    <w:rsid w:val="00CB03D7"/>
    <w:rsid w:val="00CB046A"/>
    <w:rsid w:val="00CB7FB3"/>
    <w:rsid w:val="00CC01B0"/>
    <w:rsid w:val="00CC11A8"/>
    <w:rsid w:val="00CC3B59"/>
    <w:rsid w:val="00CC575A"/>
    <w:rsid w:val="00CC7EB5"/>
    <w:rsid w:val="00CD5A1B"/>
    <w:rsid w:val="00CD5E4A"/>
    <w:rsid w:val="00CD62C4"/>
    <w:rsid w:val="00CD723D"/>
    <w:rsid w:val="00CD75C3"/>
    <w:rsid w:val="00CE26D9"/>
    <w:rsid w:val="00CE32ED"/>
    <w:rsid w:val="00CF0062"/>
    <w:rsid w:val="00CF25E8"/>
    <w:rsid w:val="00CF4293"/>
    <w:rsid w:val="00CF58DF"/>
    <w:rsid w:val="00D0417F"/>
    <w:rsid w:val="00D054D1"/>
    <w:rsid w:val="00D06F00"/>
    <w:rsid w:val="00D13B13"/>
    <w:rsid w:val="00D14578"/>
    <w:rsid w:val="00D147AF"/>
    <w:rsid w:val="00D15176"/>
    <w:rsid w:val="00D207BA"/>
    <w:rsid w:val="00D24465"/>
    <w:rsid w:val="00D27639"/>
    <w:rsid w:val="00D27BF8"/>
    <w:rsid w:val="00D30D70"/>
    <w:rsid w:val="00D30FF6"/>
    <w:rsid w:val="00D374CF"/>
    <w:rsid w:val="00D375CD"/>
    <w:rsid w:val="00D41C37"/>
    <w:rsid w:val="00D42F46"/>
    <w:rsid w:val="00D47212"/>
    <w:rsid w:val="00D51FB3"/>
    <w:rsid w:val="00D52932"/>
    <w:rsid w:val="00D545FE"/>
    <w:rsid w:val="00D54F1B"/>
    <w:rsid w:val="00D57342"/>
    <w:rsid w:val="00D57D7B"/>
    <w:rsid w:val="00D60DA9"/>
    <w:rsid w:val="00D714E2"/>
    <w:rsid w:val="00D7289E"/>
    <w:rsid w:val="00D82CF5"/>
    <w:rsid w:val="00D83027"/>
    <w:rsid w:val="00D838A0"/>
    <w:rsid w:val="00D871C4"/>
    <w:rsid w:val="00D8785A"/>
    <w:rsid w:val="00D90E65"/>
    <w:rsid w:val="00D91349"/>
    <w:rsid w:val="00D92E3B"/>
    <w:rsid w:val="00D96622"/>
    <w:rsid w:val="00D970FD"/>
    <w:rsid w:val="00DA5DA7"/>
    <w:rsid w:val="00DB0E95"/>
    <w:rsid w:val="00DB12AD"/>
    <w:rsid w:val="00DB27C9"/>
    <w:rsid w:val="00DC0C4F"/>
    <w:rsid w:val="00DC0EA4"/>
    <w:rsid w:val="00DC1213"/>
    <w:rsid w:val="00DC5CBD"/>
    <w:rsid w:val="00DC6E1E"/>
    <w:rsid w:val="00DC70F6"/>
    <w:rsid w:val="00DC724A"/>
    <w:rsid w:val="00DD0219"/>
    <w:rsid w:val="00DD2736"/>
    <w:rsid w:val="00DD5F49"/>
    <w:rsid w:val="00DD6A3A"/>
    <w:rsid w:val="00DE433A"/>
    <w:rsid w:val="00DE7A2E"/>
    <w:rsid w:val="00DF12E1"/>
    <w:rsid w:val="00DF4482"/>
    <w:rsid w:val="00E05651"/>
    <w:rsid w:val="00E068AA"/>
    <w:rsid w:val="00E10AB6"/>
    <w:rsid w:val="00E13A3E"/>
    <w:rsid w:val="00E14153"/>
    <w:rsid w:val="00E17465"/>
    <w:rsid w:val="00E23180"/>
    <w:rsid w:val="00E258FC"/>
    <w:rsid w:val="00E30348"/>
    <w:rsid w:val="00E339EA"/>
    <w:rsid w:val="00E43B45"/>
    <w:rsid w:val="00E52879"/>
    <w:rsid w:val="00E55731"/>
    <w:rsid w:val="00E55791"/>
    <w:rsid w:val="00E56340"/>
    <w:rsid w:val="00E62B5D"/>
    <w:rsid w:val="00E62C1B"/>
    <w:rsid w:val="00E67009"/>
    <w:rsid w:val="00E704FD"/>
    <w:rsid w:val="00E71548"/>
    <w:rsid w:val="00E71AF1"/>
    <w:rsid w:val="00E74935"/>
    <w:rsid w:val="00E74DE5"/>
    <w:rsid w:val="00E74E41"/>
    <w:rsid w:val="00E75D6F"/>
    <w:rsid w:val="00E845BB"/>
    <w:rsid w:val="00E8587B"/>
    <w:rsid w:val="00E85E8E"/>
    <w:rsid w:val="00E8609B"/>
    <w:rsid w:val="00E92BF0"/>
    <w:rsid w:val="00E94718"/>
    <w:rsid w:val="00E95FFE"/>
    <w:rsid w:val="00E97D43"/>
    <w:rsid w:val="00EA0820"/>
    <w:rsid w:val="00EA4B5C"/>
    <w:rsid w:val="00EA53B8"/>
    <w:rsid w:val="00EA56D4"/>
    <w:rsid w:val="00EA6039"/>
    <w:rsid w:val="00EB28C4"/>
    <w:rsid w:val="00EB41D6"/>
    <w:rsid w:val="00EB70EA"/>
    <w:rsid w:val="00EC074A"/>
    <w:rsid w:val="00ED0DCA"/>
    <w:rsid w:val="00ED1E35"/>
    <w:rsid w:val="00ED3056"/>
    <w:rsid w:val="00ED47A7"/>
    <w:rsid w:val="00EE0E5A"/>
    <w:rsid w:val="00EE1EE7"/>
    <w:rsid w:val="00EE2CFE"/>
    <w:rsid w:val="00EE4717"/>
    <w:rsid w:val="00EE5E57"/>
    <w:rsid w:val="00EF066F"/>
    <w:rsid w:val="00EF0720"/>
    <w:rsid w:val="00EF07B3"/>
    <w:rsid w:val="00EF6C0C"/>
    <w:rsid w:val="00F019E9"/>
    <w:rsid w:val="00F05DFC"/>
    <w:rsid w:val="00F072E8"/>
    <w:rsid w:val="00F07FDF"/>
    <w:rsid w:val="00F143A1"/>
    <w:rsid w:val="00F1480F"/>
    <w:rsid w:val="00F179F3"/>
    <w:rsid w:val="00F2072B"/>
    <w:rsid w:val="00F26201"/>
    <w:rsid w:val="00F27A03"/>
    <w:rsid w:val="00F31101"/>
    <w:rsid w:val="00F312C0"/>
    <w:rsid w:val="00F337FF"/>
    <w:rsid w:val="00F34277"/>
    <w:rsid w:val="00F35D8D"/>
    <w:rsid w:val="00F408DD"/>
    <w:rsid w:val="00F40A24"/>
    <w:rsid w:val="00F4372E"/>
    <w:rsid w:val="00F453FE"/>
    <w:rsid w:val="00F45881"/>
    <w:rsid w:val="00F47F8B"/>
    <w:rsid w:val="00F50F72"/>
    <w:rsid w:val="00F51C8D"/>
    <w:rsid w:val="00F51D1D"/>
    <w:rsid w:val="00F53B80"/>
    <w:rsid w:val="00F60F62"/>
    <w:rsid w:val="00F61430"/>
    <w:rsid w:val="00F64A64"/>
    <w:rsid w:val="00F71825"/>
    <w:rsid w:val="00F74D08"/>
    <w:rsid w:val="00F77153"/>
    <w:rsid w:val="00F80169"/>
    <w:rsid w:val="00F81514"/>
    <w:rsid w:val="00F82200"/>
    <w:rsid w:val="00F86352"/>
    <w:rsid w:val="00F87040"/>
    <w:rsid w:val="00F95A32"/>
    <w:rsid w:val="00FA1233"/>
    <w:rsid w:val="00FA3FD9"/>
    <w:rsid w:val="00FA4C0C"/>
    <w:rsid w:val="00FA6AF6"/>
    <w:rsid w:val="00FA7D65"/>
    <w:rsid w:val="00FB1423"/>
    <w:rsid w:val="00FB593A"/>
    <w:rsid w:val="00FC17B5"/>
    <w:rsid w:val="00FC20D8"/>
    <w:rsid w:val="00FC5603"/>
    <w:rsid w:val="00FC72FB"/>
    <w:rsid w:val="00FD1B1D"/>
    <w:rsid w:val="00FD3122"/>
    <w:rsid w:val="00FD7512"/>
    <w:rsid w:val="00FE0900"/>
    <w:rsid w:val="00FE10AE"/>
    <w:rsid w:val="00FE4803"/>
    <w:rsid w:val="00FE6BA7"/>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E03CB"/>
    <w:rsid w:val="01B74129"/>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E4DC6"/>
    <w:rsid w:val="024379C8"/>
    <w:rsid w:val="02443513"/>
    <w:rsid w:val="02474F99"/>
    <w:rsid w:val="024C16A6"/>
    <w:rsid w:val="02534965"/>
    <w:rsid w:val="026E4BCA"/>
    <w:rsid w:val="02740645"/>
    <w:rsid w:val="027B6543"/>
    <w:rsid w:val="027C2452"/>
    <w:rsid w:val="028C553E"/>
    <w:rsid w:val="0294765E"/>
    <w:rsid w:val="02A23A7B"/>
    <w:rsid w:val="02BC10ED"/>
    <w:rsid w:val="02BC2AE3"/>
    <w:rsid w:val="02BE42E8"/>
    <w:rsid w:val="02C178A5"/>
    <w:rsid w:val="02CF6158"/>
    <w:rsid w:val="02F361E7"/>
    <w:rsid w:val="03022FCA"/>
    <w:rsid w:val="03071604"/>
    <w:rsid w:val="030E2002"/>
    <w:rsid w:val="03130C9A"/>
    <w:rsid w:val="031A6DDF"/>
    <w:rsid w:val="031F3187"/>
    <w:rsid w:val="032219B3"/>
    <w:rsid w:val="03292E3E"/>
    <w:rsid w:val="032F46D3"/>
    <w:rsid w:val="032F6FE9"/>
    <w:rsid w:val="03340902"/>
    <w:rsid w:val="03370ECA"/>
    <w:rsid w:val="033C626F"/>
    <w:rsid w:val="034058B6"/>
    <w:rsid w:val="035F7137"/>
    <w:rsid w:val="0368661B"/>
    <w:rsid w:val="036D1423"/>
    <w:rsid w:val="037A6824"/>
    <w:rsid w:val="038C185D"/>
    <w:rsid w:val="03A5393D"/>
    <w:rsid w:val="03C50660"/>
    <w:rsid w:val="03C52F1A"/>
    <w:rsid w:val="03D9195C"/>
    <w:rsid w:val="03EA180F"/>
    <w:rsid w:val="03EA7678"/>
    <w:rsid w:val="03F50BF8"/>
    <w:rsid w:val="03F757EE"/>
    <w:rsid w:val="03F76D42"/>
    <w:rsid w:val="040D5006"/>
    <w:rsid w:val="040F3BD3"/>
    <w:rsid w:val="04250069"/>
    <w:rsid w:val="042E26EB"/>
    <w:rsid w:val="04332B60"/>
    <w:rsid w:val="043D1681"/>
    <w:rsid w:val="044D191B"/>
    <w:rsid w:val="044D1A33"/>
    <w:rsid w:val="045954A1"/>
    <w:rsid w:val="045A00DA"/>
    <w:rsid w:val="045F601A"/>
    <w:rsid w:val="04693B13"/>
    <w:rsid w:val="048E3A0A"/>
    <w:rsid w:val="048F148B"/>
    <w:rsid w:val="04B147BC"/>
    <w:rsid w:val="04BB6B80"/>
    <w:rsid w:val="04BC60C1"/>
    <w:rsid w:val="04BE4571"/>
    <w:rsid w:val="04C200DB"/>
    <w:rsid w:val="04C30E81"/>
    <w:rsid w:val="04CB3BFD"/>
    <w:rsid w:val="04D2235B"/>
    <w:rsid w:val="04D54C4A"/>
    <w:rsid w:val="04D64321"/>
    <w:rsid w:val="04D92E2A"/>
    <w:rsid w:val="04E942AF"/>
    <w:rsid w:val="04F77D5B"/>
    <w:rsid w:val="05072F43"/>
    <w:rsid w:val="050D5D87"/>
    <w:rsid w:val="051569D9"/>
    <w:rsid w:val="051A21ED"/>
    <w:rsid w:val="051A5F1D"/>
    <w:rsid w:val="052615FE"/>
    <w:rsid w:val="053733E3"/>
    <w:rsid w:val="05396067"/>
    <w:rsid w:val="053962A9"/>
    <w:rsid w:val="05421686"/>
    <w:rsid w:val="05425CEB"/>
    <w:rsid w:val="054B7C66"/>
    <w:rsid w:val="054C5A1D"/>
    <w:rsid w:val="054E3F97"/>
    <w:rsid w:val="054F7EC4"/>
    <w:rsid w:val="055F3E8F"/>
    <w:rsid w:val="05631304"/>
    <w:rsid w:val="057D52D8"/>
    <w:rsid w:val="058663AA"/>
    <w:rsid w:val="05965B13"/>
    <w:rsid w:val="05A012C8"/>
    <w:rsid w:val="05AA751F"/>
    <w:rsid w:val="05AB3E4C"/>
    <w:rsid w:val="05B13705"/>
    <w:rsid w:val="05B250B1"/>
    <w:rsid w:val="05B57DF5"/>
    <w:rsid w:val="05B6353A"/>
    <w:rsid w:val="05BF1B7D"/>
    <w:rsid w:val="05C20583"/>
    <w:rsid w:val="05C40254"/>
    <w:rsid w:val="05D45DE8"/>
    <w:rsid w:val="05DD3B0E"/>
    <w:rsid w:val="05ED2BE6"/>
    <w:rsid w:val="05FF12E2"/>
    <w:rsid w:val="060422D9"/>
    <w:rsid w:val="061403A1"/>
    <w:rsid w:val="06152849"/>
    <w:rsid w:val="061C1C82"/>
    <w:rsid w:val="061E71D7"/>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D94F62"/>
    <w:rsid w:val="06E930D6"/>
    <w:rsid w:val="06EA7FE5"/>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A5568"/>
    <w:rsid w:val="075E2523"/>
    <w:rsid w:val="076E6040"/>
    <w:rsid w:val="077046F9"/>
    <w:rsid w:val="0771127E"/>
    <w:rsid w:val="0774651B"/>
    <w:rsid w:val="07773341"/>
    <w:rsid w:val="07816512"/>
    <w:rsid w:val="078B7A99"/>
    <w:rsid w:val="0797540B"/>
    <w:rsid w:val="079E0D8E"/>
    <w:rsid w:val="079E43B3"/>
    <w:rsid w:val="07AB382F"/>
    <w:rsid w:val="07B73EB6"/>
    <w:rsid w:val="07C51163"/>
    <w:rsid w:val="07C663C5"/>
    <w:rsid w:val="07CD605A"/>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76140"/>
    <w:rsid w:val="08686A01"/>
    <w:rsid w:val="086D2356"/>
    <w:rsid w:val="087807B5"/>
    <w:rsid w:val="087C2BF1"/>
    <w:rsid w:val="087D0726"/>
    <w:rsid w:val="0886328A"/>
    <w:rsid w:val="08896684"/>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F05345"/>
    <w:rsid w:val="08F76659"/>
    <w:rsid w:val="08FA104A"/>
    <w:rsid w:val="090310F7"/>
    <w:rsid w:val="0908255E"/>
    <w:rsid w:val="091326A6"/>
    <w:rsid w:val="091650F7"/>
    <w:rsid w:val="09203C30"/>
    <w:rsid w:val="09227FD0"/>
    <w:rsid w:val="092A35DC"/>
    <w:rsid w:val="092E6F1B"/>
    <w:rsid w:val="094E5847"/>
    <w:rsid w:val="095B7898"/>
    <w:rsid w:val="09622640"/>
    <w:rsid w:val="096F5AD2"/>
    <w:rsid w:val="09733A93"/>
    <w:rsid w:val="09773AD2"/>
    <w:rsid w:val="09842878"/>
    <w:rsid w:val="098D0374"/>
    <w:rsid w:val="09901168"/>
    <w:rsid w:val="099111BE"/>
    <w:rsid w:val="09912D87"/>
    <w:rsid w:val="099D1F0E"/>
    <w:rsid w:val="09A13012"/>
    <w:rsid w:val="09A36497"/>
    <w:rsid w:val="09B174F4"/>
    <w:rsid w:val="09B8038E"/>
    <w:rsid w:val="09B807DC"/>
    <w:rsid w:val="09B96487"/>
    <w:rsid w:val="09BA6811"/>
    <w:rsid w:val="09BB1324"/>
    <w:rsid w:val="09BB7E03"/>
    <w:rsid w:val="09BE0882"/>
    <w:rsid w:val="09C36515"/>
    <w:rsid w:val="09D16488"/>
    <w:rsid w:val="09DD5F33"/>
    <w:rsid w:val="09DF284A"/>
    <w:rsid w:val="09E2510B"/>
    <w:rsid w:val="09E2618B"/>
    <w:rsid w:val="09F00295"/>
    <w:rsid w:val="09FB2DEB"/>
    <w:rsid w:val="09FC086D"/>
    <w:rsid w:val="09FD03E9"/>
    <w:rsid w:val="0A002BCE"/>
    <w:rsid w:val="0A0D0A5C"/>
    <w:rsid w:val="0A10638E"/>
    <w:rsid w:val="0A1434BD"/>
    <w:rsid w:val="0A177598"/>
    <w:rsid w:val="0A247833"/>
    <w:rsid w:val="0A256BCF"/>
    <w:rsid w:val="0A2A0A4E"/>
    <w:rsid w:val="0A2D217F"/>
    <w:rsid w:val="0A2D48BF"/>
    <w:rsid w:val="0A33259C"/>
    <w:rsid w:val="0A472120"/>
    <w:rsid w:val="0A670FF2"/>
    <w:rsid w:val="0A860967"/>
    <w:rsid w:val="0A902401"/>
    <w:rsid w:val="0A9B46E1"/>
    <w:rsid w:val="0AA002AF"/>
    <w:rsid w:val="0AA04A08"/>
    <w:rsid w:val="0AB86A22"/>
    <w:rsid w:val="0AC857E6"/>
    <w:rsid w:val="0ACF627E"/>
    <w:rsid w:val="0AD23916"/>
    <w:rsid w:val="0AD344B5"/>
    <w:rsid w:val="0AE61051"/>
    <w:rsid w:val="0AE92A74"/>
    <w:rsid w:val="0AF011AC"/>
    <w:rsid w:val="0AFE6CA0"/>
    <w:rsid w:val="0B062393"/>
    <w:rsid w:val="0B0F4EB2"/>
    <w:rsid w:val="0B133891"/>
    <w:rsid w:val="0B17278B"/>
    <w:rsid w:val="0B1C1FC9"/>
    <w:rsid w:val="0B2161DE"/>
    <w:rsid w:val="0B24227A"/>
    <w:rsid w:val="0B27035A"/>
    <w:rsid w:val="0B2C066D"/>
    <w:rsid w:val="0B372F62"/>
    <w:rsid w:val="0B3C36E0"/>
    <w:rsid w:val="0B3F0B5D"/>
    <w:rsid w:val="0B4F2496"/>
    <w:rsid w:val="0B527D96"/>
    <w:rsid w:val="0B867DD4"/>
    <w:rsid w:val="0B8906D5"/>
    <w:rsid w:val="0B990F05"/>
    <w:rsid w:val="0BA163C4"/>
    <w:rsid w:val="0BB43560"/>
    <w:rsid w:val="0BB97829"/>
    <w:rsid w:val="0BBA4C3E"/>
    <w:rsid w:val="0BBD35A9"/>
    <w:rsid w:val="0BBD36B0"/>
    <w:rsid w:val="0BC527E7"/>
    <w:rsid w:val="0BCF0AAA"/>
    <w:rsid w:val="0BD51943"/>
    <w:rsid w:val="0BDD6884"/>
    <w:rsid w:val="0BDE30C9"/>
    <w:rsid w:val="0BE9216B"/>
    <w:rsid w:val="0BE92617"/>
    <w:rsid w:val="0BE96BD0"/>
    <w:rsid w:val="0C0134AF"/>
    <w:rsid w:val="0C037CD6"/>
    <w:rsid w:val="0C04199B"/>
    <w:rsid w:val="0C097EDB"/>
    <w:rsid w:val="0C0B0A79"/>
    <w:rsid w:val="0C0C2D55"/>
    <w:rsid w:val="0C116C18"/>
    <w:rsid w:val="0C182984"/>
    <w:rsid w:val="0C1D705A"/>
    <w:rsid w:val="0C233DDB"/>
    <w:rsid w:val="0C243614"/>
    <w:rsid w:val="0C567A42"/>
    <w:rsid w:val="0C641CE4"/>
    <w:rsid w:val="0C701B2A"/>
    <w:rsid w:val="0C770FC2"/>
    <w:rsid w:val="0C885842"/>
    <w:rsid w:val="0C8E4C85"/>
    <w:rsid w:val="0C9A21C7"/>
    <w:rsid w:val="0CA35EA4"/>
    <w:rsid w:val="0CB17E61"/>
    <w:rsid w:val="0CBA3E26"/>
    <w:rsid w:val="0CC335FF"/>
    <w:rsid w:val="0CC74EBB"/>
    <w:rsid w:val="0CC760C0"/>
    <w:rsid w:val="0CC86926"/>
    <w:rsid w:val="0CC953FA"/>
    <w:rsid w:val="0CCA2E65"/>
    <w:rsid w:val="0CCA77E2"/>
    <w:rsid w:val="0CD86925"/>
    <w:rsid w:val="0CD87B6A"/>
    <w:rsid w:val="0CE2418B"/>
    <w:rsid w:val="0CE70F5A"/>
    <w:rsid w:val="0CE8315C"/>
    <w:rsid w:val="0CED70FB"/>
    <w:rsid w:val="0CF04B26"/>
    <w:rsid w:val="0D0109E8"/>
    <w:rsid w:val="0D074EB0"/>
    <w:rsid w:val="0D083DF0"/>
    <w:rsid w:val="0D0962F1"/>
    <w:rsid w:val="0D1402D2"/>
    <w:rsid w:val="0D1E2A14"/>
    <w:rsid w:val="0D223618"/>
    <w:rsid w:val="0D2512B6"/>
    <w:rsid w:val="0D274B82"/>
    <w:rsid w:val="0D292FA3"/>
    <w:rsid w:val="0D3B0FD3"/>
    <w:rsid w:val="0D407465"/>
    <w:rsid w:val="0D54752C"/>
    <w:rsid w:val="0D563B49"/>
    <w:rsid w:val="0D591CA2"/>
    <w:rsid w:val="0D6718A8"/>
    <w:rsid w:val="0D6D7094"/>
    <w:rsid w:val="0D7A2576"/>
    <w:rsid w:val="0D7E04AF"/>
    <w:rsid w:val="0D8827D0"/>
    <w:rsid w:val="0D8A5C4C"/>
    <w:rsid w:val="0D927468"/>
    <w:rsid w:val="0DA826B2"/>
    <w:rsid w:val="0DB13E81"/>
    <w:rsid w:val="0DBF06AB"/>
    <w:rsid w:val="0DC46801"/>
    <w:rsid w:val="0DC967BD"/>
    <w:rsid w:val="0DCA2EBE"/>
    <w:rsid w:val="0DCF6FB4"/>
    <w:rsid w:val="0DD03A03"/>
    <w:rsid w:val="0DD61DC6"/>
    <w:rsid w:val="0DDA5E66"/>
    <w:rsid w:val="0DDC6CC9"/>
    <w:rsid w:val="0DE77B91"/>
    <w:rsid w:val="0DE80CCD"/>
    <w:rsid w:val="0DE92A73"/>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D37E7"/>
    <w:rsid w:val="0F0E45C0"/>
    <w:rsid w:val="0F0E7B3C"/>
    <w:rsid w:val="0F104F9A"/>
    <w:rsid w:val="0F121040"/>
    <w:rsid w:val="0F125F66"/>
    <w:rsid w:val="0F1A10E9"/>
    <w:rsid w:val="0F1C6C56"/>
    <w:rsid w:val="0F244800"/>
    <w:rsid w:val="0F263D0E"/>
    <w:rsid w:val="0F343655"/>
    <w:rsid w:val="0F394008"/>
    <w:rsid w:val="0F4426B0"/>
    <w:rsid w:val="0F500086"/>
    <w:rsid w:val="0F56537E"/>
    <w:rsid w:val="0F5E319E"/>
    <w:rsid w:val="0F5F09C4"/>
    <w:rsid w:val="0F644218"/>
    <w:rsid w:val="0F6B797D"/>
    <w:rsid w:val="0F7D1FFA"/>
    <w:rsid w:val="0F8820CD"/>
    <w:rsid w:val="0F8E4908"/>
    <w:rsid w:val="0F913335"/>
    <w:rsid w:val="0F96680B"/>
    <w:rsid w:val="0FA66139"/>
    <w:rsid w:val="0FB074BC"/>
    <w:rsid w:val="0FB143F9"/>
    <w:rsid w:val="0FB3217F"/>
    <w:rsid w:val="0FB60B75"/>
    <w:rsid w:val="0FCD5369"/>
    <w:rsid w:val="0FD52480"/>
    <w:rsid w:val="0FD640BD"/>
    <w:rsid w:val="0FD96CA9"/>
    <w:rsid w:val="0FDD68DC"/>
    <w:rsid w:val="0FE36A1F"/>
    <w:rsid w:val="0FE63D17"/>
    <w:rsid w:val="0FE77623"/>
    <w:rsid w:val="0FE82EA7"/>
    <w:rsid w:val="0FE86F28"/>
    <w:rsid w:val="0FEA55AD"/>
    <w:rsid w:val="0FF15BB9"/>
    <w:rsid w:val="0FF906E7"/>
    <w:rsid w:val="0FFD586A"/>
    <w:rsid w:val="10020B62"/>
    <w:rsid w:val="10087FF8"/>
    <w:rsid w:val="10270CA8"/>
    <w:rsid w:val="1031361B"/>
    <w:rsid w:val="10322D96"/>
    <w:rsid w:val="1035011A"/>
    <w:rsid w:val="103551A4"/>
    <w:rsid w:val="103607AE"/>
    <w:rsid w:val="10384280"/>
    <w:rsid w:val="1046709D"/>
    <w:rsid w:val="105D7F23"/>
    <w:rsid w:val="105E064F"/>
    <w:rsid w:val="106E1F77"/>
    <w:rsid w:val="106F4084"/>
    <w:rsid w:val="10797A89"/>
    <w:rsid w:val="107A2416"/>
    <w:rsid w:val="107D3B5D"/>
    <w:rsid w:val="108C2231"/>
    <w:rsid w:val="108E0879"/>
    <w:rsid w:val="109B61CD"/>
    <w:rsid w:val="10B04957"/>
    <w:rsid w:val="10C359D9"/>
    <w:rsid w:val="10C5330F"/>
    <w:rsid w:val="10C67BD8"/>
    <w:rsid w:val="10CA7F7E"/>
    <w:rsid w:val="10E430B3"/>
    <w:rsid w:val="10F12722"/>
    <w:rsid w:val="11011524"/>
    <w:rsid w:val="11021DF5"/>
    <w:rsid w:val="110877A1"/>
    <w:rsid w:val="110D72EA"/>
    <w:rsid w:val="110E7959"/>
    <w:rsid w:val="1111168F"/>
    <w:rsid w:val="1119722C"/>
    <w:rsid w:val="11234E2D"/>
    <w:rsid w:val="1127264D"/>
    <w:rsid w:val="11434434"/>
    <w:rsid w:val="114A05F1"/>
    <w:rsid w:val="114A4E33"/>
    <w:rsid w:val="114E14B0"/>
    <w:rsid w:val="115C2EBC"/>
    <w:rsid w:val="115C58D6"/>
    <w:rsid w:val="11604BE2"/>
    <w:rsid w:val="1164103E"/>
    <w:rsid w:val="116414A7"/>
    <w:rsid w:val="11694893"/>
    <w:rsid w:val="116F3C27"/>
    <w:rsid w:val="117D3DB4"/>
    <w:rsid w:val="11852620"/>
    <w:rsid w:val="118F4329"/>
    <w:rsid w:val="119F6D5C"/>
    <w:rsid w:val="11A0225A"/>
    <w:rsid w:val="11A922D8"/>
    <w:rsid w:val="11B03029"/>
    <w:rsid w:val="11BA2DA2"/>
    <w:rsid w:val="11CC6C38"/>
    <w:rsid w:val="11D348AC"/>
    <w:rsid w:val="11D45AE1"/>
    <w:rsid w:val="11DE00BE"/>
    <w:rsid w:val="11E86B12"/>
    <w:rsid w:val="11EA2125"/>
    <w:rsid w:val="11FD199C"/>
    <w:rsid w:val="11FE5976"/>
    <w:rsid w:val="12023099"/>
    <w:rsid w:val="1203449B"/>
    <w:rsid w:val="1217313B"/>
    <w:rsid w:val="121769BF"/>
    <w:rsid w:val="12373AAE"/>
    <w:rsid w:val="12396F7F"/>
    <w:rsid w:val="123D7233"/>
    <w:rsid w:val="124321DA"/>
    <w:rsid w:val="124C3E81"/>
    <w:rsid w:val="124D011C"/>
    <w:rsid w:val="12531C9B"/>
    <w:rsid w:val="12561FB1"/>
    <w:rsid w:val="125B57E2"/>
    <w:rsid w:val="12753E07"/>
    <w:rsid w:val="127B28B7"/>
    <w:rsid w:val="127B42E6"/>
    <w:rsid w:val="12916BA8"/>
    <w:rsid w:val="129245E5"/>
    <w:rsid w:val="129A06BE"/>
    <w:rsid w:val="12A168D1"/>
    <w:rsid w:val="12B91B6C"/>
    <w:rsid w:val="12BF2D6A"/>
    <w:rsid w:val="12C10D7D"/>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B07F3E"/>
    <w:rsid w:val="13B26405"/>
    <w:rsid w:val="13B45541"/>
    <w:rsid w:val="13B82867"/>
    <w:rsid w:val="13B83374"/>
    <w:rsid w:val="13BD1AA5"/>
    <w:rsid w:val="13BF5ED3"/>
    <w:rsid w:val="13C80904"/>
    <w:rsid w:val="13DA1916"/>
    <w:rsid w:val="13EB653A"/>
    <w:rsid w:val="13F15C75"/>
    <w:rsid w:val="13FD1C15"/>
    <w:rsid w:val="14076907"/>
    <w:rsid w:val="1408028B"/>
    <w:rsid w:val="14083C98"/>
    <w:rsid w:val="140876D8"/>
    <w:rsid w:val="140D7D73"/>
    <w:rsid w:val="14170683"/>
    <w:rsid w:val="141C18EA"/>
    <w:rsid w:val="141F1808"/>
    <w:rsid w:val="1426671F"/>
    <w:rsid w:val="14293E20"/>
    <w:rsid w:val="142A5125"/>
    <w:rsid w:val="142E08FB"/>
    <w:rsid w:val="142F7B6B"/>
    <w:rsid w:val="143037AB"/>
    <w:rsid w:val="14310739"/>
    <w:rsid w:val="1441758D"/>
    <w:rsid w:val="14432035"/>
    <w:rsid w:val="144B3AE7"/>
    <w:rsid w:val="1456146C"/>
    <w:rsid w:val="14584D62"/>
    <w:rsid w:val="145B1FDF"/>
    <w:rsid w:val="145E7A95"/>
    <w:rsid w:val="14624D7D"/>
    <w:rsid w:val="14647A53"/>
    <w:rsid w:val="146575A3"/>
    <w:rsid w:val="147632F0"/>
    <w:rsid w:val="147A2925"/>
    <w:rsid w:val="148479BD"/>
    <w:rsid w:val="148854BE"/>
    <w:rsid w:val="149C052F"/>
    <w:rsid w:val="14AE7998"/>
    <w:rsid w:val="14B32FDD"/>
    <w:rsid w:val="14C47156"/>
    <w:rsid w:val="14CC6AA1"/>
    <w:rsid w:val="14E273A7"/>
    <w:rsid w:val="14E7655D"/>
    <w:rsid w:val="14EE3B40"/>
    <w:rsid w:val="14F050B9"/>
    <w:rsid w:val="15006FBE"/>
    <w:rsid w:val="15022121"/>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C3420A"/>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F47E57"/>
    <w:rsid w:val="16F53AB0"/>
    <w:rsid w:val="16F90D5A"/>
    <w:rsid w:val="16FC3736"/>
    <w:rsid w:val="170C6706"/>
    <w:rsid w:val="1715505C"/>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4709D"/>
    <w:rsid w:val="17794D70"/>
    <w:rsid w:val="1780422F"/>
    <w:rsid w:val="178D44B2"/>
    <w:rsid w:val="178E1F33"/>
    <w:rsid w:val="179928AA"/>
    <w:rsid w:val="17A75F25"/>
    <w:rsid w:val="17BB6C45"/>
    <w:rsid w:val="17BD6AB4"/>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34C37"/>
    <w:rsid w:val="185457E1"/>
    <w:rsid w:val="186202E0"/>
    <w:rsid w:val="18655B8E"/>
    <w:rsid w:val="186E43F1"/>
    <w:rsid w:val="18721A3A"/>
    <w:rsid w:val="18875C71"/>
    <w:rsid w:val="188A619A"/>
    <w:rsid w:val="18A361F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750ED"/>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80D9B"/>
    <w:rsid w:val="1AA84175"/>
    <w:rsid w:val="1AA847EC"/>
    <w:rsid w:val="1AAD0BB3"/>
    <w:rsid w:val="1AAE6CE1"/>
    <w:rsid w:val="1AAF2DD5"/>
    <w:rsid w:val="1ABD6321"/>
    <w:rsid w:val="1AC5139F"/>
    <w:rsid w:val="1ACC5A15"/>
    <w:rsid w:val="1AD01EB8"/>
    <w:rsid w:val="1AD03E52"/>
    <w:rsid w:val="1AD875EC"/>
    <w:rsid w:val="1ADB0222"/>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C3B7D"/>
    <w:rsid w:val="1B79449A"/>
    <w:rsid w:val="1B7F0ABE"/>
    <w:rsid w:val="1B834589"/>
    <w:rsid w:val="1B8617B4"/>
    <w:rsid w:val="1B865037"/>
    <w:rsid w:val="1B895D70"/>
    <w:rsid w:val="1B950C9D"/>
    <w:rsid w:val="1B950F86"/>
    <w:rsid w:val="1B957ED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53387"/>
    <w:rsid w:val="1C164908"/>
    <w:rsid w:val="1C2E6201"/>
    <w:rsid w:val="1C302928"/>
    <w:rsid w:val="1C3F72DC"/>
    <w:rsid w:val="1C40448A"/>
    <w:rsid w:val="1C52178E"/>
    <w:rsid w:val="1C5D74C0"/>
    <w:rsid w:val="1C5E4E6C"/>
    <w:rsid w:val="1C6723A0"/>
    <w:rsid w:val="1C68632B"/>
    <w:rsid w:val="1C6C044E"/>
    <w:rsid w:val="1C763213"/>
    <w:rsid w:val="1C8D76F3"/>
    <w:rsid w:val="1C9D2600"/>
    <w:rsid w:val="1C9F1651"/>
    <w:rsid w:val="1CBC50B4"/>
    <w:rsid w:val="1CC400CA"/>
    <w:rsid w:val="1CC96948"/>
    <w:rsid w:val="1CDD55E8"/>
    <w:rsid w:val="1CE05D7D"/>
    <w:rsid w:val="1CE25E06"/>
    <w:rsid w:val="1CEB0CE2"/>
    <w:rsid w:val="1CEB46F7"/>
    <w:rsid w:val="1CEC3C83"/>
    <w:rsid w:val="1CF92D7C"/>
    <w:rsid w:val="1D057D11"/>
    <w:rsid w:val="1D08352C"/>
    <w:rsid w:val="1D1F1D81"/>
    <w:rsid w:val="1D23735C"/>
    <w:rsid w:val="1D310A93"/>
    <w:rsid w:val="1D394498"/>
    <w:rsid w:val="1D54071F"/>
    <w:rsid w:val="1D5C3938"/>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C29DC"/>
    <w:rsid w:val="1DDD3571"/>
    <w:rsid w:val="1DDE75EB"/>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7911C9"/>
    <w:rsid w:val="1E795C5B"/>
    <w:rsid w:val="1E7B335B"/>
    <w:rsid w:val="1E7C7613"/>
    <w:rsid w:val="1E7F0598"/>
    <w:rsid w:val="1E80686E"/>
    <w:rsid w:val="1E8A5FA4"/>
    <w:rsid w:val="1E8D194D"/>
    <w:rsid w:val="1E9E304B"/>
    <w:rsid w:val="1EA50F33"/>
    <w:rsid w:val="1EB95DF3"/>
    <w:rsid w:val="1ED503FA"/>
    <w:rsid w:val="1EDD3569"/>
    <w:rsid w:val="1EDF5E7D"/>
    <w:rsid w:val="1EE724BA"/>
    <w:rsid w:val="1EED664D"/>
    <w:rsid w:val="1EF84037"/>
    <w:rsid w:val="1EFF6434"/>
    <w:rsid w:val="1F037161"/>
    <w:rsid w:val="1F061775"/>
    <w:rsid w:val="1F1D248B"/>
    <w:rsid w:val="1F311F17"/>
    <w:rsid w:val="1F395F69"/>
    <w:rsid w:val="1F3A0011"/>
    <w:rsid w:val="1F3A5F92"/>
    <w:rsid w:val="1F3C1C4F"/>
    <w:rsid w:val="1F4160D7"/>
    <w:rsid w:val="1F55784C"/>
    <w:rsid w:val="1F57347E"/>
    <w:rsid w:val="1F574E9B"/>
    <w:rsid w:val="1F584FD2"/>
    <w:rsid w:val="1F5C50AF"/>
    <w:rsid w:val="1F701095"/>
    <w:rsid w:val="1F923DE6"/>
    <w:rsid w:val="1F983263"/>
    <w:rsid w:val="1FA03424"/>
    <w:rsid w:val="1FA42D75"/>
    <w:rsid w:val="1FA610B9"/>
    <w:rsid w:val="1FA80624"/>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725FEC"/>
    <w:rsid w:val="21756F70"/>
    <w:rsid w:val="217A36BF"/>
    <w:rsid w:val="217C68FB"/>
    <w:rsid w:val="218470E6"/>
    <w:rsid w:val="2187182E"/>
    <w:rsid w:val="218A070F"/>
    <w:rsid w:val="218D6C8F"/>
    <w:rsid w:val="21957939"/>
    <w:rsid w:val="21B26DD5"/>
    <w:rsid w:val="21C1624C"/>
    <w:rsid w:val="21C97A49"/>
    <w:rsid w:val="21CE439D"/>
    <w:rsid w:val="21D32B8D"/>
    <w:rsid w:val="21D36724"/>
    <w:rsid w:val="21D44D8B"/>
    <w:rsid w:val="21D956E4"/>
    <w:rsid w:val="21E26EA0"/>
    <w:rsid w:val="21E3664F"/>
    <w:rsid w:val="21E81795"/>
    <w:rsid w:val="21F34D45"/>
    <w:rsid w:val="21F950CF"/>
    <w:rsid w:val="21FA4FBB"/>
    <w:rsid w:val="22045432"/>
    <w:rsid w:val="220C28FC"/>
    <w:rsid w:val="2214507F"/>
    <w:rsid w:val="221A0D83"/>
    <w:rsid w:val="222206F4"/>
    <w:rsid w:val="22287087"/>
    <w:rsid w:val="222A3C9E"/>
    <w:rsid w:val="22350E1C"/>
    <w:rsid w:val="22396FF8"/>
    <w:rsid w:val="22431035"/>
    <w:rsid w:val="224A3AD1"/>
    <w:rsid w:val="225C0846"/>
    <w:rsid w:val="22760013"/>
    <w:rsid w:val="2296218F"/>
    <w:rsid w:val="229703ED"/>
    <w:rsid w:val="229F0FDC"/>
    <w:rsid w:val="22A61D74"/>
    <w:rsid w:val="22B0252A"/>
    <w:rsid w:val="22B343FA"/>
    <w:rsid w:val="22C55ABE"/>
    <w:rsid w:val="22CB2FC3"/>
    <w:rsid w:val="22D357B1"/>
    <w:rsid w:val="22D75BB2"/>
    <w:rsid w:val="22E819D8"/>
    <w:rsid w:val="22ED7E98"/>
    <w:rsid w:val="22F0294D"/>
    <w:rsid w:val="22F0425E"/>
    <w:rsid w:val="22F52D07"/>
    <w:rsid w:val="22F57E73"/>
    <w:rsid w:val="23017BFF"/>
    <w:rsid w:val="23021DF6"/>
    <w:rsid w:val="23143199"/>
    <w:rsid w:val="231523F7"/>
    <w:rsid w:val="23403D59"/>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B12FBF"/>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A3249E"/>
    <w:rsid w:val="24A62D02"/>
    <w:rsid w:val="24AD1976"/>
    <w:rsid w:val="24AD730D"/>
    <w:rsid w:val="24AF069B"/>
    <w:rsid w:val="24AF1929"/>
    <w:rsid w:val="24B63D40"/>
    <w:rsid w:val="24C674E1"/>
    <w:rsid w:val="24C81CA8"/>
    <w:rsid w:val="24C8317D"/>
    <w:rsid w:val="24CE7073"/>
    <w:rsid w:val="24D3611E"/>
    <w:rsid w:val="24E02810"/>
    <w:rsid w:val="24E35BFC"/>
    <w:rsid w:val="24F674E5"/>
    <w:rsid w:val="24F91FD7"/>
    <w:rsid w:val="24FA0B67"/>
    <w:rsid w:val="25082A0B"/>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B4606C"/>
    <w:rsid w:val="25B5026A"/>
    <w:rsid w:val="25BD311A"/>
    <w:rsid w:val="25CB59E7"/>
    <w:rsid w:val="25D14317"/>
    <w:rsid w:val="25D1716B"/>
    <w:rsid w:val="25D3309D"/>
    <w:rsid w:val="25DF6A97"/>
    <w:rsid w:val="25E27C61"/>
    <w:rsid w:val="25E6024A"/>
    <w:rsid w:val="25E71D3E"/>
    <w:rsid w:val="25EA0F8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22C59"/>
    <w:rsid w:val="26C520B1"/>
    <w:rsid w:val="26D07ABD"/>
    <w:rsid w:val="26D8294B"/>
    <w:rsid w:val="26E154C3"/>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53567"/>
    <w:rsid w:val="281954D5"/>
    <w:rsid w:val="28201F93"/>
    <w:rsid w:val="28223BE7"/>
    <w:rsid w:val="28252031"/>
    <w:rsid w:val="28277CEC"/>
    <w:rsid w:val="28290FF3"/>
    <w:rsid w:val="283803E8"/>
    <w:rsid w:val="284302F9"/>
    <w:rsid w:val="2846765D"/>
    <w:rsid w:val="284A2EB1"/>
    <w:rsid w:val="284F27AF"/>
    <w:rsid w:val="28594A6E"/>
    <w:rsid w:val="285B196C"/>
    <w:rsid w:val="286B5520"/>
    <w:rsid w:val="286C0B15"/>
    <w:rsid w:val="287D3F8A"/>
    <w:rsid w:val="2884317E"/>
    <w:rsid w:val="288706AE"/>
    <w:rsid w:val="28870747"/>
    <w:rsid w:val="288E5631"/>
    <w:rsid w:val="28923331"/>
    <w:rsid w:val="28AE5ECB"/>
    <w:rsid w:val="28C01A4F"/>
    <w:rsid w:val="28C32DF1"/>
    <w:rsid w:val="28C534E8"/>
    <w:rsid w:val="28D02103"/>
    <w:rsid w:val="28DE781D"/>
    <w:rsid w:val="28E43EE5"/>
    <w:rsid w:val="28EC6D65"/>
    <w:rsid w:val="28FA3D43"/>
    <w:rsid w:val="29095837"/>
    <w:rsid w:val="291F44FF"/>
    <w:rsid w:val="29354FA0"/>
    <w:rsid w:val="293734A8"/>
    <w:rsid w:val="2937715F"/>
    <w:rsid w:val="29470B05"/>
    <w:rsid w:val="294E0AA4"/>
    <w:rsid w:val="29506857"/>
    <w:rsid w:val="295209D2"/>
    <w:rsid w:val="295C266A"/>
    <w:rsid w:val="295E6AC6"/>
    <w:rsid w:val="29627583"/>
    <w:rsid w:val="29652B4F"/>
    <w:rsid w:val="29665177"/>
    <w:rsid w:val="296735A6"/>
    <w:rsid w:val="296D7E15"/>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952F3"/>
    <w:rsid w:val="2AEE4512"/>
    <w:rsid w:val="2B08286F"/>
    <w:rsid w:val="2B094258"/>
    <w:rsid w:val="2B307F8B"/>
    <w:rsid w:val="2B326508"/>
    <w:rsid w:val="2B341240"/>
    <w:rsid w:val="2B34584A"/>
    <w:rsid w:val="2B3648C8"/>
    <w:rsid w:val="2B4477D5"/>
    <w:rsid w:val="2B475678"/>
    <w:rsid w:val="2B64015F"/>
    <w:rsid w:val="2B644948"/>
    <w:rsid w:val="2B6C58CD"/>
    <w:rsid w:val="2B773C5E"/>
    <w:rsid w:val="2B7816DF"/>
    <w:rsid w:val="2B7A1C2B"/>
    <w:rsid w:val="2B7B1DC1"/>
    <w:rsid w:val="2B7C6921"/>
    <w:rsid w:val="2B803D17"/>
    <w:rsid w:val="2B8C252B"/>
    <w:rsid w:val="2B8E3883"/>
    <w:rsid w:val="2B987A16"/>
    <w:rsid w:val="2B9C4F86"/>
    <w:rsid w:val="2B9D609C"/>
    <w:rsid w:val="2BB806B3"/>
    <w:rsid w:val="2BC01AD4"/>
    <w:rsid w:val="2BCA23E3"/>
    <w:rsid w:val="2BCC3368"/>
    <w:rsid w:val="2BD12419"/>
    <w:rsid w:val="2BE00F59"/>
    <w:rsid w:val="2BE123B4"/>
    <w:rsid w:val="2BF31029"/>
    <w:rsid w:val="2BF56F61"/>
    <w:rsid w:val="2BFE1EDB"/>
    <w:rsid w:val="2C0F4464"/>
    <w:rsid w:val="2C122C6D"/>
    <w:rsid w:val="2C127758"/>
    <w:rsid w:val="2C133ADC"/>
    <w:rsid w:val="2C1A4265"/>
    <w:rsid w:val="2C1F32E8"/>
    <w:rsid w:val="2C1F3A83"/>
    <w:rsid w:val="2C2326B1"/>
    <w:rsid w:val="2C26626A"/>
    <w:rsid w:val="2C275841"/>
    <w:rsid w:val="2C320643"/>
    <w:rsid w:val="2C383405"/>
    <w:rsid w:val="2C3E2651"/>
    <w:rsid w:val="2C451946"/>
    <w:rsid w:val="2C4630F8"/>
    <w:rsid w:val="2C512054"/>
    <w:rsid w:val="2C5B070C"/>
    <w:rsid w:val="2C636708"/>
    <w:rsid w:val="2C68059F"/>
    <w:rsid w:val="2C6917E7"/>
    <w:rsid w:val="2C6D0CF3"/>
    <w:rsid w:val="2C6E4915"/>
    <w:rsid w:val="2C756800"/>
    <w:rsid w:val="2C7F1E9E"/>
    <w:rsid w:val="2C890A05"/>
    <w:rsid w:val="2C8A4A20"/>
    <w:rsid w:val="2C923581"/>
    <w:rsid w:val="2C9A125F"/>
    <w:rsid w:val="2CA009AC"/>
    <w:rsid w:val="2CA3554E"/>
    <w:rsid w:val="2CA44AD4"/>
    <w:rsid w:val="2CAA51C0"/>
    <w:rsid w:val="2CBC0FFA"/>
    <w:rsid w:val="2CBE0F03"/>
    <w:rsid w:val="2CC23437"/>
    <w:rsid w:val="2CC27AB8"/>
    <w:rsid w:val="2CC379B0"/>
    <w:rsid w:val="2CE03A77"/>
    <w:rsid w:val="2CE55464"/>
    <w:rsid w:val="2CEF3C54"/>
    <w:rsid w:val="2CF23870"/>
    <w:rsid w:val="2D006219"/>
    <w:rsid w:val="2D05566F"/>
    <w:rsid w:val="2D11170D"/>
    <w:rsid w:val="2D1144F2"/>
    <w:rsid w:val="2D125BD8"/>
    <w:rsid w:val="2D13298D"/>
    <w:rsid w:val="2D14245F"/>
    <w:rsid w:val="2D1B758C"/>
    <w:rsid w:val="2D221D5D"/>
    <w:rsid w:val="2D2A0414"/>
    <w:rsid w:val="2D36293A"/>
    <w:rsid w:val="2D383726"/>
    <w:rsid w:val="2D384209"/>
    <w:rsid w:val="2D386439"/>
    <w:rsid w:val="2D431C50"/>
    <w:rsid w:val="2D591BF5"/>
    <w:rsid w:val="2D5A4622"/>
    <w:rsid w:val="2D5C59D6"/>
    <w:rsid w:val="2D682673"/>
    <w:rsid w:val="2D72614A"/>
    <w:rsid w:val="2D7365A8"/>
    <w:rsid w:val="2D76477A"/>
    <w:rsid w:val="2D7B766B"/>
    <w:rsid w:val="2D7F6825"/>
    <w:rsid w:val="2D9379FB"/>
    <w:rsid w:val="2D9E7CAE"/>
    <w:rsid w:val="2DA160BB"/>
    <w:rsid w:val="2DA73EF2"/>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606CE4"/>
    <w:rsid w:val="2E6A7B7E"/>
    <w:rsid w:val="2E6B4F35"/>
    <w:rsid w:val="2E74677F"/>
    <w:rsid w:val="2E7C0A53"/>
    <w:rsid w:val="2E852ACB"/>
    <w:rsid w:val="2E852BFA"/>
    <w:rsid w:val="2E96142D"/>
    <w:rsid w:val="2EAE4D1A"/>
    <w:rsid w:val="2EB72D84"/>
    <w:rsid w:val="2EBB79E4"/>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7918"/>
    <w:rsid w:val="2F6275F4"/>
    <w:rsid w:val="2F653689"/>
    <w:rsid w:val="2F955C78"/>
    <w:rsid w:val="2F983EA3"/>
    <w:rsid w:val="2F9C38B6"/>
    <w:rsid w:val="2FA36E63"/>
    <w:rsid w:val="2FA539B8"/>
    <w:rsid w:val="2FA95C42"/>
    <w:rsid w:val="2FB20741"/>
    <w:rsid w:val="2FB5460E"/>
    <w:rsid w:val="2FB63264"/>
    <w:rsid w:val="2FB95B57"/>
    <w:rsid w:val="2FBC6E61"/>
    <w:rsid w:val="2FBD423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38011D"/>
    <w:rsid w:val="303C0D37"/>
    <w:rsid w:val="303C3120"/>
    <w:rsid w:val="304944C6"/>
    <w:rsid w:val="304A77F3"/>
    <w:rsid w:val="30647F44"/>
    <w:rsid w:val="30661EC0"/>
    <w:rsid w:val="30673368"/>
    <w:rsid w:val="306B7CC5"/>
    <w:rsid w:val="30705633"/>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D1BD8"/>
    <w:rsid w:val="3125512E"/>
    <w:rsid w:val="3136571E"/>
    <w:rsid w:val="313D27D5"/>
    <w:rsid w:val="314E7A79"/>
    <w:rsid w:val="31530BE6"/>
    <w:rsid w:val="31551FAD"/>
    <w:rsid w:val="31595EE0"/>
    <w:rsid w:val="315B29C1"/>
    <w:rsid w:val="315F1A1E"/>
    <w:rsid w:val="31644472"/>
    <w:rsid w:val="31645690"/>
    <w:rsid w:val="316D5BBF"/>
    <w:rsid w:val="316E2FA4"/>
    <w:rsid w:val="3170139F"/>
    <w:rsid w:val="317213BC"/>
    <w:rsid w:val="317C3C73"/>
    <w:rsid w:val="317D02F3"/>
    <w:rsid w:val="31821D14"/>
    <w:rsid w:val="319567AC"/>
    <w:rsid w:val="31970B92"/>
    <w:rsid w:val="31980D50"/>
    <w:rsid w:val="319D5866"/>
    <w:rsid w:val="31AC3F23"/>
    <w:rsid w:val="31AF06BF"/>
    <w:rsid w:val="31CA5142"/>
    <w:rsid w:val="31D94323"/>
    <w:rsid w:val="31DF7DE0"/>
    <w:rsid w:val="31EF007A"/>
    <w:rsid w:val="31F34041"/>
    <w:rsid w:val="31F43EF2"/>
    <w:rsid w:val="31FF2950"/>
    <w:rsid w:val="320D762A"/>
    <w:rsid w:val="320F656E"/>
    <w:rsid w:val="3229313A"/>
    <w:rsid w:val="322A09EC"/>
    <w:rsid w:val="322C1583"/>
    <w:rsid w:val="322E6D47"/>
    <w:rsid w:val="32343227"/>
    <w:rsid w:val="323E367C"/>
    <w:rsid w:val="323E79CE"/>
    <w:rsid w:val="324748F5"/>
    <w:rsid w:val="324F1302"/>
    <w:rsid w:val="326336E2"/>
    <w:rsid w:val="32792DC0"/>
    <w:rsid w:val="327945B0"/>
    <w:rsid w:val="32807969"/>
    <w:rsid w:val="328E57E0"/>
    <w:rsid w:val="32904380"/>
    <w:rsid w:val="32987720"/>
    <w:rsid w:val="329D378B"/>
    <w:rsid w:val="329F4D04"/>
    <w:rsid w:val="32AD5AEA"/>
    <w:rsid w:val="32AE251D"/>
    <w:rsid w:val="32BE1DF7"/>
    <w:rsid w:val="32C11A89"/>
    <w:rsid w:val="32C3640C"/>
    <w:rsid w:val="32C47E69"/>
    <w:rsid w:val="32C91062"/>
    <w:rsid w:val="32CE49D6"/>
    <w:rsid w:val="32CF5741"/>
    <w:rsid w:val="32D41F8A"/>
    <w:rsid w:val="32D87EC4"/>
    <w:rsid w:val="32DF4B9C"/>
    <w:rsid w:val="32E67DB7"/>
    <w:rsid w:val="32EE5E66"/>
    <w:rsid w:val="32F511C3"/>
    <w:rsid w:val="32F707FF"/>
    <w:rsid w:val="32FE7982"/>
    <w:rsid w:val="33047BC2"/>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8344B6"/>
    <w:rsid w:val="338703EF"/>
    <w:rsid w:val="33871402"/>
    <w:rsid w:val="338A0060"/>
    <w:rsid w:val="338B2639"/>
    <w:rsid w:val="338C018A"/>
    <w:rsid w:val="338C598B"/>
    <w:rsid w:val="33901C94"/>
    <w:rsid w:val="33992634"/>
    <w:rsid w:val="33A045C6"/>
    <w:rsid w:val="33A2226D"/>
    <w:rsid w:val="33A655BD"/>
    <w:rsid w:val="33AF50D7"/>
    <w:rsid w:val="33B45472"/>
    <w:rsid w:val="33C2279E"/>
    <w:rsid w:val="33E26E4B"/>
    <w:rsid w:val="33E6404A"/>
    <w:rsid w:val="33E74A64"/>
    <w:rsid w:val="33E87421"/>
    <w:rsid w:val="34052E84"/>
    <w:rsid w:val="340706E9"/>
    <w:rsid w:val="340C4B71"/>
    <w:rsid w:val="340D3DB8"/>
    <w:rsid w:val="34195765"/>
    <w:rsid w:val="3422185A"/>
    <w:rsid w:val="34316819"/>
    <w:rsid w:val="3435099A"/>
    <w:rsid w:val="343B5578"/>
    <w:rsid w:val="34431811"/>
    <w:rsid w:val="34510B5E"/>
    <w:rsid w:val="3455626A"/>
    <w:rsid w:val="3465056A"/>
    <w:rsid w:val="346866A1"/>
    <w:rsid w:val="346C42A4"/>
    <w:rsid w:val="34700522"/>
    <w:rsid w:val="34806C8E"/>
    <w:rsid w:val="348167F0"/>
    <w:rsid w:val="34830033"/>
    <w:rsid w:val="34866D0C"/>
    <w:rsid w:val="348867B9"/>
    <w:rsid w:val="3490679F"/>
    <w:rsid w:val="34921598"/>
    <w:rsid w:val="349A1C0D"/>
    <w:rsid w:val="34A75868"/>
    <w:rsid w:val="34A83FD4"/>
    <w:rsid w:val="34B326E0"/>
    <w:rsid w:val="34BC7ADD"/>
    <w:rsid w:val="34C804C4"/>
    <w:rsid w:val="34C97E6C"/>
    <w:rsid w:val="34CA77B1"/>
    <w:rsid w:val="34D1002C"/>
    <w:rsid w:val="34DC1D0C"/>
    <w:rsid w:val="34E261D0"/>
    <w:rsid w:val="34E3740B"/>
    <w:rsid w:val="34EC41DF"/>
    <w:rsid w:val="34ED71D7"/>
    <w:rsid w:val="34F05A65"/>
    <w:rsid w:val="34F65DF3"/>
    <w:rsid w:val="350C5A51"/>
    <w:rsid w:val="350D2053"/>
    <w:rsid w:val="350D51A0"/>
    <w:rsid w:val="350F0F1C"/>
    <w:rsid w:val="352046B0"/>
    <w:rsid w:val="35286BF7"/>
    <w:rsid w:val="353E2A70"/>
    <w:rsid w:val="35417A3C"/>
    <w:rsid w:val="35417A73"/>
    <w:rsid w:val="35522321"/>
    <w:rsid w:val="355D53D4"/>
    <w:rsid w:val="35753453"/>
    <w:rsid w:val="35817631"/>
    <w:rsid w:val="3595440F"/>
    <w:rsid w:val="35962A23"/>
    <w:rsid w:val="3599429E"/>
    <w:rsid w:val="35A73257"/>
    <w:rsid w:val="35AF3A18"/>
    <w:rsid w:val="35B12F84"/>
    <w:rsid w:val="35B57875"/>
    <w:rsid w:val="35C828C9"/>
    <w:rsid w:val="35D07CD5"/>
    <w:rsid w:val="35D1751A"/>
    <w:rsid w:val="35F75996"/>
    <w:rsid w:val="36033A12"/>
    <w:rsid w:val="361A26D3"/>
    <w:rsid w:val="362F0086"/>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D7B52"/>
    <w:rsid w:val="36FE2945"/>
    <w:rsid w:val="36FF76AE"/>
    <w:rsid w:val="370C1C5B"/>
    <w:rsid w:val="370F0532"/>
    <w:rsid w:val="371D3482"/>
    <w:rsid w:val="372F61E0"/>
    <w:rsid w:val="374F22A6"/>
    <w:rsid w:val="37592FE4"/>
    <w:rsid w:val="375E20CF"/>
    <w:rsid w:val="376215AD"/>
    <w:rsid w:val="377336AC"/>
    <w:rsid w:val="377C1015"/>
    <w:rsid w:val="377F502A"/>
    <w:rsid w:val="37804449"/>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A1714"/>
    <w:rsid w:val="385C1B7F"/>
    <w:rsid w:val="38610D05"/>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11AC4"/>
    <w:rsid w:val="38FA192C"/>
    <w:rsid w:val="38FB4BD9"/>
    <w:rsid w:val="39072D1B"/>
    <w:rsid w:val="39076C11"/>
    <w:rsid w:val="3915654A"/>
    <w:rsid w:val="391D3B2F"/>
    <w:rsid w:val="391F2580"/>
    <w:rsid w:val="39221703"/>
    <w:rsid w:val="39235ECE"/>
    <w:rsid w:val="39262192"/>
    <w:rsid w:val="39283EEC"/>
    <w:rsid w:val="392D67AC"/>
    <w:rsid w:val="392D67DD"/>
    <w:rsid w:val="3930488C"/>
    <w:rsid w:val="39401394"/>
    <w:rsid w:val="39421A95"/>
    <w:rsid w:val="394E2921"/>
    <w:rsid w:val="39507C97"/>
    <w:rsid w:val="396673B2"/>
    <w:rsid w:val="3968060E"/>
    <w:rsid w:val="397273BD"/>
    <w:rsid w:val="397B41D5"/>
    <w:rsid w:val="398473E8"/>
    <w:rsid w:val="399B0CD4"/>
    <w:rsid w:val="39A0637B"/>
    <w:rsid w:val="39A36C79"/>
    <w:rsid w:val="39A644DA"/>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617F6"/>
    <w:rsid w:val="3A2A230A"/>
    <w:rsid w:val="3A2B6F44"/>
    <w:rsid w:val="3A380799"/>
    <w:rsid w:val="3A3B3117"/>
    <w:rsid w:val="3A4407FC"/>
    <w:rsid w:val="3A476B5E"/>
    <w:rsid w:val="3A4B0E8F"/>
    <w:rsid w:val="3A515F62"/>
    <w:rsid w:val="3A5C7287"/>
    <w:rsid w:val="3A711825"/>
    <w:rsid w:val="3A786FF1"/>
    <w:rsid w:val="3A7C018D"/>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D31D5"/>
    <w:rsid w:val="3AFF66D9"/>
    <w:rsid w:val="3B0A7A50"/>
    <w:rsid w:val="3B0E6168"/>
    <w:rsid w:val="3B105BA8"/>
    <w:rsid w:val="3B1353B7"/>
    <w:rsid w:val="3B166EA8"/>
    <w:rsid w:val="3B1D3B4F"/>
    <w:rsid w:val="3B2414E4"/>
    <w:rsid w:val="3B277374"/>
    <w:rsid w:val="3B344321"/>
    <w:rsid w:val="3B3500CB"/>
    <w:rsid w:val="3B3B45D5"/>
    <w:rsid w:val="3B45524B"/>
    <w:rsid w:val="3B4F35F9"/>
    <w:rsid w:val="3B50783E"/>
    <w:rsid w:val="3B523834"/>
    <w:rsid w:val="3B5576EF"/>
    <w:rsid w:val="3B6A281B"/>
    <w:rsid w:val="3B6C4CA8"/>
    <w:rsid w:val="3B6E0271"/>
    <w:rsid w:val="3B896874"/>
    <w:rsid w:val="3B8D358A"/>
    <w:rsid w:val="3B9D4373"/>
    <w:rsid w:val="3BA55A3E"/>
    <w:rsid w:val="3BA92EC6"/>
    <w:rsid w:val="3BB663C6"/>
    <w:rsid w:val="3BB94D10"/>
    <w:rsid w:val="3BC76121"/>
    <w:rsid w:val="3BDD4EC3"/>
    <w:rsid w:val="3BDE416C"/>
    <w:rsid w:val="3BE70BEC"/>
    <w:rsid w:val="3C0435A9"/>
    <w:rsid w:val="3C147E29"/>
    <w:rsid w:val="3C2B34B5"/>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73788"/>
    <w:rsid w:val="3DBE7888"/>
    <w:rsid w:val="3DC72FAC"/>
    <w:rsid w:val="3DCF7FC2"/>
    <w:rsid w:val="3DD4640D"/>
    <w:rsid w:val="3DDE6D75"/>
    <w:rsid w:val="3DE32EC6"/>
    <w:rsid w:val="3DE7136C"/>
    <w:rsid w:val="3DE84532"/>
    <w:rsid w:val="3DED572C"/>
    <w:rsid w:val="3DF17FF3"/>
    <w:rsid w:val="3DF830A2"/>
    <w:rsid w:val="3E00648E"/>
    <w:rsid w:val="3E05231B"/>
    <w:rsid w:val="3E097ED6"/>
    <w:rsid w:val="3E0A395B"/>
    <w:rsid w:val="3E0F619F"/>
    <w:rsid w:val="3E130FD6"/>
    <w:rsid w:val="3E255837"/>
    <w:rsid w:val="3E29379B"/>
    <w:rsid w:val="3E2C07D2"/>
    <w:rsid w:val="3E320760"/>
    <w:rsid w:val="3E3B796C"/>
    <w:rsid w:val="3E4B1EC4"/>
    <w:rsid w:val="3E4C5C7B"/>
    <w:rsid w:val="3E4F06BE"/>
    <w:rsid w:val="3E5636F5"/>
    <w:rsid w:val="3E60232E"/>
    <w:rsid w:val="3E6966CC"/>
    <w:rsid w:val="3E6F6349"/>
    <w:rsid w:val="3E7001DF"/>
    <w:rsid w:val="3E815E9D"/>
    <w:rsid w:val="3E83181D"/>
    <w:rsid w:val="3E8F04CD"/>
    <w:rsid w:val="3E935A45"/>
    <w:rsid w:val="3E937378"/>
    <w:rsid w:val="3E994F65"/>
    <w:rsid w:val="3EA37326"/>
    <w:rsid w:val="3EA4334C"/>
    <w:rsid w:val="3EAC4BE0"/>
    <w:rsid w:val="3EC21710"/>
    <w:rsid w:val="3EC85974"/>
    <w:rsid w:val="3ECB1DC0"/>
    <w:rsid w:val="3ED07B39"/>
    <w:rsid w:val="3ED82673"/>
    <w:rsid w:val="3EEE4BA8"/>
    <w:rsid w:val="3EF065CE"/>
    <w:rsid w:val="3EF4437C"/>
    <w:rsid w:val="3F09723D"/>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9524D1"/>
    <w:rsid w:val="3F960EBE"/>
    <w:rsid w:val="3F963935"/>
    <w:rsid w:val="3F971B4B"/>
    <w:rsid w:val="3F9C7D6C"/>
    <w:rsid w:val="3FA7520A"/>
    <w:rsid w:val="3FB14C5B"/>
    <w:rsid w:val="3FBD7ADB"/>
    <w:rsid w:val="3FC165DA"/>
    <w:rsid w:val="3FCD5396"/>
    <w:rsid w:val="3FD91DCF"/>
    <w:rsid w:val="3FDA74C6"/>
    <w:rsid w:val="3FDE5C0F"/>
    <w:rsid w:val="3FDF5A49"/>
    <w:rsid w:val="3FDF6208"/>
    <w:rsid w:val="3FED10C4"/>
    <w:rsid w:val="3FF8067D"/>
    <w:rsid w:val="3FF86E00"/>
    <w:rsid w:val="3FFD69BE"/>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441AC"/>
    <w:rsid w:val="40CD5F0B"/>
    <w:rsid w:val="40DD12C2"/>
    <w:rsid w:val="40DD4729"/>
    <w:rsid w:val="40E47D03"/>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C0FC6"/>
    <w:rsid w:val="41A06FEC"/>
    <w:rsid w:val="41AE4D04"/>
    <w:rsid w:val="41B35408"/>
    <w:rsid w:val="41BE3E52"/>
    <w:rsid w:val="41C276F1"/>
    <w:rsid w:val="41C3503D"/>
    <w:rsid w:val="41C36A02"/>
    <w:rsid w:val="41D23F1B"/>
    <w:rsid w:val="41D8445C"/>
    <w:rsid w:val="41E6662C"/>
    <w:rsid w:val="41E73B64"/>
    <w:rsid w:val="41F2243E"/>
    <w:rsid w:val="41F85D27"/>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F21FE1"/>
    <w:rsid w:val="42F454E4"/>
    <w:rsid w:val="42F46FDC"/>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E00F9"/>
    <w:rsid w:val="43A300C5"/>
    <w:rsid w:val="43A7408E"/>
    <w:rsid w:val="43AA1790"/>
    <w:rsid w:val="43AE7B31"/>
    <w:rsid w:val="43B14BBF"/>
    <w:rsid w:val="43B24CCF"/>
    <w:rsid w:val="43B43752"/>
    <w:rsid w:val="43BE0F70"/>
    <w:rsid w:val="43D14618"/>
    <w:rsid w:val="43D46454"/>
    <w:rsid w:val="43D60064"/>
    <w:rsid w:val="43E63027"/>
    <w:rsid w:val="43EF4482"/>
    <w:rsid w:val="43F362FE"/>
    <w:rsid w:val="43F669C3"/>
    <w:rsid w:val="43FA4727"/>
    <w:rsid w:val="44036A07"/>
    <w:rsid w:val="44205D19"/>
    <w:rsid w:val="44266B5B"/>
    <w:rsid w:val="442C10DA"/>
    <w:rsid w:val="44314B0E"/>
    <w:rsid w:val="4432296D"/>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157AFD"/>
    <w:rsid w:val="451A32B1"/>
    <w:rsid w:val="451E341B"/>
    <w:rsid w:val="452611BF"/>
    <w:rsid w:val="45275A63"/>
    <w:rsid w:val="452D6C34"/>
    <w:rsid w:val="453A7EC8"/>
    <w:rsid w:val="454D00BA"/>
    <w:rsid w:val="455A14D6"/>
    <w:rsid w:val="455E73BA"/>
    <w:rsid w:val="456072FC"/>
    <w:rsid w:val="45644B1A"/>
    <w:rsid w:val="456951DA"/>
    <w:rsid w:val="4580730D"/>
    <w:rsid w:val="45973AD6"/>
    <w:rsid w:val="45987603"/>
    <w:rsid w:val="459E5857"/>
    <w:rsid w:val="45A52B1C"/>
    <w:rsid w:val="45AA0617"/>
    <w:rsid w:val="45AC4CF4"/>
    <w:rsid w:val="45AD524F"/>
    <w:rsid w:val="45AE36B8"/>
    <w:rsid w:val="45BD148D"/>
    <w:rsid w:val="45CA0AA2"/>
    <w:rsid w:val="45CF7FBC"/>
    <w:rsid w:val="45D1041B"/>
    <w:rsid w:val="45D35BB2"/>
    <w:rsid w:val="45D63259"/>
    <w:rsid w:val="45DE6424"/>
    <w:rsid w:val="45F01A26"/>
    <w:rsid w:val="45F35C5E"/>
    <w:rsid w:val="45FB3756"/>
    <w:rsid w:val="45FC6AE1"/>
    <w:rsid w:val="46050302"/>
    <w:rsid w:val="461B1594"/>
    <w:rsid w:val="461E68D1"/>
    <w:rsid w:val="461E7E71"/>
    <w:rsid w:val="46203691"/>
    <w:rsid w:val="4621349D"/>
    <w:rsid w:val="46256620"/>
    <w:rsid w:val="46400CA9"/>
    <w:rsid w:val="46406C53"/>
    <w:rsid w:val="464B4343"/>
    <w:rsid w:val="465A4FCD"/>
    <w:rsid w:val="465B230D"/>
    <w:rsid w:val="465D5881"/>
    <w:rsid w:val="465F6BC4"/>
    <w:rsid w:val="4662285A"/>
    <w:rsid w:val="466B3AEF"/>
    <w:rsid w:val="467208A3"/>
    <w:rsid w:val="467B190C"/>
    <w:rsid w:val="46810023"/>
    <w:rsid w:val="4681678B"/>
    <w:rsid w:val="468354F8"/>
    <w:rsid w:val="46836109"/>
    <w:rsid w:val="468377A8"/>
    <w:rsid w:val="46853ACF"/>
    <w:rsid w:val="468B0189"/>
    <w:rsid w:val="46992B3D"/>
    <w:rsid w:val="46995FD1"/>
    <w:rsid w:val="46A97A1A"/>
    <w:rsid w:val="46AE4E1D"/>
    <w:rsid w:val="46B06667"/>
    <w:rsid w:val="46BA097B"/>
    <w:rsid w:val="46C155A5"/>
    <w:rsid w:val="46C35907"/>
    <w:rsid w:val="46F53662"/>
    <w:rsid w:val="46F76979"/>
    <w:rsid w:val="47032B85"/>
    <w:rsid w:val="47056F93"/>
    <w:rsid w:val="47111705"/>
    <w:rsid w:val="4719625B"/>
    <w:rsid w:val="472C0755"/>
    <w:rsid w:val="4736312B"/>
    <w:rsid w:val="473E02B7"/>
    <w:rsid w:val="4745188E"/>
    <w:rsid w:val="47456C05"/>
    <w:rsid w:val="475315B5"/>
    <w:rsid w:val="47543990"/>
    <w:rsid w:val="475E2EA5"/>
    <w:rsid w:val="476361F9"/>
    <w:rsid w:val="476A6742"/>
    <w:rsid w:val="476D2EF2"/>
    <w:rsid w:val="476E7A2B"/>
    <w:rsid w:val="4773751C"/>
    <w:rsid w:val="477A07F4"/>
    <w:rsid w:val="47812160"/>
    <w:rsid w:val="478B4F45"/>
    <w:rsid w:val="47916B77"/>
    <w:rsid w:val="47994140"/>
    <w:rsid w:val="47A47517"/>
    <w:rsid w:val="47AE1A1A"/>
    <w:rsid w:val="47B425AF"/>
    <w:rsid w:val="47B54AA8"/>
    <w:rsid w:val="47BD13B2"/>
    <w:rsid w:val="47BE6D02"/>
    <w:rsid w:val="47BF5406"/>
    <w:rsid w:val="47C073E7"/>
    <w:rsid w:val="47C43C50"/>
    <w:rsid w:val="47C621A4"/>
    <w:rsid w:val="47CF18FB"/>
    <w:rsid w:val="47DD67B3"/>
    <w:rsid w:val="47DE197A"/>
    <w:rsid w:val="47E25F6B"/>
    <w:rsid w:val="47F04F1C"/>
    <w:rsid w:val="47F261EE"/>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A40B02"/>
    <w:rsid w:val="48B03CBE"/>
    <w:rsid w:val="48BE336A"/>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97392"/>
    <w:rsid w:val="491B5B23"/>
    <w:rsid w:val="49305088"/>
    <w:rsid w:val="493B491E"/>
    <w:rsid w:val="493D29D4"/>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35566D"/>
    <w:rsid w:val="4A3E4206"/>
    <w:rsid w:val="4A451D7A"/>
    <w:rsid w:val="4A55265D"/>
    <w:rsid w:val="4A5A35C4"/>
    <w:rsid w:val="4A6F2547"/>
    <w:rsid w:val="4A807CE1"/>
    <w:rsid w:val="4A861680"/>
    <w:rsid w:val="4A8764D3"/>
    <w:rsid w:val="4A980B3E"/>
    <w:rsid w:val="4A9A2FE3"/>
    <w:rsid w:val="4A9A3140"/>
    <w:rsid w:val="4AA25E62"/>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8464B3"/>
    <w:rsid w:val="4B9020FB"/>
    <w:rsid w:val="4B93258A"/>
    <w:rsid w:val="4B96469A"/>
    <w:rsid w:val="4B966D92"/>
    <w:rsid w:val="4B97572B"/>
    <w:rsid w:val="4B9B2052"/>
    <w:rsid w:val="4B9C5862"/>
    <w:rsid w:val="4BAF0B9A"/>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94584A"/>
    <w:rsid w:val="4C952AAB"/>
    <w:rsid w:val="4C980962"/>
    <w:rsid w:val="4C99661C"/>
    <w:rsid w:val="4C9A635E"/>
    <w:rsid w:val="4CA52D98"/>
    <w:rsid w:val="4CA860AF"/>
    <w:rsid w:val="4CB66E36"/>
    <w:rsid w:val="4CCD37D3"/>
    <w:rsid w:val="4CCF22AA"/>
    <w:rsid w:val="4CCF4510"/>
    <w:rsid w:val="4CD04687"/>
    <w:rsid w:val="4CEE1E37"/>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7B74"/>
    <w:rsid w:val="4D8C185A"/>
    <w:rsid w:val="4D903FFE"/>
    <w:rsid w:val="4D933355"/>
    <w:rsid w:val="4D962288"/>
    <w:rsid w:val="4D9F1272"/>
    <w:rsid w:val="4DA475A9"/>
    <w:rsid w:val="4DCB0227"/>
    <w:rsid w:val="4DCC69B2"/>
    <w:rsid w:val="4DCF155E"/>
    <w:rsid w:val="4DD11AEE"/>
    <w:rsid w:val="4DD72ACC"/>
    <w:rsid w:val="4DDD6C4C"/>
    <w:rsid w:val="4DE22B61"/>
    <w:rsid w:val="4DED0D83"/>
    <w:rsid w:val="4DF740D0"/>
    <w:rsid w:val="4DF94E97"/>
    <w:rsid w:val="4DFD487E"/>
    <w:rsid w:val="4E00194B"/>
    <w:rsid w:val="4E071018"/>
    <w:rsid w:val="4E081A05"/>
    <w:rsid w:val="4E0C3478"/>
    <w:rsid w:val="4E16084F"/>
    <w:rsid w:val="4E1E35A8"/>
    <w:rsid w:val="4E1F5137"/>
    <w:rsid w:val="4E41200E"/>
    <w:rsid w:val="4E4A36DE"/>
    <w:rsid w:val="4E4B1237"/>
    <w:rsid w:val="4E5B2D9E"/>
    <w:rsid w:val="4E5E3241"/>
    <w:rsid w:val="4E685D9D"/>
    <w:rsid w:val="4E7500C4"/>
    <w:rsid w:val="4E826DA3"/>
    <w:rsid w:val="4E865878"/>
    <w:rsid w:val="4E997F39"/>
    <w:rsid w:val="4E9C0F54"/>
    <w:rsid w:val="4EA45038"/>
    <w:rsid w:val="4EA535EA"/>
    <w:rsid w:val="4EA81EF4"/>
    <w:rsid w:val="4EAB7555"/>
    <w:rsid w:val="4EB16F4D"/>
    <w:rsid w:val="4EBE17BD"/>
    <w:rsid w:val="4EC21909"/>
    <w:rsid w:val="4EC251D8"/>
    <w:rsid w:val="4ECF6625"/>
    <w:rsid w:val="4ED37A9C"/>
    <w:rsid w:val="4EDE0A69"/>
    <w:rsid w:val="4EE667AC"/>
    <w:rsid w:val="4EF0089E"/>
    <w:rsid w:val="4EF438A7"/>
    <w:rsid w:val="4EF52034"/>
    <w:rsid w:val="4EF74679"/>
    <w:rsid w:val="4EFA358B"/>
    <w:rsid w:val="4F053AD4"/>
    <w:rsid w:val="4F1D5313"/>
    <w:rsid w:val="4F264456"/>
    <w:rsid w:val="4F2946F0"/>
    <w:rsid w:val="4F391107"/>
    <w:rsid w:val="4F3B460A"/>
    <w:rsid w:val="4F4D5BA9"/>
    <w:rsid w:val="4F4F7C97"/>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819D5"/>
    <w:rsid w:val="4FB94ED8"/>
    <w:rsid w:val="4FC13A16"/>
    <w:rsid w:val="4FC33E68"/>
    <w:rsid w:val="4FE1061B"/>
    <w:rsid w:val="4FE129A1"/>
    <w:rsid w:val="4FE92D8A"/>
    <w:rsid w:val="4FEA66FB"/>
    <w:rsid w:val="50000326"/>
    <w:rsid w:val="5012456C"/>
    <w:rsid w:val="50194ECE"/>
    <w:rsid w:val="501B0160"/>
    <w:rsid w:val="5028413A"/>
    <w:rsid w:val="5034185C"/>
    <w:rsid w:val="50394C31"/>
    <w:rsid w:val="50465DC1"/>
    <w:rsid w:val="504771A6"/>
    <w:rsid w:val="504A3E65"/>
    <w:rsid w:val="50651490"/>
    <w:rsid w:val="50662285"/>
    <w:rsid w:val="508640C4"/>
    <w:rsid w:val="508C494C"/>
    <w:rsid w:val="50906750"/>
    <w:rsid w:val="50935D58"/>
    <w:rsid w:val="509473B7"/>
    <w:rsid w:val="50A2107E"/>
    <w:rsid w:val="50A970CD"/>
    <w:rsid w:val="50AA7C6B"/>
    <w:rsid w:val="50B04A39"/>
    <w:rsid w:val="50BA42F9"/>
    <w:rsid w:val="50BD1283"/>
    <w:rsid w:val="50C85002"/>
    <w:rsid w:val="50D3250E"/>
    <w:rsid w:val="50D565E3"/>
    <w:rsid w:val="50F37BC5"/>
    <w:rsid w:val="50F60680"/>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971803"/>
    <w:rsid w:val="51996C1B"/>
    <w:rsid w:val="51A56DF6"/>
    <w:rsid w:val="51AB46BA"/>
    <w:rsid w:val="51CB2291"/>
    <w:rsid w:val="51CD11C5"/>
    <w:rsid w:val="51D254DA"/>
    <w:rsid w:val="51D67559"/>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AD06F5"/>
    <w:rsid w:val="52AD3126"/>
    <w:rsid w:val="52AF0E01"/>
    <w:rsid w:val="52BE0F28"/>
    <w:rsid w:val="52CA4FCD"/>
    <w:rsid w:val="52CE6C9A"/>
    <w:rsid w:val="52D32108"/>
    <w:rsid w:val="52D6356D"/>
    <w:rsid w:val="52EE175B"/>
    <w:rsid w:val="52F77D67"/>
    <w:rsid w:val="52F836E3"/>
    <w:rsid w:val="53194965"/>
    <w:rsid w:val="531E6325"/>
    <w:rsid w:val="531F0A9B"/>
    <w:rsid w:val="5325232B"/>
    <w:rsid w:val="532F7394"/>
    <w:rsid w:val="53310054"/>
    <w:rsid w:val="53385FAE"/>
    <w:rsid w:val="534E489F"/>
    <w:rsid w:val="53526EF0"/>
    <w:rsid w:val="53570BC7"/>
    <w:rsid w:val="536E730E"/>
    <w:rsid w:val="537C2BD7"/>
    <w:rsid w:val="537D468A"/>
    <w:rsid w:val="538163CA"/>
    <w:rsid w:val="53971E29"/>
    <w:rsid w:val="53987EBC"/>
    <w:rsid w:val="53A35F99"/>
    <w:rsid w:val="53A93AC9"/>
    <w:rsid w:val="53AA295E"/>
    <w:rsid w:val="53BD4246"/>
    <w:rsid w:val="53CC110B"/>
    <w:rsid w:val="53D01EF5"/>
    <w:rsid w:val="53D43DC1"/>
    <w:rsid w:val="53D948F7"/>
    <w:rsid w:val="53E25B60"/>
    <w:rsid w:val="53E6334F"/>
    <w:rsid w:val="53EC2E48"/>
    <w:rsid w:val="53F03117"/>
    <w:rsid w:val="53F11E25"/>
    <w:rsid w:val="53FB17FA"/>
    <w:rsid w:val="54060DDF"/>
    <w:rsid w:val="541862F0"/>
    <w:rsid w:val="54276E3E"/>
    <w:rsid w:val="542A3A4D"/>
    <w:rsid w:val="544143C8"/>
    <w:rsid w:val="54426862"/>
    <w:rsid w:val="54671693"/>
    <w:rsid w:val="546A6559"/>
    <w:rsid w:val="546F0B91"/>
    <w:rsid w:val="5475533D"/>
    <w:rsid w:val="54781E2D"/>
    <w:rsid w:val="54791FA3"/>
    <w:rsid w:val="547935AC"/>
    <w:rsid w:val="54815121"/>
    <w:rsid w:val="54984FF7"/>
    <w:rsid w:val="549B4C02"/>
    <w:rsid w:val="54A541E1"/>
    <w:rsid w:val="54AA6632"/>
    <w:rsid w:val="54B23129"/>
    <w:rsid w:val="54B2533F"/>
    <w:rsid w:val="54B42188"/>
    <w:rsid w:val="54B70A61"/>
    <w:rsid w:val="54B779B5"/>
    <w:rsid w:val="54CE2D32"/>
    <w:rsid w:val="54D25371"/>
    <w:rsid w:val="54DF359E"/>
    <w:rsid w:val="54DF4DAB"/>
    <w:rsid w:val="54EA3421"/>
    <w:rsid w:val="54EC1FC6"/>
    <w:rsid w:val="54EC416F"/>
    <w:rsid w:val="551A5E48"/>
    <w:rsid w:val="552C68B9"/>
    <w:rsid w:val="55335647"/>
    <w:rsid w:val="5538682D"/>
    <w:rsid w:val="553A7E63"/>
    <w:rsid w:val="554064E9"/>
    <w:rsid w:val="55476094"/>
    <w:rsid w:val="554A06ED"/>
    <w:rsid w:val="554A487A"/>
    <w:rsid w:val="554D1BF6"/>
    <w:rsid w:val="5552614F"/>
    <w:rsid w:val="55530973"/>
    <w:rsid w:val="55560E04"/>
    <w:rsid w:val="55666B45"/>
    <w:rsid w:val="55684366"/>
    <w:rsid w:val="556D6645"/>
    <w:rsid w:val="556E15B6"/>
    <w:rsid w:val="55722092"/>
    <w:rsid w:val="557C381D"/>
    <w:rsid w:val="5583167D"/>
    <w:rsid w:val="558318CB"/>
    <w:rsid w:val="55995FB7"/>
    <w:rsid w:val="55A156DD"/>
    <w:rsid w:val="55A212E2"/>
    <w:rsid w:val="55B13035"/>
    <w:rsid w:val="55BD15CA"/>
    <w:rsid w:val="55C10548"/>
    <w:rsid w:val="55C244BC"/>
    <w:rsid w:val="55C708F6"/>
    <w:rsid w:val="55D6790C"/>
    <w:rsid w:val="55E37FE2"/>
    <w:rsid w:val="55E502FC"/>
    <w:rsid w:val="55F42B14"/>
    <w:rsid w:val="55F942A7"/>
    <w:rsid w:val="55FB22A7"/>
    <w:rsid w:val="55FD211F"/>
    <w:rsid w:val="56015FD4"/>
    <w:rsid w:val="56023C3F"/>
    <w:rsid w:val="5608328C"/>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F245E"/>
    <w:rsid w:val="566F703B"/>
    <w:rsid w:val="56737273"/>
    <w:rsid w:val="56773C48"/>
    <w:rsid w:val="567B4EBA"/>
    <w:rsid w:val="56880A73"/>
    <w:rsid w:val="56A60A67"/>
    <w:rsid w:val="56AE5BF6"/>
    <w:rsid w:val="56BB5794"/>
    <w:rsid w:val="56C16A07"/>
    <w:rsid w:val="56C56026"/>
    <w:rsid w:val="56C721C1"/>
    <w:rsid w:val="56C75E65"/>
    <w:rsid w:val="56E55706"/>
    <w:rsid w:val="56ED49AC"/>
    <w:rsid w:val="56FF736A"/>
    <w:rsid w:val="57037964"/>
    <w:rsid w:val="570C3D0F"/>
    <w:rsid w:val="570D1D86"/>
    <w:rsid w:val="570E1422"/>
    <w:rsid w:val="571019F7"/>
    <w:rsid w:val="571A7074"/>
    <w:rsid w:val="573F549A"/>
    <w:rsid w:val="57491B3F"/>
    <w:rsid w:val="57553D3F"/>
    <w:rsid w:val="57703672"/>
    <w:rsid w:val="5773534B"/>
    <w:rsid w:val="57780B7F"/>
    <w:rsid w:val="577E261B"/>
    <w:rsid w:val="5780017C"/>
    <w:rsid w:val="57856672"/>
    <w:rsid w:val="578C265D"/>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32997"/>
    <w:rsid w:val="58084289"/>
    <w:rsid w:val="58132276"/>
    <w:rsid w:val="58194A18"/>
    <w:rsid w:val="581D6018"/>
    <w:rsid w:val="58215EFA"/>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D21C48"/>
    <w:rsid w:val="58D52BCD"/>
    <w:rsid w:val="58DC744B"/>
    <w:rsid w:val="58E34256"/>
    <w:rsid w:val="58E67490"/>
    <w:rsid w:val="58F609E4"/>
    <w:rsid w:val="58FB67BC"/>
    <w:rsid w:val="590B1029"/>
    <w:rsid w:val="591271AE"/>
    <w:rsid w:val="59222295"/>
    <w:rsid w:val="59233F27"/>
    <w:rsid w:val="592A4855"/>
    <w:rsid w:val="5930657D"/>
    <w:rsid w:val="59327DEB"/>
    <w:rsid w:val="59341153"/>
    <w:rsid w:val="59392E42"/>
    <w:rsid w:val="593965FB"/>
    <w:rsid w:val="593B5B55"/>
    <w:rsid w:val="593D19BE"/>
    <w:rsid w:val="59427198"/>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B134C"/>
    <w:rsid w:val="59CB43DE"/>
    <w:rsid w:val="59CE22C7"/>
    <w:rsid w:val="59D13042"/>
    <w:rsid w:val="59D440D5"/>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2015"/>
    <w:rsid w:val="5B127639"/>
    <w:rsid w:val="5B2D4307"/>
    <w:rsid w:val="5B4655DD"/>
    <w:rsid w:val="5B5041D6"/>
    <w:rsid w:val="5B540662"/>
    <w:rsid w:val="5B554FD4"/>
    <w:rsid w:val="5B6B25D0"/>
    <w:rsid w:val="5B6B4549"/>
    <w:rsid w:val="5B771CA8"/>
    <w:rsid w:val="5B822955"/>
    <w:rsid w:val="5B8A693E"/>
    <w:rsid w:val="5B8E6998"/>
    <w:rsid w:val="5B914038"/>
    <w:rsid w:val="5B931092"/>
    <w:rsid w:val="5BAD031C"/>
    <w:rsid w:val="5BB36D0A"/>
    <w:rsid w:val="5BC15C99"/>
    <w:rsid w:val="5BC322CD"/>
    <w:rsid w:val="5BCA7A8F"/>
    <w:rsid w:val="5BD03C5A"/>
    <w:rsid w:val="5BD277D3"/>
    <w:rsid w:val="5BD33975"/>
    <w:rsid w:val="5BDA775F"/>
    <w:rsid w:val="5BDE01D7"/>
    <w:rsid w:val="5BE21088"/>
    <w:rsid w:val="5BEA7806"/>
    <w:rsid w:val="5BED1355"/>
    <w:rsid w:val="5C035D5C"/>
    <w:rsid w:val="5C037EDF"/>
    <w:rsid w:val="5C054372"/>
    <w:rsid w:val="5C0B1081"/>
    <w:rsid w:val="5C1550A4"/>
    <w:rsid w:val="5C20150B"/>
    <w:rsid w:val="5C27423E"/>
    <w:rsid w:val="5C2C7E37"/>
    <w:rsid w:val="5C2E76F3"/>
    <w:rsid w:val="5C3A263A"/>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83399"/>
    <w:rsid w:val="5CAA3CDC"/>
    <w:rsid w:val="5CAA49A3"/>
    <w:rsid w:val="5CB70498"/>
    <w:rsid w:val="5CC002A4"/>
    <w:rsid w:val="5CC14996"/>
    <w:rsid w:val="5CC444F3"/>
    <w:rsid w:val="5CCC5EFF"/>
    <w:rsid w:val="5CCD3803"/>
    <w:rsid w:val="5CCF273B"/>
    <w:rsid w:val="5CDA72D3"/>
    <w:rsid w:val="5CDB13F1"/>
    <w:rsid w:val="5CE06096"/>
    <w:rsid w:val="5CE42BFC"/>
    <w:rsid w:val="5CF75FB5"/>
    <w:rsid w:val="5CFC551B"/>
    <w:rsid w:val="5D032927"/>
    <w:rsid w:val="5D08718A"/>
    <w:rsid w:val="5D2231DC"/>
    <w:rsid w:val="5D2A4D65"/>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D7BB3"/>
    <w:rsid w:val="5DA30012"/>
    <w:rsid w:val="5DB47954"/>
    <w:rsid w:val="5DBA0DD1"/>
    <w:rsid w:val="5DBB622A"/>
    <w:rsid w:val="5DC93120"/>
    <w:rsid w:val="5DD230AF"/>
    <w:rsid w:val="5DD50E01"/>
    <w:rsid w:val="5DDA6F3B"/>
    <w:rsid w:val="5DDB5F91"/>
    <w:rsid w:val="5DDF67A1"/>
    <w:rsid w:val="5DED177F"/>
    <w:rsid w:val="5DF60DB8"/>
    <w:rsid w:val="5DFA6ABD"/>
    <w:rsid w:val="5E103D5E"/>
    <w:rsid w:val="5E1342CF"/>
    <w:rsid w:val="5E282729"/>
    <w:rsid w:val="5E2C3252"/>
    <w:rsid w:val="5E332504"/>
    <w:rsid w:val="5E39000D"/>
    <w:rsid w:val="5E3E26AF"/>
    <w:rsid w:val="5E5007AD"/>
    <w:rsid w:val="5E5025C9"/>
    <w:rsid w:val="5E5126D4"/>
    <w:rsid w:val="5E575A00"/>
    <w:rsid w:val="5E5B33A6"/>
    <w:rsid w:val="5E762809"/>
    <w:rsid w:val="5E7F5082"/>
    <w:rsid w:val="5E843D1D"/>
    <w:rsid w:val="5EA165BA"/>
    <w:rsid w:val="5ECF1B47"/>
    <w:rsid w:val="5ED3731F"/>
    <w:rsid w:val="5ED44DA1"/>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515252"/>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C496F"/>
    <w:rsid w:val="5FDF108A"/>
    <w:rsid w:val="5FE01A64"/>
    <w:rsid w:val="5FE550F4"/>
    <w:rsid w:val="5FE84C69"/>
    <w:rsid w:val="5FEA0E05"/>
    <w:rsid w:val="5FEA1BFF"/>
    <w:rsid w:val="5FF57214"/>
    <w:rsid w:val="5FF94A51"/>
    <w:rsid w:val="5FFA2F3B"/>
    <w:rsid w:val="5FFF554A"/>
    <w:rsid w:val="600D47EB"/>
    <w:rsid w:val="6012078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F00936"/>
    <w:rsid w:val="60F668B8"/>
    <w:rsid w:val="60FC46B7"/>
    <w:rsid w:val="60FC629F"/>
    <w:rsid w:val="60FE43B8"/>
    <w:rsid w:val="60FF5FCB"/>
    <w:rsid w:val="61001EB2"/>
    <w:rsid w:val="61002168"/>
    <w:rsid w:val="61172DD5"/>
    <w:rsid w:val="61185510"/>
    <w:rsid w:val="611D1AAB"/>
    <w:rsid w:val="612358EA"/>
    <w:rsid w:val="612977F3"/>
    <w:rsid w:val="612A5A76"/>
    <w:rsid w:val="61343606"/>
    <w:rsid w:val="6138206E"/>
    <w:rsid w:val="615164ED"/>
    <w:rsid w:val="61550501"/>
    <w:rsid w:val="616270EF"/>
    <w:rsid w:val="61706EDF"/>
    <w:rsid w:val="61836EC1"/>
    <w:rsid w:val="619B1498"/>
    <w:rsid w:val="619B3BCB"/>
    <w:rsid w:val="61C379F2"/>
    <w:rsid w:val="61C5760F"/>
    <w:rsid w:val="61CB09F2"/>
    <w:rsid w:val="61D04B09"/>
    <w:rsid w:val="61DC7C04"/>
    <w:rsid w:val="61F34165"/>
    <w:rsid w:val="61FB33CF"/>
    <w:rsid w:val="62023B22"/>
    <w:rsid w:val="62053AEE"/>
    <w:rsid w:val="622D74E2"/>
    <w:rsid w:val="62364303"/>
    <w:rsid w:val="62426D4A"/>
    <w:rsid w:val="62441245"/>
    <w:rsid w:val="624B0BD0"/>
    <w:rsid w:val="624C1C13"/>
    <w:rsid w:val="624C7F24"/>
    <w:rsid w:val="625C61F6"/>
    <w:rsid w:val="625E6C7A"/>
    <w:rsid w:val="62665841"/>
    <w:rsid w:val="627114D5"/>
    <w:rsid w:val="627836EA"/>
    <w:rsid w:val="627D4ED1"/>
    <w:rsid w:val="62842199"/>
    <w:rsid w:val="62904A5E"/>
    <w:rsid w:val="629D5157"/>
    <w:rsid w:val="629E620F"/>
    <w:rsid w:val="62A847ED"/>
    <w:rsid w:val="62A859B2"/>
    <w:rsid w:val="62B372FA"/>
    <w:rsid w:val="62B6346C"/>
    <w:rsid w:val="62C4291E"/>
    <w:rsid w:val="62C562F7"/>
    <w:rsid w:val="62C65CEC"/>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61C9"/>
    <w:rsid w:val="632D72AE"/>
    <w:rsid w:val="632F7DE7"/>
    <w:rsid w:val="63317BC9"/>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E30C41"/>
    <w:rsid w:val="63EA067C"/>
    <w:rsid w:val="63FA0AFB"/>
    <w:rsid w:val="63FE1629"/>
    <w:rsid w:val="640673D9"/>
    <w:rsid w:val="64070F22"/>
    <w:rsid w:val="64131659"/>
    <w:rsid w:val="641E6EE2"/>
    <w:rsid w:val="64275148"/>
    <w:rsid w:val="64326B19"/>
    <w:rsid w:val="64361EE4"/>
    <w:rsid w:val="6444420E"/>
    <w:rsid w:val="64481FC9"/>
    <w:rsid w:val="644A5489"/>
    <w:rsid w:val="645214CF"/>
    <w:rsid w:val="645371E5"/>
    <w:rsid w:val="645A610D"/>
    <w:rsid w:val="64605131"/>
    <w:rsid w:val="6487530B"/>
    <w:rsid w:val="648D5ADF"/>
    <w:rsid w:val="64A245A7"/>
    <w:rsid w:val="64A83B9A"/>
    <w:rsid w:val="64AC38E6"/>
    <w:rsid w:val="64BA39D7"/>
    <w:rsid w:val="64CF3CAA"/>
    <w:rsid w:val="64D03DF2"/>
    <w:rsid w:val="64D14795"/>
    <w:rsid w:val="64D1709D"/>
    <w:rsid w:val="64D53AFD"/>
    <w:rsid w:val="64D96235"/>
    <w:rsid w:val="64DB2183"/>
    <w:rsid w:val="64DF4840"/>
    <w:rsid w:val="64FC2E4F"/>
    <w:rsid w:val="64FE6EBF"/>
    <w:rsid w:val="650F5FAC"/>
    <w:rsid w:val="651200DE"/>
    <w:rsid w:val="651D0773"/>
    <w:rsid w:val="65204E75"/>
    <w:rsid w:val="6521742B"/>
    <w:rsid w:val="65240177"/>
    <w:rsid w:val="652D2807"/>
    <w:rsid w:val="6534689A"/>
    <w:rsid w:val="654E7F43"/>
    <w:rsid w:val="656033A2"/>
    <w:rsid w:val="6565189F"/>
    <w:rsid w:val="657471F6"/>
    <w:rsid w:val="65815AA0"/>
    <w:rsid w:val="658855D4"/>
    <w:rsid w:val="658867B3"/>
    <w:rsid w:val="659B42A0"/>
    <w:rsid w:val="65A8095A"/>
    <w:rsid w:val="65AB285B"/>
    <w:rsid w:val="65B11292"/>
    <w:rsid w:val="65B53D8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B2698"/>
    <w:rsid w:val="66BB442F"/>
    <w:rsid w:val="66D02521"/>
    <w:rsid w:val="66D86229"/>
    <w:rsid w:val="66D94BF1"/>
    <w:rsid w:val="66DB2FD4"/>
    <w:rsid w:val="66DF7510"/>
    <w:rsid w:val="66E32558"/>
    <w:rsid w:val="66EF071B"/>
    <w:rsid w:val="67053D91"/>
    <w:rsid w:val="67097AAB"/>
    <w:rsid w:val="670C3488"/>
    <w:rsid w:val="67223D80"/>
    <w:rsid w:val="6728524B"/>
    <w:rsid w:val="672E09CF"/>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CC5D59"/>
    <w:rsid w:val="67CE34E3"/>
    <w:rsid w:val="67D010B7"/>
    <w:rsid w:val="67D853EE"/>
    <w:rsid w:val="67DA135C"/>
    <w:rsid w:val="67E25CFE"/>
    <w:rsid w:val="67EB7F24"/>
    <w:rsid w:val="67EC006A"/>
    <w:rsid w:val="680328B7"/>
    <w:rsid w:val="680539C6"/>
    <w:rsid w:val="680D5EE5"/>
    <w:rsid w:val="68107593"/>
    <w:rsid w:val="682E590A"/>
    <w:rsid w:val="6839418E"/>
    <w:rsid w:val="684145EE"/>
    <w:rsid w:val="684D1BE5"/>
    <w:rsid w:val="68651677"/>
    <w:rsid w:val="686F261C"/>
    <w:rsid w:val="687A7176"/>
    <w:rsid w:val="687E1273"/>
    <w:rsid w:val="687E3602"/>
    <w:rsid w:val="68807A84"/>
    <w:rsid w:val="688F77C3"/>
    <w:rsid w:val="68A9751A"/>
    <w:rsid w:val="68AC366C"/>
    <w:rsid w:val="68B329E9"/>
    <w:rsid w:val="68D07B85"/>
    <w:rsid w:val="68D575AA"/>
    <w:rsid w:val="68D9452A"/>
    <w:rsid w:val="68EC3DDA"/>
    <w:rsid w:val="69030906"/>
    <w:rsid w:val="69040E94"/>
    <w:rsid w:val="6912317D"/>
    <w:rsid w:val="691C0536"/>
    <w:rsid w:val="69225E0D"/>
    <w:rsid w:val="69291B11"/>
    <w:rsid w:val="692C4F44"/>
    <w:rsid w:val="69326C25"/>
    <w:rsid w:val="6933482B"/>
    <w:rsid w:val="693B7234"/>
    <w:rsid w:val="694D64DE"/>
    <w:rsid w:val="695E3DD0"/>
    <w:rsid w:val="696819D7"/>
    <w:rsid w:val="697D4944"/>
    <w:rsid w:val="697E2DEE"/>
    <w:rsid w:val="69860ECD"/>
    <w:rsid w:val="69955974"/>
    <w:rsid w:val="699917CC"/>
    <w:rsid w:val="699B3DF9"/>
    <w:rsid w:val="69AF6DCF"/>
    <w:rsid w:val="69E10DC4"/>
    <w:rsid w:val="69E1523E"/>
    <w:rsid w:val="69E25EDE"/>
    <w:rsid w:val="69EF0EF7"/>
    <w:rsid w:val="69FB2C0A"/>
    <w:rsid w:val="69FC1871"/>
    <w:rsid w:val="6A0A2652"/>
    <w:rsid w:val="6A13249A"/>
    <w:rsid w:val="6A1552BD"/>
    <w:rsid w:val="6A1F41D8"/>
    <w:rsid w:val="6A2E7952"/>
    <w:rsid w:val="6A377133"/>
    <w:rsid w:val="6A3802AF"/>
    <w:rsid w:val="6A382142"/>
    <w:rsid w:val="6A40325F"/>
    <w:rsid w:val="6A4341E3"/>
    <w:rsid w:val="6A4D1F9B"/>
    <w:rsid w:val="6A4E7EC9"/>
    <w:rsid w:val="6A53447E"/>
    <w:rsid w:val="6A5E3E96"/>
    <w:rsid w:val="6A650E8F"/>
    <w:rsid w:val="6A7D7D3F"/>
    <w:rsid w:val="6A7F0672"/>
    <w:rsid w:val="6A8243F3"/>
    <w:rsid w:val="6A8B7E5B"/>
    <w:rsid w:val="6A9362EF"/>
    <w:rsid w:val="6AA25847"/>
    <w:rsid w:val="6AAA269C"/>
    <w:rsid w:val="6AAC0321"/>
    <w:rsid w:val="6AAE7116"/>
    <w:rsid w:val="6ADE4B51"/>
    <w:rsid w:val="6ADF4F2B"/>
    <w:rsid w:val="6AEB550E"/>
    <w:rsid w:val="6AF47AD0"/>
    <w:rsid w:val="6B034621"/>
    <w:rsid w:val="6B090119"/>
    <w:rsid w:val="6B0B7792"/>
    <w:rsid w:val="6B18387B"/>
    <w:rsid w:val="6B1D3AAC"/>
    <w:rsid w:val="6B213C7A"/>
    <w:rsid w:val="6B223E85"/>
    <w:rsid w:val="6B2726B5"/>
    <w:rsid w:val="6B276BE5"/>
    <w:rsid w:val="6B280EB1"/>
    <w:rsid w:val="6B367134"/>
    <w:rsid w:val="6B3D4519"/>
    <w:rsid w:val="6B47278C"/>
    <w:rsid w:val="6B483A91"/>
    <w:rsid w:val="6B4943C4"/>
    <w:rsid w:val="6B557B0C"/>
    <w:rsid w:val="6B5760AD"/>
    <w:rsid w:val="6B6356A7"/>
    <w:rsid w:val="6B6F75D9"/>
    <w:rsid w:val="6B7753BB"/>
    <w:rsid w:val="6B7A6C48"/>
    <w:rsid w:val="6B7F265D"/>
    <w:rsid w:val="6B8223B8"/>
    <w:rsid w:val="6B876DF9"/>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79BC"/>
    <w:rsid w:val="6C077B7C"/>
    <w:rsid w:val="6C193A9F"/>
    <w:rsid w:val="6C2B39EB"/>
    <w:rsid w:val="6C2B555E"/>
    <w:rsid w:val="6C3128FB"/>
    <w:rsid w:val="6C337114"/>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D0CB1"/>
    <w:rsid w:val="6CE0105A"/>
    <w:rsid w:val="6CE419F3"/>
    <w:rsid w:val="6CE93DEC"/>
    <w:rsid w:val="6CEA21C3"/>
    <w:rsid w:val="6CED41BB"/>
    <w:rsid w:val="6CF01C29"/>
    <w:rsid w:val="6D0A6F75"/>
    <w:rsid w:val="6D0B2DED"/>
    <w:rsid w:val="6D1B5985"/>
    <w:rsid w:val="6D1D2712"/>
    <w:rsid w:val="6D206CFF"/>
    <w:rsid w:val="6D225A73"/>
    <w:rsid w:val="6D277A3F"/>
    <w:rsid w:val="6D340B0B"/>
    <w:rsid w:val="6D382F3C"/>
    <w:rsid w:val="6D4B705D"/>
    <w:rsid w:val="6D5859B0"/>
    <w:rsid w:val="6D5E1997"/>
    <w:rsid w:val="6D625405"/>
    <w:rsid w:val="6D6A32DA"/>
    <w:rsid w:val="6D711A3E"/>
    <w:rsid w:val="6D85303B"/>
    <w:rsid w:val="6D87653E"/>
    <w:rsid w:val="6D8D0D90"/>
    <w:rsid w:val="6D96046C"/>
    <w:rsid w:val="6D9E357A"/>
    <w:rsid w:val="6DA427F5"/>
    <w:rsid w:val="6DAE4200"/>
    <w:rsid w:val="6DAF7BAF"/>
    <w:rsid w:val="6DB55F87"/>
    <w:rsid w:val="6DBD1B60"/>
    <w:rsid w:val="6DBE53FE"/>
    <w:rsid w:val="6DBF5CEB"/>
    <w:rsid w:val="6DC335C4"/>
    <w:rsid w:val="6DC91D5B"/>
    <w:rsid w:val="6DD0121F"/>
    <w:rsid w:val="6DD50561"/>
    <w:rsid w:val="6DD95830"/>
    <w:rsid w:val="6DDD147B"/>
    <w:rsid w:val="6DF021A3"/>
    <w:rsid w:val="6E1153A3"/>
    <w:rsid w:val="6E124286"/>
    <w:rsid w:val="6E134309"/>
    <w:rsid w:val="6E1A1F69"/>
    <w:rsid w:val="6E23350D"/>
    <w:rsid w:val="6E2B0E52"/>
    <w:rsid w:val="6E3B5323"/>
    <w:rsid w:val="6E4459F8"/>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301C"/>
    <w:rsid w:val="6F723416"/>
    <w:rsid w:val="6F781F55"/>
    <w:rsid w:val="6F7C0F78"/>
    <w:rsid w:val="6F7C562E"/>
    <w:rsid w:val="6F8E0454"/>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C32A75"/>
    <w:rsid w:val="70F2796B"/>
    <w:rsid w:val="70FD48EC"/>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86453"/>
    <w:rsid w:val="71695ED3"/>
    <w:rsid w:val="716A0721"/>
    <w:rsid w:val="716F74C0"/>
    <w:rsid w:val="7172232C"/>
    <w:rsid w:val="71797598"/>
    <w:rsid w:val="71814B45"/>
    <w:rsid w:val="71862CD7"/>
    <w:rsid w:val="71A01B77"/>
    <w:rsid w:val="71A14FC9"/>
    <w:rsid w:val="71A55FFE"/>
    <w:rsid w:val="71A63433"/>
    <w:rsid w:val="71A976A3"/>
    <w:rsid w:val="71AE13FF"/>
    <w:rsid w:val="71B83D73"/>
    <w:rsid w:val="71BF242C"/>
    <w:rsid w:val="71C94377"/>
    <w:rsid w:val="71D501FD"/>
    <w:rsid w:val="71D6159E"/>
    <w:rsid w:val="71D6274F"/>
    <w:rsid w:val="71DB17D2"/>
    <w:rsid w:val="71E50C92"/>
    <w:rsid w:val="71ED1C78"/>
    <w:rsid w:val="71F0647E"/>
    <w:rsid w:val="71F65AA9"/>
    <w:rsid w:val="71FF7D8D"/>
    <w:rsid w:val="72033A39"/>
    <w:rsid w:val="7208043A"/>
    <w:rsid w:val="72157299"/>
    <w:rsid w:val="72231A1E"/>
    <w:rsid w:val="72324282"/>
    <w:rsid w:val="723C2FEB"/>
    <w:rsid w:val="72414BD6"/>
    <w:rsid w:val="72452668"/>
    <w:rsid w:val="724C7128"/>
    <w:rsid w:val="724E3F2F"/>
    <w:rsid w:val="725D57AD"/>
    <w:rsid w:val="72657B8A"/>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A15F7"/>
    <w:rsid w:val="72EC471E"/>
    <w:rsid w:val="72F36FA5"/>
    <w:rsid w:val="72F96E59"/>
    <w:rsid w:val="72FC1E33"/>
    <w:rsid w:val="73062039"/>
    <w:rsid w:val="73062CBE"/>
    <w:rsid w:val="73065FC6"/>
    <w:rsid w:val="730A49CC"/>
    <w:rsid w:val="73297EB2"/>
    <w:rsid w:val="732B3BA9"/>
    <w:rsid w:val="73357C00"/>
    <w:rsid w:val="73362A02"/>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50"/>
    <w:rsid w:val="73A547E4"/>
    <w:rsid w:val="73AA6208"/>
    <w:rsid w:val="73C832AF"/>
    <w:rsid w:val="73D072B2"/>
    <w:rsid w:val="73E52982"/>
    <w:rsid w:val="73E752B4"/>
    <w:rsid w:val="73E94020"/>
    <w:rsid w:val="73EF2171"/>
    <w:rsid w:val="73FA0625"/>
    <w:rsid w:val="73FD7457"/>
    <w:rsid w:val="740238DF"/>
    <w:rsid w:val="74024A09"/>
    <w:rsid w:val="740759EF"/>
    <w:rsid w:val="740863C9"/>
    <w:rsid w:val="741C3C5E"/>
    <w:rsid w:val="7422148A"/>
    <w:rsid w:val="74226D3F"/>
    <w:rsid w:val="74271F57"/>
    <w:rsid w:val="742A611E"/>
    <w:rsid w:val="7435737E"/>
    <w:rsid w:val="74472CC7"/>
    <w:rsid w:val="7465110F"/>
    <w:rsid w:val="748330DD"/>
    <w:rsid w:val="74834995"/>
    <w:rsid w:val="7485747A"/>
    <w:rsid w:val="7487149B"/>
    <w:rsid w:val="748D3B91"/>
    <w:rsid w:val="749F02E6"/>
    <w:rsid w:val="74A9138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64988"/>
    <w:rsid w:val="75564F56"/>
    <w:rsid w:val="755D76F9"/>
    <w:rsid w:val="755F4608"/>
    <w:rsid w:val="7564660F"/>
    <w:rsid w:val="7564734B"/>
    <w:rsid w:val="7571106C"/>
    <w:rsid w:val="75711B41"/>
    <w:rsid w:val="75731C89"/>
    <w:rsid w:val="757918F4"/>
    <w:rsid w:val="757B6DFF"/>
    <w:rsid w:val="75815055"/>
    <w:rsid w:val="75830558"/>
    <w:rsid w:val="75886342"/>
    <w:rsid w:val="758A779D"/>
    <w:rsid w:val="758E7458"/>
    <w:rsid w:val="759E6B84"/>
    <w:rsid w:val="75A22359"/>
    <w:rsid w:val="75A93F0B"/>
    <w:rsid w:val="75B310A7"/>
    <w:rsid w:val="75B9274E"/>
    <w:rsid w:val="75BE4EBA"/>
    <w:rsid w:val="75CD3A2D"/>
    <w:rsid w:val="75D02BD6"/>
    <w:rsid w:val="75D27E21"/>
    <w:rsid w:val="75F54C6B"/>
    <w:rsid w:val="75F8004A"/>
    <w:rsid w:val="75F83FB4"/>
    <w:rsid w:val="75F9318E"/>
    <w:rsid w:val="75FC2E47"/>
    <w:rsid w:val="76076131"/>
    <w:rsid w:val="760E47B2"/>
    <w:rsid w:val="760F5B5A"/>
    <w:rsid w:val="76102980"/>
    <w:rsid w:val="7646191B"/>
    <w:rsid w:val="76486B49"/>
    <w:rsid w:val="764D1A5E"/>
    <w:rsid w:val="765D38B1"/>
    <w:rsid w:val="76606C42"/>
    <w:rsid w:val="76631090"/>
    <w:rsid w:val="76692D81"/>
    <w:rsid w:val="76703988"/>
    <w:rsid w:val="7672217C"/>
    <w:rsid w:val="767374B1"/>
    <w:rsid w:val="7699044F"/>
    <w:rsid w:val="76A12DC3"/>
    <w:rsid w:val="76AB1C06"/>
    <w:rsid w:val="76D15B17"/>
    <w:rsid w:val="76D214FF"/>
    <w:rsid w:val="76D77C18"/>
    <w:rsid w:val="76DD5312"/>
    <w:rsid w:val="76F55676"/>
    <w:rsid w:val="77027AD0"/>
    <w:rsid w:val="77186B1E"/>
    <w:rsid w:val="77205AEE"/>
    <w:rsid w:val="77222583"/>
    <w:rsid w:val="77380EA3"/>
    <w:rsid w:val="77476F3F"/>
    <w:rsid w:val="7748646B"/>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CF39A0"/>
    <w:rsid w:val="77D16EA3"/>
    <w:rsid w:val="77D96092"/>
    <w:rsid w:val="77DB3F30"/>
    <w:rsid w:val="77E74187"/>
    <w:rsid w:val="77EE3D1B"/>
    <w:rsid w:val="77EF6453"/>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37C73"/>
    <w:rsid w:val="78A648FD"/>
    <w:rsid w:val="78A93133"/>
    <w:rsid w:val="78AD4288"/>
    <w:rsid w:val="78CF29C5"/>
    <w:rsid w:val="78D02FB6"/>
    <w:rsid w:val="78D11888"/>
    <w:rsid w:val="78E43768"/>
    <w:rsid w:val="78F02F79"/>
    <w:rsid w:val="78F36363"/>
    <w:rsid w:val="78FB2B4D"/>
    <w:rsid w:val="78FD3867"/>
    <w:rsid w:val="79025017"/>
    <w:rsid w:val="79060AA0"/>
    <w:rsid w:val="790B0378"/>
    <w:rsid w:val="790E28E1"/>
    <w:rsid w:val="79123F13"/>
    <w:rsid w:val="79155BE7"/>
    <w:rsid w:val="79214FA6"/>
    <w:rsid w:val="79322EE8"/>
    <w:rsid w:val="79344625"/>
    <w:rsid w:val="79367FB8"/>
    <w:rsid w:val="7938027C"/>
    <w:rsid w:val="79392A29"/>
    <w:rsid w:val="79472C05"/>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F725F"/>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F7350"/>
    <w:rsid w:val="7AD1328F"/>
    <w:rsid w:val="7AD44F12"/>
    <w:rsid w:val="7AE27BC9"/>
    <w:rsid w:val="7AE70BAE"/>
    <w:rsid w:val="7AF26D81"/>
    <w:rsid w:val="7AF27D45"/>
    <w:rsid w:val="7AF464E6"/>
    <w:rsid w:val="7AF6549D"/>
    <w:rsid w:val="7AF72185"/>
    <w:rsid w:val="7AF8333E"/>
    <w:rsid w:val="7B014170"/>
    <w:rsid w:val="7B036C9B"/>
    <w:rsid w:val="7B1633FD"/>
    <w:rsid w:val="7B1A5686"/>
    <w:rsid w:val="7B1E408D"/>
    <w:rsid w:val="7B225182"/>
    <w:rsid w:val="7B361733"/>
    <w:rsid w:val="7B49671C"/>
    <w:rsid w:val="7B543743"/>
    <w:rsid w:val="7B546E6C"/>
    <w:rsid w:val="7B580171"/>
    <w:rsid w:val="7B5C1973"/>
    <w:rsid w:val="7B5C346C"/>
    <w:rsid w:val="7B5E5C27"/>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E0C48"/>
    <w:rsid w:val="7BE975D0"/>
    <w:rsid w:val="7BEE0EE2"/>
    <w:rsid w:val="7BF2190A"/>
    <w:rsid w:val="7C010589"/>
    <w:rsid w:val="7C065E00"/>
    <w:rsid w:val="7C160D02"/>
    <w:rsid w:val="7C1637C1"/>
    <w:rsid w:val="7C1E537F"/>
    <w:rsid w:val="7C2A29F8"/>
    <w:rsid w:val="7C303B2C"/>
    <w:rsid w:val="7C365C2B"/>
    <w:rsid w:val="7C3847D9"/>
    <w:rsid w:val="7C4706AF"/>
    <w:rsid w:val="7C47395B"/>
    <w:rsid w:val="7C526D30"/>
    <w:rsid w:val="7C574088"/>
    <w:rsid w:val="7C5B6C2C"/>
    <w:rsid w:val="7C5D6386"/>
    <w:rsid w:val="7C607F1C"/>
    <w:rsid w:val="7C75184C"/>
    <w:rsid w:val="7C7F116C"/>
    <w:rsid w:val="7C854391"/>
    <w:rsid w:val="7C8D2B6B"/>
    <w:rsid w:val="7C8F2529"/>
    <w:rsid w:val="7C921F5C"/>
    <w:rsid w:val="7C9D2374"/>
    <w:rsid w:val="7C9E2682"/>
    <w:rsid w:val="7CAC42FA"/>
    <w:rsid w:val="7CD97C96"/>
    <w:rsid w:val="7CEA2FFC"/>
    <w:rsid w:val="7CEA7F18"/>
    <w:rsid w:val="7CEC5E60"/>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D4F75"/>
    <w:rsid w:val="7D937F07"/>
    <w:rsid w:val="7D97157D"/>
    <w:rsid w:val="7DA008E1"/>
    <w:rsid w:val="7DA36A98"/>
    <w:rsid w:val="7DAA286B"/>
    <w:rsid w:val="7DAD2640"/>
    <w:rsid w:val="7DB0182A"/>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E7FD0"/>
    <w:rsid w:val="7E1B6002"/>
    <w:rsid w:val="7E1F4180"/>
    <w:rsid w:val="7E236173"/>
    <w:rsid w:val="7E2878B3"/>
    <w:rsid w:val="7E2A648D"/>
    <w:rsid w:val="7E317FCB"/>
    <w:rsid w:val="7E4251F7"/>
    <w:rsid w:val="7E433210"/>
    <w:rsid w:val="7E446E38"/>
    <w:rsid w:val="7E575AC2"/>
    <w:rsid w:val="7E580C80"/>
    <w:rsid w:val="7E68207B"/>
    <w:rsid w:val="7E6F1839"/>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3328D0"/>
    <w:rsid w:val="7F353C06"/>
    <w:rsid w:val="7F3A764D"/>
    <w:rsid w:val="7F410352"/>
    <w:rsid w:val="7F440F7A"/>
    <w:rsid w:val="7F487863"/>
    <w:rsid w:val="7F510226"/>
    <w:rsid w:val="7F5E5DAF"/>
    <w:rsid w:val="7F5F65D1"/>
    <w:rsid w:val="7F633EFB"/>
    <w:rsid w:val="7F634386"/>
    <w:rsid w:val="7F6531DB"/>
    <w:rsid w:val="7F672E6B"/>
    <w:rsid w:val="7F9D08FA"/>
    <w:rsid w:val="7FA772FF"/>
    <w:rsid w:val="7FAD5105"/>
    <w:rsid w:val="7FBB792C"/>
    <w:rsid w:val="7FBF3E86"/>
    <w:rsid w:val="7FCA7309"/>
    <w:rsid w:val="7FCE0093"/>
    <w:rsid w:val="7FD01FE6"/>
    <w:rsid w:val="7FD13457"/>
    <w:rsid w:val="7FD14040"/>
    <w:rsid w:val="7FD40F23"/>
    <w:rsid w:val="7FDC725C"/>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3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26"/>
    <w:qFormat/>
    <w:uiPriority w:val="0"/>
    <w:pPr>
      <w:keepNext/>
      <w:keepLines/>
      <w:numPr>
        <w:ilvl w:val="0"/>
        <w:numId w:val="1"/>
      </w:numPr>
      <w:pBdr>
        <w:top w:val="single" w:color="auto" w:sz="12" w:space="3"/>
      </w:pBdr>
      <w:outlineLvl w:val="0"/>
    </w:pPr>
    <w:rPr>
      <w:rFonts w:ascii="Arial" w:hAnsi="Arial" w:eastAsia="MS Mincho"/>
      <w:sz w:val="32"/>
    </w:rPr>
  </w:style>
  <w:style w:type="paragraph" w:styleId="3">
    <w:name w:val="heading 2"/>
    <w:basedOn w:val="2"/>
    <w:next w:val="1"/>
    <w:link w:val="27"/>
    <w:qFormat/>
    <w:uiPriority w:val="0"/>
    <w:pPr>
      <w:numPr>
        <w:ilvl w:val="1"/>
      </w:numPr>
      <w:pBdr>
        <w:top w:val="none" w:color="auto" w:sz="0" w:space="0"/>
      </w:pBdr>
      <w:spacing w:before="50" w:after="50" w:line="260" w:lineRule="auto"/>
      <w:outlineLvl w:val="1"/>
    </w:pPr>
    <w:rPr>
      <w:sz w:val="28"/>
    </w:rPr>
  </w:style>
  <w:style w:type="paragraph" w:styleId="4">
    <w:name w:val="heading 3"/>
    <w:basedOn w:val="3"/>
    <w:next w:val="1"/>
    <w:link w:val="24"/>
    <w:qFormat/>
    <w:uiPriority w:val="0"/>
    <w:pPr>
      <w:numPr>
        <w:ilvl w:val="2"/>
      </w:numPr>
      <w:spacing w:before="120"/>
      <w:outlineLvl w:val="2"/>
    </w:pPr>
    <w:rPr>
      <w:sz w:val="24"/>
    </w:rPr>
  </w:style>
  <w:style w:type="paragraph" w:styleId="5">
    <w:name w:val="heading 4"/>
    <w:basedOn w:val="1"/>
    <w:next w:val="1"/>
    <w:unhideWhenUsed/>
    <w:qFormat/>
    <w:uiPriority w:val="9"/>
    <w:pPr>
      <w:keepNext/>
      <w:keepLines/>
      <w:spacing w:beforeLines="0" w:after="10" w:afterLines="10" w:line="240" w:lineRule="auto"/>
      <w:outlineLvl w:val="3"/>
    </w:pPr>
    <w:rPr>
      <w:rFonts w:eastAsia="Times New Roman"/>
      <w:b/>
    </w:rPr>
  </w:style>
  <w:style w:type="character" w:default="1" w:styleId="18">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6">
    <w:name w:val="caption"/>
    <w:basedOn w:val="1"/>
    <w:next w:val="1"/>
    <w:unhideWhenUsed/>
    <w:qFormat/>
    <w:uiPriority w:val="99"/>
    <w:rPr>
      <w:rFonts w:ascii="Arial" w:hAnsi="Arial" w:eastAsia="黑体"/>
      <w:sz w:val="20"/>
    </w:rPr>
  </w:style>
  <w:style w:type="paragraph" w:styleId="7">
    <w:name w:val="Document Map"/>
    <w:basedOn w:val="1"/>
    <w:link w:val="46"/>
    <w:semiHidden/>
    <w:unhideWhenUsed/>
    <w:qFormat/>
    <w:uiPriority w:val="99"/>
    <w:rPr>
      <w:rFonts w:ascii="宋体"/>
      <w:sz w:val="18"/>
      <w:szCs w:val="18"/>
    </w:rPr>
  </w:style>
  <w:style w:type="paragraph" w:styleId="8">
    <w:name w:val="annotation text"/>
    <w:basedOn w:val="1"/>
    <w:link w:val="28"/>
    <w:qFormat/>
    <w:uiPriority w:val="0"/>
  </w:style>
  <w:style w:type="paragraph" w:styleId="9">
    <w:name w:val="Body Text"/>
    <w:basedOn w:val="1"/>
    <w:qFormat/>
    <w:uiPriority w:val="0"/>
    <w:pPr>
      <w:spacing w:after="120"/>
    </w:pPr>
    <w:rPr>
      <w:rFonts w:ascii="Times" w:hAnsi="Times"/>
      <w:szCs w:val="24"/>
    </w:rPr>
  </w:style>
  <w:style w:type="paragraph" w:styleId="10">
    <w:name w:val="Balloon Text"/>
    <w:basedOn w:val="1"/>
    <w:link w:val="25"/>
    <w:semiHidden/>
    <w:unhideWhenUsed/>
    <w:qFormat/>
    <w:uiPriority w:val="99"/>
    <w:rPr>
      <w:sz w:val="18"/>
      <w:szCs w:val="18"/>
    </w:rPr>
  </w:style>
  <w:style w:type="paragraph" w:styleId="11">
    <w:name w:val="footer"/>
    <w:basedOn w:val="1"/>
    <w:link w:val="29"/>
    <w:unhideWhenUsed/>
    <w:qFormat/>
    <w:uiPriority w:val="99"/>
    <w:pPr>
      <w:tabs>
        <w:tab w:val="center" w:pos="4153"/>
        <w:tab w:val="right" w:pos="8306"/>
      </w:tabs>
      <w:snapToGrid w:val="0"/>
      <w:jc w:val="left"/>
    </w:pPr>
    <w:rPr>
      <w:sz w:val="18"/>
      <w:szCs w:val="18"/>
    </w:rPr>
  </w:style>
  <w:style w:type="paragraph" w:styleId="12">
    <w:name w:val="header"/>
    <w:basedOn w:val="1"/>
    <w:link w:val="30"/>
    <w:semiHidden/>
    <w:qFormat/>
    <w:uiPriority w:val="0"/>
    <w:pPr>
      <w:pBdr>
        <w:bottom w:val="single" w:color="auto" w:sz="6" w:space="1"/>
      </w:pBdr>
      <w:tabs>
        <w:tab w:val="center" w:pos="4153"/>
        <w:tab w:val="right" w:pos="8306"/>
      </w:tabs>
      <w:snapToGrid w:val="0"/>
      <w:jc w:val="center"/>
    </w:pPr>
    <w:rPr>
      <w:sz w:val="18"/>
      <w:szCs w:val="18"/>
    </w:rPr>
  </w:style>
  <w:style w:type="paragraph" w:styleId="13">
    <w:name w:val="toc 1"/>
    <w:basedOn w:val="1"/>
    <w:next w:val="1"/>
    <w:unhideWhenUsed/>
    <w:qFormat/>
    <w:uiPriority w:val="39"/>
    <w:pPr>
      <w:tabs>
        <w:tab w:val="decimal" w:pos="0"/>
        <w:tab w:val="right" w:pos="9660"/>
      </w:tabs>
      <w:ind w:right="420" w:rightChars="200"/>
      <w:jc w:val="left"/>
    </w:pPr>
    <w:rPr>
      <w:b/>
      <w:bCs/>
      <w:i/>
      <w:iCs/>
      <w:sz w:val="20"/>
    </w:rPr>
  </w:style>
  <w:style w:type="paragraph" w:styleId="14">
    <w:name w:val="Normal (Web)"/>
    <w:basedOn w:val="1"/>
    <w:unhideWhenUsed/>
    <w:qFormat/>
    <w:uiPriority w:val="99"/>
    <w:pPr>
      <w:spacing w:beforeAutospacing="1" w:afterAutospacing="1"/>
      <w:jc w:val="left"/>
    </w:pPr>
    <w:rPr>
      <w:kern w:val="0"/>
      <w:sz w:val="24"/>
    </w:rPr>
  </w:style>
  <w:style w:type="paragraph" w:styleId="15">
    <w:name w:val="annotation subject"/>
    <w:basedOn w:val="8"/>
    <w:next w:val="8"/>
    <w:link w:val="36"/>
    <w:semiHidden/>
    <w:unhideWhenUsed/>
    <w:qFormat/>
    <w:uiPriority w:val="99"/>
    <w:pPr>
      <w:jc w:val="left"/>
    </w:pPr>
    <w:rPr>
      <w:b/>
      <w:bCs/>
    </w:rPr>
  </w:style>
  <w:style w:type="table" w:styleId="17">
    <w:name w:val="Table Grid"/>
    <w:basedOn w:val="16"/>
    <w:unhideWhenUsed/>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Strong"/>
    <w:basedOn w:val="18"/>
    <w:qFormat/>
    <w:uiPriority w:val="22"/>
    <w:rPr>
      <w:b/>
    </w:rPr>
  </w:style>
  <w:style w:type="character" w:styleId="20">
    <w:name w:val="page number"/>
    <w:basedOn w:val="18"/>
    <w:semiHidden/>
    <w:qFormat/>
    <w:uiPriority w:val="0"/>
  </w:style>
  <w:style w:type="character" w:styleId="21">
    <w:name w:val="Emphasis"/>
    <w:basedOn w:val="18"/>
    <w:qFormat/>
    <w:uiPriority w:val="20"/>
    <w:rPr>
      <w:i/>
    </w:rPr>
  </w:style>
  <w:style w:type="character" w:styleId="22">
    <w:name w:val="Hyperlink"/>
    <w:basedOn w:val="18"/>
    <w:qFormat/>
    <w:uiPriority w:val="99"/>
    <w:rPr>
      <w:color w:val="0000FF"/>
      <w:u w:val="single"/>
    </w:rPr>
  </w:style>
  <w:style w:type="character" w:styleId="23">
    <w:name w:val="annotation reference"/>
    <w:qFormat/>
    <w:uiPriority w:val="0"/>
    <w:rPr>
      <w:sz w:val="16"/>
    </w:rPr>
  </w:style>
  <w:style w:type="character" w:customStyle="1" w:styleId="24">
    <w:name w:val="标题 3 字符"/>
    <w:basedOn w:val="18"/>
    <w:link w:val="4"/>
    <w:qFormat/>
    <w:uiPriority w:val="0"/>
    <w:rPr>
      <w:rFonts w:ascii="Arial" w:hAnsi="Arial" w:eastAsia="MS Mincho" w:cs="Times New Roman"/>
      <w:sz w:val="24"/>
      <w:szCs w:val="20"/>
    </w:rPr>
  </w:style>
  <w:style w:type="character" w:customStyle="1" w:styleId="25">
    <w:name w:val="批注框文本 字符"/>
    <w:basedOn w:val="18"/>
    <w:link w:val="10"/>
    <w:semiHidden/>
    <w:qFormat/>
    <w:uiPriority w:val="99"/>
    <w:rPr>
      <w:rFonts w:ascii="Times New Roman" w:hAnsi="Times New Roman" w:eastAsia="宋体" w:cs="Times New Roman"/>
      <w:sz w:val="18"/>
      <w:szCs w:val="18"/>
    </w:rPr>
  </w:style>
  <w:style w:type="character" w:customStyle="1" w:styleId="26">
    <w:name w:val="标题 1 字符"/>
    <w:basedOn w:val="18"/>
    <w:link w:val="2"/>
    <w:qFormat/>
    <w:uiPriority w:val="0"/>
    <w:rPr>
      <w:rFonts w:ascii="Arial" w:hAnsi="Arial" w:eastAsia="MS Mincho" w:cs="Times New Roman"/>
      <w:sz w:val="32"/>
      <w:szCs w:val="20"/>
    </w:rPr>
  </w:style>
  <w:style w:type="character" w:customStyle="1" w:styleId="27">
    <w:name w:val="标题 2 字符"/>
    <w:basedOn w:val="18"/>
    <w:link w:val="3"/>
    <w:qFormat/>
    <w:uiPriority w:val="0"/>
    <w:rPr>
      <w:rFonts w:ascii="Arial" w:hAnsi="Arial" w:eastAsia="MS Mincho" w:cs="Times New Roman"/>
      <w:sz w:val="28"/>
      <w:szCs w:val="20"/>
    </w:rPr>
  </w:style>
  <w:style w:type="character" w:customStyle="1" w:styleId="28">
    <w:name w:val="批注文字 字符"/>
    <w:basedOn w:val="18"/>
    <w:link w:val="8"/>
    <w:qFormat/>
    <w:uiPriority w:val="0"/>
    <w:rPr>
      <w:rFonts w:ascii="Times New Roman" w:hAnsi="Times New Roman" w:eastAsia="宋体" w:cs="Times New Roman"/>
      <w:szCs w:val="20"/>
    </w:rPr>
  </w:style>
  <w:style w:type="character" w:customStyle="1" w:styleId="29">
    <w:name w:val="页脚 字符"/>
    <w:basedOn w:val="18"/>
    <w:link w:val="11"/>
    <w:qFormat/>
    <w:uiPriority w:val="99"/>
    <w:rPr>
      <w:rFonts w:ascii="Times New Roman" w:hAnsi="Times New Roman" w:eastAsia="宋体" w:cs="Times New Roman"/>
      <w:sz w:val="18"/>
      <w:szCs w:val="18"/>
    </w:rPr>
  </w:style>
  <w:style w:type="character" w:customStyle="1" w:styleId="30">
    <w:name w:val="页眉 字符"/>
    <w:basedOn w:val="18"/>
    <w:link w:val="12"/>
    <w:semiHidden/>
    <w:qFormat/>
    <w:uiPriority w:val="0"/>
    <w:rPr>
      <w:rFonts w:ascii="Times New Roman" w:hAnsi="Times New Roman" w:eastAsia="宋体" w:cs="Times New Roman"/>
      <w:sz w:val="18"/>
      <w:szCs w:val="18"/>
    </w:rPr>
  </w:style>
  <w:style w:type="paragraph" w:customStyle="1" w:styleId="31">
    <w:name w:val="References"/>
    <w:basedOn w:val="1"/>
    <w:qFormat/>
    <w:uiPriority w:val="0"/>
    <w:pPr>
      <w:numPr>
        <w:ilvl w:val="0"/>
        <w:numId w:val="2"/>
      </w:numPr>
      <w:spacing w:after="60"/>
    </w:pPr>
    <w:rPr>
      <w:szCs w:val="16"/>
    </w:rPr>
  </w:style>
  <w:style w:type="paragraph" w:styleId="32">
    <w:name w:val="List Paragraph"/>
    <w:basedOn w:val="1"/>
    <w:link w:val="38"/>
    <w:qFormat/>
    <w:uiPriority w:val="34"/>
    <w:pPr>
      <w:spacing w:beforeLines="0"/>
      <w:ind w:left="720"/>
      <w:contextualSpacing/>
    </w:pPr>
    <w:rPr>
      <w:rFonts w:eastAsia="Times New Roman"/>
      <w:sz w:val="24"/>
      <w:szCs w:val="24"/>
    </w:rPr>
  </w:style>
  <w:style w:type="character" w:customStyle="1" w:styleId="33">
    <w:name w:val="font21"/>
    <w:basedOn w:val="18"/>
    <w:qFormat/>
    <w:uiPriority w:val="0"/>
    <w:rPr>
      <w:rFonts w:hint="default" w:ascii="Times New Roman" w:hAnsi="Times New Roman" w:cs="Times New Roman"/>
      <w:color w:val="000000"/>
      <w:sz w:val="20"/>
      <w:szCs w:val="20"/>
      <w:u w:val="none"/>
    </w:rPr>
  </w:style>
  <w:style w:type="character" w:customStyle="1" w:styleId="34">
    <w:name w:val="font11"/>
    <w:basedOn w:val="18"/>
    <w:qFormat/>
    <w:uiPriority w:val="0"/>
    <w:rPr>
      <w:rFonts w:hint="default" w:ascii="Symbol" w:hAnsi="Symbol" w:cs="Symbol"/>
      <w:b/>
      <w:color w:val="000000"/>
      <w:sz w:val="20"/>
      <w:szCs w:val="20"/>
      <w:u w:val="none"/>
    </w:rPr>
  </w:style>
  <w:style w:type="character" w:customStyle="1" w:styleId="35">
    <w:name w:val="font01"/>
    <w:basedOn w:val="18"/>
    <w:qFormat/>
    <w:uiPriority w:val="0"/>
    <w:rPr>
      <w:rFonts w:hint="default" w:ascii="Symbol" w:hAnsi="Symbol" w:cs="Symbol"/>
      <w:color w:val="000000"/>
      <w:sz w:val="20"/>
      <w:szCs w:val="20"/>
      <w:u w:val="none"/>
    </w:rPr>
  </w:style>
  <w:style w:type="character" w:customStyle="1" w:styleId="36">
    <w:name w:val="批注主题 字符"/>
    <w:basedOn w:val="28"/>
    <w:link w:val="15"/>
    <w:semiHidden/>
    <w:qFormat/>
    <w:uiPriority w:val="99"/>
    <w:rPr>
      <w:rFonts w:ascii="Times New Roman" w:hAnsi="Times New Roman" w:eastAsia="宋体" w:cs="Times New Roman"/>
      <w:b/>
      <w:bCs/>
      <w:kern w:val="2"/>
      <w:sz w:val="21"/>
      <w:szCs w:val="20"/>
    </w:rPr>
  </w:style>
  <w:style w:type="paragraph" w:customStyle="1" w:styleId="37">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38">
    <w:name w:val="列表段落 字符"/>
    <w:link w:val="32"/>
    <w:qFormat/>
    <w:uiPriority w:val="34"/>
    <w:rPr>
      <w:rFonts w:ascii="Times New Roman" w:hAnsi="Times New Roman" w:eastAsia="Times New Roman" w:cs="Times New Roman"/>
      <w:kern w:val="2"/>
      <w:sz w:val="24"/>
      <w:szCs w:val="24"/>
    </w:rPr>
  </w:style>
  <w:style w:type="character" w:styleId="39">
    <w:name w:val="Placeholder Text"/>
    <w:basedOn w:val="18"/>
    <w:unhideWhenUsed/>
    <w:qFormat/>
    <w:uiPriority w:val="99"/>
    <w:rPr>
      <w:color w:val="808080"/>
    </w:rPr>
  </w:style>
  <w:style w:type="paragraph" w:customStyle="1" w:styleId="40">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41">
    <w:name w:val="x_apple-converted-space"/>
    <w:qFormat/>
    <w:uiPriority w:val="0"/>
  </w:style>
  <w:style w:type="paragraph" w:customStyle="1" w:styleId="42">
    <w:name w:val="TAH"/>
    <w:basedOn w:val="43"/>
    <w:qFormat/>
    <w:uiPriority w:val="0"/>
    <w:rPr>
      <w:b/>
    </w:rPr>
  </w:style>
  <w:style w:type="paragraph" w:customStyle="1" w:styleId="43">
    <w:name w:val="TAC"/>
    <w:basedOn w:val="44"/>
    <w:qFormat/>
    <w:uiPriority w:val="0"/>
    <w:pPr>
      <w:jc w:val="center"/>
    </w:pPr>
  </w:style>
  <w:style w:type="paragraph" w:customStyle="1" w:styleId="44">
    <w:name w:val="TAL"/>
    <w:basedOn w:val="1"/>
    <w:qFormat/>
    <w:uiPriority w:val="0"/>
    <w:pPr>
      <w:keepNext/>
      <w:keepLines/>
    </w:pPr>
    <w:rPr>
      <w:rFonts w:ascii="Arial" w:hAnsi="Arial"/>
      <w:sz w:val="18"/>
    </w:rPr>
  </w:style>
  <w:style w:type="paragraph" w:customStyle="1" w:styleId="45">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46">
    <w:name w:val="文档结构图 字符"/>
    <w:basedOn w:val="18"/>
    <w:link w:val="7"/>
    <w:semiHidden/>
    <w:qFormat/>
    <w:uiPriority w:val="99"/>
    <w:rPr>
      <w:rFonts w:ascii="宋体"/>
      <w:kern w:val="2"/>
      <w:sz w:val="18"/>
      <w:szCs w:val="18"/>
    </w:rPr>
  </w:style>
  <w:style w:type="paragraph" w:customStyle="1" w:styleId="47">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48">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49">
    <w:name w:val="apple-converted-space"/>
    <w:basedOn w:val="18"/>
    <w:qFormat/>
    <w:uiPriority w:val="0"/>
  </w:style>
  <w:style w:type="paragraph" w:customStyle="1" w:styleId="50">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51">
    <w:name w:val="x_xmsonormal"/>
    <w:basedOn w:val="1"/>
    <w:qFormat/>
    <w:uiPriority w:val="0"/>
    <w:rPr>
      <w:rFonts w:ascii="宋体" w:hAnsi="宋体" w:cs="Calibri"/>
      <w:sz w:val="24"/>
    </w:rPr>
  </w:style>
  <w:style w:type="paragraph" w:customStyle="1" w:styleId="52">
    <w:name w:val="YJ-Observation"/>
    <w:basedOn w:val="1"/>
    <w:qFormat/>
    <w:uiPriority w:val="0"/>
    <w:pPr>
      <w:numPr>
        <w:ilvl w:val="0"/>
        <w:numId w:val="3"/>
      </w:numPr>
      <w:tabs>
        <w:tab w:val="left" w:pos="420"/>
      </w:tabs>
      <w:jc w:val="left"/>
    </w:pPr>
    <w:rPr>
      <w:rFonts w:eastAsiaTheme="minorEastAsia"/>
      <w:b/>
      <w:bCs/>
      <w:i/>
      <w:iCs/>
      <w:sz w:val="20"/>
      <w:lang w:val="en-GB" w:eastAsia="en-US"/>
    </w:rPr>
  </w:style>
  <w:style w:type="paragraph" w:customStyle="1" w:styleId="53">
    <w:name w:val="3GPP Normal Text"/>
    <w:basedOn w:val="9"/>
    <w:qFormat/>
    <w:uiPriority w:val="0"/>
    <w:pPr>
      <w:spacing w:after="60"/>
    </w:pPr>
    <w:rPr>
      <w:rFonts w:ascii="Times New Roman" w:hAnsi="Times New Roman" w:eastAsia="MS Mincho"/>
    </w:rPr>
  </w:style>
  <w:style w:type="paragraph" w:customStyle="1" w:styleId="54">
    <w:name w:val="List Paragraph1"/>
    <w:basedOn w:val="1"/>
    <w:qFormat/>
    <w:uiPriority w:val="0"/>
    <w:pPr>
      <w:widowControl w:val="0"/>
      <w:spacing w:beforeLines="0" w:afterLines="0" w:line="240" w:lineRule="auto"/>
      <w:ind w:firstLine="420" w:firstLineChars="200"/>
    </w:pPr>
    <w:rPr>
      <w:rFonts w:ascii="Calibri" w:hAnsi="Calibri"/>
      <w:szCs w:val="21"/>
    </w:rPr>
  </w:style>
  <w:style w:type="paragraph" w:customStyle="1" w:styleId="55">
    <w:name w:val="YJ-Proposal"/>
    <w:basedOn w:val="1"/>
    <w:qFormat/>
    <w:uiPriority w:val="0"/>
    <w:pPr>
      <w:numPr>
        <w:ilvl w:val="0"/>
        <w:numId w:val="4"/>
      </w:numPr>
      <w:jc w:val="left"/>
    </w:pPr>
    <w:rPr>
      <w:rFonts w:eastAsiaTheme="minorEastAsia"/>
      <w:b/>
      <w:bCs/>
      <w:i/>
      <w:iCs/>
      <w:sz w:val="20"/>
      <w:lang w:val="en-GB" w:eastAsia="en-US"/>
    </w:rPr>
  </w:style>
  <w:style w:type="paragraph" w:customStyle="1" w:styleId="56">
    <w:name w:val="List Paragraph2"/>
    <w:basedOn w:val="1"/>
    <w:qFormat/>
    <w:uiPriority w:val="0"/>
    <w:pPr>
      <w:overflowPunct w:val="0"/>
      <w:autoSpaceDE w:val="0"/>
      <w:autoSpaceDN w:val="0"/>
      <w:adjustRightInd w:val="0"/>
      <w:spacing w:before="100" w:beforeLines="0" w:beforeAutospacing="1" w:after="180" w:afterLines="0" w:line="240" w:lineRule="auto"/>
      <w:ind w:left="720"/>
      <w:contextualSpacing/>
      <w:jc w:val="left"/>
      <w:textAlignment w:val="baseline"/>
    </w:pPr>
    <w:rPr>
      <w:rFonts w:eastAsia="等线"/>
      <w:kern w:val="0"/>
      <w:sz w:val="24"/>
      <w:szCs w:val="24"/>
    </w:rPr>
  </w:style>
  <w:style w:type="paragraph" w:customStyle="1" w:styleId="57">
    <w:name w:val="List Paragraph3"/>
    <w:basedOn w:val="1"/>
    <w:qFormat/>
    <w:uiPriority w:val="0"/>
    <w:pPr>
      <w:overflowPunct w:val="0"/>
      <w:autoSpaceDE w:val="0"/>
      <w:autoSpaceDN w:val="0"/>
      <w:adjustRightInd w:val="0"/>
      <w:spacing w:before="100" w:beforeLines="0" w:beforeAutospacing="1" w:after="180" w:afterLines="0" w:line="240" w:lineRule="auto"/>
      <w:ind w:left="720"/>
      <w:contextualSpacing/>
      <w:jc w:val="left"/>
      <w:textAlignment w:val="baseline"/>
    </w:pPr>
    <w:rPr>
      <w:rFonts w:eastAsia="MS Mincho"/>
      <w:kern w:val="0"/>
      <w:sz w:val="24"/>
      <w:szCs w:val="24"/>
    </w:rPr>
  </w:style>
  <w:style w:type="paragraph" w:customStyle="1" w:styleId="58">
    <w:name w:val="TH"/>
    <w:basedOn w:val="1"/>
    <w:qFormat/>
    <w:uiPriority w:val="0"/>
    <w:pPr>
      <w:keepNext/>
      <w:keepLines/>
      <w:spacing w:before="60"/>
      <w:jc w:val="center"/>
    </w:pPr>
    <w:rPr>
      <w:rFonts w:ascii="Arial" w:hAnsi="Arial"/>
      <w:b/>
      <w:lang w:val="zh-CN"/>
    </w:rPr>
  </w:style>
  <w:style w:type="paragraph" w:customStyle="1" w:styleId="59">
    <w:name w:val="修订3"/>
    <w:hidden/>
    <w:unhideWhenUsed/>
    <w:qFormat/>
    <w:uiPriority w:val="99"/>
    <w:rPr>
      <w:rFonts w:ascii="Times New Roman" w:hAnsi="Times New Roman" w:eastAsia="宋体" w:cs="Times New Roman"/>
      <w:kern w:val="2"/>
      <w:sz w:val="21"/>
      <w:lang w:val="en-US" w:eastAsia="zh-CN" w:bidi="ar-SA"/>
    </w:rPr>
  </w:style>
  <w:style w:type="paragraph" w:customStyle="1" w:styleId="60">
    <w:name w:val="Proposal"/>
    <w:basedOn w:val="1"/>
    <w:qFormat/>
    <w:uiPriority w:val="0"/>
    <w:pPr>
      <w:overflowPunct w:val="0"/>
      <w:autoSpaceDE w:val="0"/>
      <w:autoSpaceDN w:val="0"/>
      <w:adjustRightInd w:val="0"/>
      <w:spacing w:before="100" w:beforeLines="0" w:beforeAutospacing="1" w:after="120" w:afterLines="0" w:line="240" w:lineRule="auto"/>
      <w:jc w:val="left"/>
      <w:textAlignment w:val="baseline"/>
      <w:outlineLvl w:val="4"/>
    </w:pPr>
    <w:rPr>
      <w:b/>
      <w:bCs/>
      <w:kern w:val="0"/>
      <w:sz w:val="24"/>
      <w:szCs w:val="24"/>
    </w:rPr>
  </w:style>
  <w:style w:type="paragraph" w:customStyle="1" w:styleId="61">
    <w:name w:val="列表段落1"/>
    <w:basedOn w:val="1"/>
    <w:qFormat/>
    <w:uiPriority w:val="0"/>
    <w:pPr>
      <w:overflowPunct w:val="0"/>
      <w:autoSpaceDE w:val="0"/>
      <w:autoSpaceDN w:val="0"/>
      <w:adjustRightInd w:val="0"/>
      <w:spacing w:before="100" w:beforeLines="0" w:beforeAutospacing="1" w:after="180" w:afterLines="0" w:line="240" w:lineRule="auto"/>
      <w:ind w:left="720" w:hanging="360"/>
      <w:contextualSpacing/>
      <w:jc w:val="left"/>
      <w:textAlignment w:val="baseline"/>
    </w:pPr>
    <w:rPr>
      <w:kern w:val="0"/>
      <w:sz w:val="24"/>
      <w:szCs w:val="24"/>
    </w:rPr>
  </w:style>
  <w:style w:type="paragraph" w:customStyle="1" w:styleId="62">
    <w:name w:val="List Paragraph4"/>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paragraph" w:customStyle="1" w:styleId="63">
    <w:name w:val="修订31"/>
    <w:hidden/>
    <w:unhideWhenUsed/>
    <w:qFormat/>
    <w:uiPriority w:val="99"/>
    <w:rPr>
      <w:rFonts w:ascii="Times New Roman" w:hAnsi="Times New Roman" w:eastAsia="宋体" w:cs="Times New Roman"/>
      <w:kern w:val="2"/>
      <w:sz w:val="21"/>
      <w:lang w:val="en-US" w:eastAsia="zh-CN" w:bidi="ar-SA"/>
    </w:rPr>
  </w:style>
  <w:style w:type="paragraph" w:customStyle="1" w:styleId="64">
    <w:name w:val="列表段落2"/>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table" w:customStyle="1" w:styleId="65">
    <w:name w:val="网格型1"/>
    <w:basedOn w:val="1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7" Type="http://schemas.openxmlformats.org/officeDocument/2006/relationships/fontTable" Target="fontTable.xml"/><Relationship Id="rId56" Type="http://schemas.openxmlformats.org/officeDocument/2006/relationships/customXml" Target="../customXml/item1.xml"/><Relationship Id="rId55" Type="http://schemas.openxmlformats.org/officeDocument/2006/relationships/numbering" Target="numbering.xml"/><Relationship Id="rId54" Type="http://schemas.openxmlformats.org/officeDocument/2006/relationships/image" Target="media/image34.emf"/><Relationship Id="rId53" Type="http://schemas.openxmlformats.org/officeDocument/2006/relationships/image" Target="media/image33.emf"/><Relationship Id="rId52" Type="http://schemas.openxmlformats.org/officeDocument/2006/relationships/image" Target="media/image32.png"/><Relationship Id="rId51" Type="http://schemas.openxmlformats.org/officeDocument/2006/relationships/image" Target="media/image31.png"/><Relationship Id="rId50" Type="http://schemas.openxmlformats.org/officeDocument/2006/relationships/image" Target="media/image30.png"/><Relationship Id="rId5" Type="http://schemas.openxmlformats.org/officeDocument/2006/relationships/header" Target="header1.xml"/><Relationship Id="rId49" Type="http://schemas.openxmlformats.org/officeDocument/2006/relationships/image" Target="media/image29.emf"/><Relationship Id="rId48" Type="http://schemas.openxmlformats.org/officeDocument/2006/relationships/image" Target="media/image28.emf"/><Relationship Id="rId47" Type="http://schemas.openxmlformats.org/officeDocument/2006/relationships/image" Target="media/image27.png"/><Relationship Id="rId46" Type="http://schemas.openxmlformats.org/officeDocument/2006/relationships/image" Target="media/image26.emf"/><Relationship Id="rId45" Type="http://schemas.openxmlformats.org/officeDocument/2006/relationships/oleObject" Target="embeddings/oleObject8.bin"/><Relationship Id="rId44" Type="http://schemas.openxmlformats.org/officeDocument/2006/relationships/image" Target="media/image25.emf"/><Relationship Id="rId43" Type="http://schemas.openxmlformats.org/officeDocument/2006/relationships/oleObject" Target="embeddings/oleObject7.bin"/><Relationship Id="rId42" Type="http://schemas.openxmlformats.org/officeDocument/2006/relationships/image" Target="media/image24.emf"/><Relationship Id="rId41" Type="http://schemas.openxmlformats.org/officeDocument/2006/relationships/oleObject" Target="embeddings/oleObject6.bin"/><Relationship Id="rId40" Type="http://schemas.openxmlformats.org/officeDocument/2006/relationships/image" Target="media/image23.emf"/><Relationship Id="rId4" Type="http://schemas.openxmlformats.org/officeDocument/2006/relationships/endnotes" Target="endnotes.xml"/><Relationship Id="rId39" Type="http://schemas.openxmlformats.org/officeDocument/2006/relationships/oleObject" Target="embeddings/oleObject5.bin"/><Relationship Id="rId38" Type="http://schemas.openxmlformats.org/officeDocument/2006/relationships/image" Target="media/image22.emf"/><Relationship Id="rId37" Type="http://schemas.openxmlformats.org/officeDocument/2006/relationships/oleObject" Target="embeddings/oleObject4.bin"/><Relationship Id="rId36" Type="http://schemas.openxmlformats.org/officeDocument/2006/relationships/image" Target="media/image21.emf"/><Relationship Id="rId35" Type="http://schemas.openxmlformats.org/officeDocument/2006/relationships/oleObject" Target="embeddings/oleObject3.bin"/><Relationship Id="rId34" Type="http://schemas.openxmlformats.org/officeDocument/2006/relationships/image" Target="media/image20.emf"/><Relationship Id="rId33" Type="http://schemas.openxmlformats.org/officeDocument/2006/relationships/oleObject" Target="embeddings/oleObject2.bin"/><Relationship Id="rId32" Type="http://schemas.openxmlformats.org/officeDocument/2006/relationships/image" Target="media/image19.emf"/><Relationship Id="rId31" Type="http://schemas.openxmlformats.org/officeDocument/2006/relationships/oleObject" Target="embeddings/oleObject1.bin"/><Relationship Id="rId30" Type="http://schemas.openxmlformats.org/officeDocument/2006/relationships/image" Target="media/image18.emf"/><Relationship Id="rId3" Type="http://schemas.openxmlformats.org/officeDocument/2006/relationships/footnotes" Target="footnotes.xml"/><Relationship Id="rId29" Type="http://schemas.openxmlformats.org/officeDocument/2006/relationships/image" Target="media/image17.emf"/><Relationship Id="rId28" Type="http://schemas.openxmlformats.org/officeDocument/2006/relationships/image" Target="media/image16.emf"/><Relationship Id="rId27" Type="http://schemas.openxmlformats.org/officeDocument/2006/relationships/image" Target="media/image15.emf"/><Relationship Id="rId26" Type="http://schemas.openxmlformats.org/officeDocument/2006/relationships/package" Target="embeddings/Presentation1.pptx"/><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emf"/><Relationship Id="rId16" Type="http://schemas.openxmlformats.org/officeDocument/2006/relationships/image" Target="media/image5.emf"/><Relationship Id="rId15" Type="http://schemas.openxmlformats.org/officeDocument/2006/relationships/image" Target="media/image4.png"/><Relationship Id="rId14" Type="http://schemas.openxmlformats.org/officeDocument/2006/relationships/image" Target="media/image3.emf"/><Relationship Id="rId13" Type="http://schemas.openxmlformats.org/officeDocument/2006/relationships/image" Target="media/image2.emf"/><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D156EB-EA29-4A41-88FF-5AD82D45ACE1}">
  <ds:schemaRefs/>
</ds:datastoreItem>
</file>

<file path=docProps/app.xml><?xml version="1.0" encoding="utf-8"?>
<Properties xmlns="http://schemas.openxmlformats.org/officeDocument/2006/extended-properties" xmlns:vt="http://schemas.openxmlformats.org/officeDocument/2006/docPropsVTypes">
  <Template>Normal.dotm</Template>
  <Pages>31</Pages>
  <Words>10409</Words>
  <Characters>59332</Characters>
  <Lines>494</Lines>
  <Paragraphs>139</Paragraphs>
  <TotalTime>66</TotalTime>
  <ScaleCrop>false</ScaleCrop>
  <LinksUpToDate>false</LinksUpToDate>
  <CharactersWithSpaces>69602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2025-11-07T11:28:00Z</dcterms:created>
  <dc:creator>Jiajun Xu (ZTE, Sanechips)</dc:creator>
  <cp:lastModifiedBy>ZTE, Mengzhu</cp:lastModifiedBy>
  <cp:lastPrinted>2025-08-02T10:31:00Z</cp:lastPrinted>
  <dcterms:modified xsi:type="dcterms:W3CDTF">2025-11-07T16:29:57Z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5A0120771885492C80EE2E796AD22C24</vt:lpwstr>
  </property>
</Properties>
</file>