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9686" w14:textId="77777777" w:rsidR="00AD1443" w:rsidRPr="00FB13A8" w:rsidRDefault="00AD144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eastAsia="Arial" w:hAnsiTheme="majorHAnsi" w:cstheme="majorHAnsi"/>
          <w:color w:val="000000"/>
        </w:rPr>
      </w:pPr>
    </w:p>
    <w:tbl>
      <w:tblPr>
        <w:tblStyle w:val="a"/>
        <w:tblW w:w="90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8"/>
        <w:gridCol w:w="2358"/>
      </w:tblGrid>
      <w:tr w:rsidR="00AD1443" w:rsidRPr="00FB13A8" w14:paraId="35F1CD0D" w14:textId="77777777">
        <w:tc>
          <w:tcPr>
            <w:tcW w:w="6668" w:type="dxa"/>
          </w:tcPr>
          <w:p w14:paraId="41E3701E" w14:textId="2BFCB10A" w:rsidR="00AD1443" w:rsidRPr="00FB13A8" w:rsidRDefault="00000000">
            <w:pPr>
              <w:ind w:left="-113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3GPP TSG RAN WG1 Meeting #122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bis</w:t>
            </w:r>
          </w:p>
        </w:tc>
        <w:tc>
          <w:tcPr>
            <w:tcW w:w="2358" w:type="dxa"/>
          </w:tcPr>
          <w:p w14:paraId="4D50F5C8" w14:textId="352D1911" w:rsidR="00AD1443" w:rsidRPr="00FB13A8" w:rsidRDefault="00F31F90">
            <w:pPr>
              <w:ind w:right="-115"/>
              <w:jc w:val="right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R1-250753</w:t>
            </w:r>
            <w:r w:rsidR="0019598D">
              <w:rPr>
                <w:rFonts w:asciiTheme="majorHAnsi" w:hAnsiTheme="majorHAnsi" w:cstheme="majorHAnsi"/>
                <w:b/>
                <w:sz w:val="32"/>
                <w:szCs w:val="32"/>
              </w:rPr>
              <w:t>7</w:t>
            </w:r>
          </w:p>
        </w:tc>
      </w:tr>
      <w:tr w:rsidR="00AD1443" w:rsidRPr="00FB13A8" w14:paraId="74F1CBFD" w14:textId="77777777">
        <w:tc>
          <w:tcPr>
            <w:tcW w:w="9026" w:type="dxa"/>
            <w:gridSpan w:val="2"/>
          </w:tcPr>
          <w:p w14:paraId="18544BEF" w14:textId="1CBCF4BE" w:rsidR="00AD1443" w:rsidRPr="00FB13A8" w:rsidRDefault="009B71B6">
            <w:pPr>
              <w:ind w:left="-113"/>
              <w:jc w:val="both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Prague, CZ, October 13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– 17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, 2025</w:t>
            </w:r>
          </w:p>
        </w:tc>
      </w:tr>
    </w:tbl>
    <w:p w14:paraId="7B2BA3A4" w14:textId="77777777" w:rsidR="00AD1443" w:rsidRPr="00FB13A8" w:rsidRDefault="00AD1443">
      <w:pPr>
        <w:jc w:val="both"/>
        <w:rPr>
          <w:rFonts w:asciiTheme="majorHAnsi" w:hAnsiTheme="majorHAnsi" w:cstheme="majorHAnsi"/>
        </w:rPr>
      </w:pPr>
    </w:p>
    <w:tbl>
      <w:tblPr>
        <w:tblStyle w:val="a0"/>
        <w:tblW w:w="9360" w:type="dxa"/>
        <w:tblInd w:w="0" w:type="dxa"/>
        <w:tblBorders>
          <w:top w:val="single" w:sz="4" w:space="0" w:color="000000"/>
          <w:bottom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AD1443" w:rsidRPr="00FB13A8" w14:paraId="04DA0605" w14:textId="77777777" w:rsidTr="00B72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431B8C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128B4B72" w14:textId="2F4922AC" w:rsidR="00AD1443" w:rsidRPr="00FB13A8" w:rsidRDefault="00000000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b w:val="0"/>
                <w:sz w:val="24"/>
                <w:szCs w:val="24"/>
              </w:rPr>
              <w:t>11.</w:t>
            </w:r>
            <w:r w:rsidR="0019598D">
              <w:rPr>
                <w:rFonts w:asciiTheme="majorHAnsi" w:hAnsiTheme="majorHAnsi" w:cstheme="majorHAnsi"/>
                <w:b w:val="0"/>
                <w:sz w:val="24"/>
                <w:szCs w:val="24"/>
              </w:rPr>
              <w:t>4.2</w:t>
            </w:r>
          </w:p>
        </w:tc>
      </w:tr>
      <w:tr w:rsidR="00AD1443" w:rsidRPr="00FB13A8" w14:paraId="2311ADFC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B25AAB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2F13BBA0" w14:textId="78364943" w:rsidR="00AD1443" w:rsidRPr="00B72F91" w:rsidRDefault="000000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WiSig</w:t>
            </w:r>
            <w:proofErr w:type="spellEnd"/>
            <w:r w:rsidR="006D4E83"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and IITH</w:t>
            </w:r>
          </w:p>
        </w:tc>
      </w:tr>
      <w:tr w:rsidR="00AD1443" w:rsidRPr="00FB13A8" w14:paraId="0FF449BA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84C739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27FC2A6C" w14:textId="39C7FE20" w:rsidR="00AD1443" w:rsidRPr="00B72F91" w:rsidRDefault="0019598D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9598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Case for π/2-BPSK in 6G NR (Low PAPR, Cell-Edge Gains)</w:t>
            </w:r>
          </w:p>
        </w:tc>
      </w:tr>
      <w:tr w:rsidR="00AD1443" w:rsidRPr="00FB13A8" w14:paraId="09E4E753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9BD2BE7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Document for:</w:t>
            </w:r>
          </w:p>
        </w:tc>
        <w:tc>
          <w:tcPr>
            <w:tcW w:w="7659" w:type="dxa"/>
          </w:tcPr>
          <w:p w14:paraId="594A13C2" w14:textId="77777777" w:rsidR="00AD1443" w:rsidRPr="00FB13A8" w:rsidRDefault="000000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Discussion</w:t>
            </w:r>
          </w:p>
        </w:tc>
      </w:tr>
    </w:tbl>
    <w:p w14:paraId="2D8B1992" w14:textId="77777777" w:rsidR="00AD1443" w:rsidRDefault="00AD1443">
      <w:pPr>
        <w:rPr>
          <w:rFonts w:asciiTheme="majorHAnsi" w:hAnsiTheme="majorHAnsi" w:cstheme="majorHAnsi"/>
          <w:b/>
        </w:rPr>
      </w:pPr>
    </w:p>
    <w:p w14:paraId="2EC4DF0E" w14:textId="77777777" w:rsidR="004E6824" w:rsidRPr="0057421E" w:rsidRDefault="004E6824" w:rsidP="004E682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Abstract</w:t>
      </w:r>
    </w:p>
    <w:p w14:paraId="51ADDAA6" w14:textId="722A96B1" w:rsidR="004E6824" w:rsidRPr="0057421E" w:rsidRDefault="004E6824" w:rsidP="004E68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sz w:val="24"/>
          <w:szCs w:val="24"/>
        </w:rPr>
        <w:t>This contribution proposes (</w:t>
      </w:r>
      <w:proofErr w:type="spellStart"/>
      <w:r w:rsidRPr="0057421E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) adopting π/2-BPSK DFT-s-OFDM as the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uplink MPR-0 baseline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for 6G NR and expanding its MCS coverage for robust operation at low SINR without resorting to excessive repetitions, and (ii) launching a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study on low-PAPR downlink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operation to address coverage and energy-efficiency targets in upper-mid bands. The proposal is forward-compatible with existing NR designs, leverages features already deployed commercially, and maintains flexibility for capacity-oriented modes where appropriate.</w:t>
      </w:r>
    </w:p>
    <w:p w14:paraId="15AA05D9" w14:textId="77777777" w:rsidR="004E6824" w:rsidRPr="0057421E" w:rsidRDefault="004E6824" w:rsidP="004E682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Background and Motivation</w:t>
      </w:r>
    </w:p>
    <w:p w14:paraId="36AF0CC1" w14:textId="77777777" w:rsidR="004E6824" w:rsidRPr="0057421E" w:rsidRDefault="004E6824" w:rsidP="004E682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Established in NR: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π/2-BPSK with DFT-s-OFDM has been supported since Rel-15 and broadly aligned with UE-side power-boosting constructs (e.g., RAN4 power classes exploiting low PAPR). Operators have used this as a coverage enhancement mechanism in the field.</w:t>
      </w:r>
    </w:p>
    <w:p w14:paraId="7489276B" w14:textId="77777777" w:rsidR="004E6824" w:rsidRPr="0057421E" w:rsidRDefault="004E6824" w:rsidP="004E682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6G upper-mid bands: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Increased path and penetration losses make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uplink coverage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PA efficiency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critical. Near-constant-envelope </w:t>
      </w:r>
      <w:proofErr w:type="spellStart"/>
      <w:r w:rsidRPr="0057421E">
        <w:rPr>
          <w:rFonts w:ascii="Times New Roman" w:eastAsia="Times New Roman" w:hAnsi="Times New Roman" w:cs="Times New Roman"/>
          <w:sz w:val="24"/>
          <w:szCs w:val="24"/>
        </w:rPr>
        <w:t>signaling</w:t>
      </w:r>
      <w:proofErr w:type="spellEnd"/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enabling operation close to PA saturation is advantageous for both UEs and </w:t>
      </w:r>
      <w:proofErr w:type="spellStart"/>
      <w:r w:rsidRPr="0057421E">
        <w:rPr>
          <w:rFonts w:ascii="Times New Roman" w:eastAsia="Times New Roman" w:hAnsi="Times New Roman" w:cs="Times New Roman"/>
          <w:sz w:val="24"/>
          <w:szCs w:val="24"/>
        </w:rPr>
        <w:t>gNBs</w:t>
      </w:r>
      <w:proofErr w:type="spellEnd"/>
      <w:r w:rsidRPr="005742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BA35DF" w14:textId="77777777" w:rsidR="004E6824" w:rsidRPr="0057421E" w:rsidRDefault="004E6824" w:rsidP="004E682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On proposals to default to QPSK: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While QPSK DFT-s-OFDM can be spectrum-shaped, its achievable PAPR and PA back-off improvement are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not comparable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to π/2-BPSK without incurring bandwidth expansion or receiver performance penalties. Adopting QPSK as the default low-PAPR baseline would not align with 6G KPIs emphasizing coverage and energy efficiency.</w:t>
      </w:r>
    </w:p>
    <w:p w14:paraId="1EB18B8C" w14:textId="1942CE6D" w:rsidR="004E6824" w:rsidRPr="0057421E" w:rsidRDefault="004E6824" w:rsidP="004E682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Technical Rationale </w:t>
      </w:r>
    </w:p>
    <w:p w14:paraId="1C43440A" w14:textId="77777777" w:rsidR="004E6824" w:rsidRPr="0057421E" w:rsidRDefault="004E6824" w:rsidP="004E682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UL robustness and PA efficiency:</w:t>
      </w:r>
    </w:p>
    <w:p w14:paraId="5B9606BA" w14:textId="79B715BD" w:rsidR="004E6824" w:rsidRPr="0057421E" w:rsidRDefault="004E6824" w:rsidP="004E6824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π/2-BPSK DFT-s-OFDM exhibits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lower PAPR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than QPSK DFT-s-OFDM under comparable spectral constraints, allowing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higher effective transmit power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from UEs.</w:t>
      </w:r>
    </w:p>
    <w:p w14:paraId="258CF845" w14:textId="62906028" w:rsidR="004E6824" w:rsidRPr="0057421E" w:rsidRDefault="004E6824" w:rsidP="004E6824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In low-SINR regimes (long range, cell edge, deep indoor, mobility), enhanced EVM margin and greater ability to cope with non-linear distortion translate into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more reliable demodulation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fewer retransmissions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1D3BB8" w14:textId="77777777" w:rsidR="004E6824" w:rsidRPr="0057421E" w:rsidRDefault="004E6824" w:rsidP="004E682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Spectrum shaping considerations:</w:t>
      </w:r>
    </w:p>
    <w:p w14:paraId="7888D4B6" w14:textId="4BB9D322" w:rsidR="004E6824" w:rsidRPr="0057421E" w:rsidRDefault="004E6824" w:rsidP="004E6824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QPSK shaping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without bandwidth expansion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tends to degrade receiver performance (filter-induced ISI and equalization penalties) and yields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marginal to no net coverage gain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554646" w14:textId="77777777" w:rsidR="004E6824" w:rsidRPr="0057421E" w:rsidRDefault="004E6824" w:rsidP="004E6824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π/2-BPSK achieves the desired PA operating point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without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such trade-offs, preserving link robustness.</w:t>
      </w:r>
    </w:p>
    <w:p w14:paraId="4675C485" w14:textId="77777777" w:rsidR="004E6824" w:rsidRPr="0057421E" w:rsidRDefault="004E6824" w:rsidP="004E682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Control plane and initial access:</w:t>
      </w:r>
    </w:p>
    <w:p w14:paraId="2F00FB08" w14:textId="77777777" w:rsidR="004E6824" w:rsidRPr="0057421E" w:rsidRDefault="004E6824" w:rsidP="004E6824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Today,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QPSK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is the default for several initial-access and mobility procedures. In coverage-limited scenarios—especially in upper-mid bands—defaulting critical control and early data to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π/2-BPSK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improves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attach robustness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handover continuity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time-to-access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AB3E24" w14:textId="77777777" w:rsidR="004E6824" w:rsidRPr="0057421E" w:rsidRDefault="004E6824" w:rsidP="004E682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Energy efficiency (UE and BTS):</w:t>
      </w:r>
    </w:p>
    <w:p w14:paraId="6B7BDBEB" w14:textId="77777777" w:rsidR="004E6824" w:rsidRPr="0057421E" w:rsidRDefault="004E6824" w:rsidP="004E6824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Operating closer to saturation reduces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PA back-off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>, lowering AC power for a target EIRP. This benefits devices and infrastructure, aligning with sustainability goals.</w:t>
      </w:r>
    </w:p>
    <w:p w14:paraId="09B0B558" w14:textId="77777777" w:rsidR="004E6824" w:rsidRPr="0057421E" w:rsidRDefault="004E6824" w:rsidP="004E682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Proposals</w:t>
      </w:r>
    </w:p>
    <w:p w14:paraId="5B29A4E5" w14:textId="77777777" w:rsidR="004E6824" w:rsidRPr="0057421E" w:rsidRDefault="004E6824" w:rsidP="004E68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P1. Uplink Baseline Choice (Normative Direction for 6G NR):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br/>
        <w:t xml:space="preserve">Adopt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π/2-BPSK DFT-s-OFDM as the MPR-0 baseline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for UL in 6G NR. QPSK DFT-s-OFDM remains available for capacity-oriented cases, but π/2-BPSK is the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default coverage-robust choice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A7BA4F" w14:textId="77777777" w:rsidR="004E6824" w:rsidRPr="0057421E" w:rsidRDefault="004E6824" w:rsidP="004E68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P2. Expanded MCS Coverage for π/2-BPSK (Normative Direction):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br/>
        <w:t xml:space="preserve">Introduce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MCS entries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for π/2-BPSK to create a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smoother spectral-efficiency ladder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at low SINR and minimize dependence on HARQ/time-domain repetitions. The scheduler can select among these entries based on instantaneous link quality.</w:t>
      </w:r>
    </w:p>
    <w:p w14:paraId="28A34FBA" w14:textId="59D90179" w:rsidR="004E6824" w:rsidRPr="0057421E" w:rsidRDefault="004E6824" w:rsidP="004E68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P3. Control and Initial Access (Normative Direction):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br/>
        <w:t xml:space="preserve">Enable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π/2-BPSK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as a default option for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initial access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early data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post-handover re-attachment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, especially </w:t>
      </w:r>
      <w:r w:rsidR="001B2BF5" w:rsidRPr="0057421E">
        <w:rPr>
          <w:rFonts w:ascii="Times New Roman" w:eastAsia="Times New Roman" w:hAnsi="Times New Roman" w:cs="Times New Roman"/>
          <w:sz w:val="24"/>
          <w:szCs w:val="24"/>
        </w:rPr>
        <w:t xml:space="preserve">useful 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>for coverage-limited bands or configurations.</w:t>
      </w:r>
    </w:p>
    <w:p w14:paraId="1C36630C" w14:textId="77777777" w:rsidR="004E6824" w:rsidRPr="0057421E" w:rsidRDefault="004E6824" w:rsidP="004E68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P4. Downlink Study Item (Study Direction):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br/>
        <w:t xml:space="preserve">Initiate a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low-PAPR downlink waveform study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(including near-constant-envelope options) to evaluate </w:t>
      </w:r>
      <w:r w:rsidRPr="0057421E">
        <w:rPr>
          <w:rFonts w:ascii="Times New Roman" w:eastAsia="Times New Roman" w:hAnsi="Times New Roman" w:cs="Times New Roman"/>
          <w:b/>
          <w:bCs/>
          <w:sz w:val="24"/>
          <w:szCs w:val="24"/>
        </w:rPr>
        <w:t>coverage and energy</w:t>
      </w:r>
      <w:r w:rsidRPr="0057421E">
        <w:rPr>
          <w:rFonts w:ascii="Times New Roman" w:eastAsia="Times New Roman" w:hAnsi="Times New Roman" w:cs="Times New Roman"/>
          <w:sz w:val="24"/>
          <w:szCs w:val="24"/>
        </w:rPr>
        <w:t xml:space="preserve"> gains versus baseline CP-OFDM, with careful attention to spectral emissions, MIMO operation, mobility, and scheduler coexistence with capacity modes.</w:t>
      </w:r>
    </w:p>
    <w:p w14:paraId="3B2A9794" w14:textId="110AA24E" w:rsidR="004E6824" w:rsidRPr="0057421E" w:rsidRDefault="004E6824">
      <w:pPr>
        <w:rPr>
          <w:rFonts w:asciiTheme="majorHAnsi" w:hAnsiTheme="majorHAnsi" w:cstheme="majorHAnsi"/>
          <w:bCs/>
          <w:sz w:val="24"/>
          <w:szCs w:val="24"/>
        </w:rPr>
      </w:pPr>
    </w:p>
    <w:sectPr w:rsidR="004E6824" w:rsidRPr="0057421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7913"/>
    <w:multiLevelType w:val="multilevel"/>
    <w:tmpl w:val="2B8AD2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7A56704"/>
    <w:multiLevelType w:val="multilevel"/>
    <w:tmpl w:val="C352B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3A015B"/>
    <w:multiLevelType w:val="multilevel"/>
    <w:tmpl w:val="61FE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13B8D"/>
    <w:multiLevelType w:val="multilevel"/>
    <w:tmpl w:val="BCF6DB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28935FD"/>
    <w:multiLevelType w:val="multilevel"/>
    <w:tmpl w:val="CCF0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BB5479"/>
    <w:multiLevelType w:val="multilevel"/>
    <w:tmpl w:val="DF72CA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C8C6D28"/>
    <w:multiLevelType w:val="multilevel"/>
    <w:tmpl w:val="AB7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E66105"/>
    <w:multiLevelType w:val="multilevel"/>
    <w:tmpl w:val="A6383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442396A"/>
    <w:multiLevelType w:val="multilevel"/>
    <w:tmpl w:val="D336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AC04A1"/>
    <w:multiLevelType w:val="multilevel"/>
    <w:tmpl w:val="858E1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8014AF"/>
    <w:multiLevelType w:val="multilevel"/>
    <w:tmpl w:val="821AC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2EC564A9"/>
    <w:multiLevelType w:val="multilevel"/>
    <w:tmpl w:val="C888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165D48"/>
    <w:multiLevelType w:val="multilevel"/>
    <w:tmpl w:val="95205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8305B8"/>
    <w:multiLevelType w:val="multilevel"/>
    <w:tmpl w:val="131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31304E"/>
    <w:multiLevelType w:val="multilevel"/>
    <w:tmpl w:val="D7D49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373C42"/>
    <w:multiLevelType w:val="multilevel"/>
    <w:tmpl w:val="F48A1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05E05AC"/>
    <w:multiLevelType w:val="multilevel"/>
    <w:tmpl w:val="9F9C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3D4599"/>
    <w:multiLevelType w:val="multilevel"/>
    <w:tmpl w:val="827C4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4DD5359F"/>
    <w:multiLevelType w:val="multilevel"/>
    <w:tmpl w:val="8200B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5B0A5A"/>
    <w:multiLevelType w:val="multilevel"/>
    <w:tmpl w:val="A6AA3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556C6167"/>
    <w:multiLevelType w:val="multilevel"/>
    <w:tmpl w:val="EFA8BC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579A7877"/>
    <w:multiLevelType w:val="multilevel"/>
    <w:tmpl w:val="5D5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FF6C7F"/>
    <w:multiLevelType w:val="multilevel"/>
    <w:tmpl w:val="45006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6245385E"/>
    <w:multiLevelType w:val="multilevel"/>
    <w:tmpl w:val="7C68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7565F7"/>
    <w:multiLevelType w:val="multilevel"/>
    <w:tmpl w:val="06A8D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69E00176"/>
    <w:multiLevelType w:val="multilevel"/>
    <w:tmpl w:val="6672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301676"/>
    <w:multiLevelType w:val="multilevel"/>
    <w:tmpl w:val="AAE4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A43BE9"/>
    <w:multiLevelType w:val="multilevel"/>
    <w:tmpl w:val="2DD252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786D2D16"/>
    <w:multiLevelType w:val="multilevel"/>
    <w:tmpl w:val="A866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206BE7"/>
    <w:multiLevelType w:val="multilevel"/>
    <w:tmpl w:val="B6C6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4E67C1"/>
    <w:multiLevelType w:val="multilevel"/>
    <w:tmpl w:val="2706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9014A1"/>
    <w:multiLevelType w:val="multilevel"/>
    <w:tmpl w:val="23E09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7B9F5C54"/>
    <w:multiLevelType w:val="multilevel"/>
    <w:tmpl w:val="8244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DE47C9"/>
    <w:multiLevelType w:val="multilevel"/>
    <w:tmpl w:val="3816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E660F1"/>
    <w:multiLevelType w:val="multilevel"/>
    <w:tmpl w:val="B18C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F31383"/>
    <w:multiLevelType w:val="multilevel"/>
    <w:tmpl w:val="708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2886183">
    <w:abstractNumId w:val="17"/>
  </w:num>
  <w:num w:numId="2" w16cid:durableId="755857508">
    <w:abstractNumId w:val="20"/>
  </w:num>
  <w:num w:numId="3" w16cid:durableId="1120608319">
    <w:abstractNumId w:val="3"/>
  </w:num>
  <w:num w:numId="4" w16cid:durableId="1679497628">
    <w:abstractNumId w:val="19"/>
  </w:num>
  <w:num w:numId="5" w16cid:durableId="819350996">
    <w:abstractNumId w:val="10"/>
  </w:num>
  <w:num w:numId="6" w16cid:durableId="2067947132">
    <w:abstractNumId w:val="15"/>
  </w:num>
  <w:num w:numId="7" w16cid:durableId="551773860">
    <w:abstractNumId w:val="0"/>
  </w:num>
  <w:num w:numId="8" w16cid:durableId="228617764">
    <w:abstractNumId w:val="5"/>
  </w:num>
  <w:num w:numId="9" w16cid:durableId="1763842437">
    <w:abstractNumId w:val="24"/>
  </w:num>
  <w:num w:numId="10" w16cid:durableId="1945455517">
    <w:abstractNumId w:val="31"/>
  </w:num>
  <w:num w:numId="11" w16cid:durableId="1145901130">
    <w:abstractNumId w:val="22"/>
  </w:num>
  <w:num w:numId="12" w16cid:durableId="846821991">
    <w:abstractNumId w:val="7"/>
  </w:num>
  <w:num w:numId="13" w16cid:durableId="854807027">
    <w:abstractNumId w:val="27"/>
  </w:num>
  <w:num w:numId="14" w16cid:durableId="119032573">
    <w:abstractNumId w:val="11"/>
  </w:num>
  <w:num w:numId="15" w16cid:durableId="1890799981">
    <w:abstractNumId w:val="4"/>
  </w:num>
  <w:num w:numId="16" w16cid:durableId="216400009">
    <w:abstractNumId w:val="28"/>
  </w:num>
  <w:num w:numId="17" w16cid:durableId="1839346375">
    <w:abstractNumId w:val="13"/>
  </w:num>
  <w:num w:numId="18" w16cid:durableId="2031491959">
    <w:abstractNumId w:val="12"/>
  </w:num>
  <w:num w:numId="19" w16cid:durableId="154031516">
    <w:abstractNumId w:val="23"/>
  </w:num>
  <w:num w:numId="20" w16cid:durableId="905070106">
    <w:abstractNumId w:val="32"/>
  </w:num>
  <w:num w:numId="21" w16cid:durableId="564218073">
    <w:abstractNumId w:val="25"/>
  </w:num>
  <w:num w:numId="22" w16cid:durableId="1254776787">
    <w:abstractNumId w:val="30"/>
  </w:num>
  <w:num w:numId="23" w16cid:durableId="1819614189">
    <w:abstractNumId w:val="29"/>
  </w:num>
  <w:num w:numId="24" w16cid:durableId="179005823">
    <w:abstractNumId w:val="33"/>
  </w:num>
  <w:num w:numId="25" w16cid:durableId="1386022337">
    <w:abstractNumId w:val="2"/>
  </w:num>
  <w:num w:numId="26" w16cid:durableId="1907178332">
    <w:abstractNumId w:val="26"/>
  </w:num>
  <w:num w:numId="27" w16cid:durableId="1544708945">
    <w:abstractNumId w:val="35"/>
  </w:num>
  <w:num w:numId="28" w16cid:durableId="1920870589">
    <w:abstractNumId w:val="34"/>
  </w:num>
  <w:num w:numId="29" w16cid:durableId="1809473029">
    <w:abstractNumId w:val="8"/>
  </w:num>
  <w:num w:numId="30" w16cid:durableId="806704325">
    <w:abstractNumId w:val="9"/>
  </w:num>
  <w:num w:numId="31" w16cid:durableId="1271280287">
    <w:abstractNumId w:val="18"/>
  </w:num>
  <w:num w:numId="32" w16cid:durableId="1235319232">
    <w:abstractNumId w:val="16"/>
  </w:num>
  <w:num w:numId="33" w16cid:durableId="1651708653">
    <w:abstractNumId w:val="6"/>
  </w:num>
  <w:num w:numId="34" w16cid:durableId="943196079">
    <w:abstractNumId w:val="14"/>
  </w:num>
  <w:num w:numId="35" w16cid:durableId="987784183">
    <w:abstractNumId w:val="1"/>
  </w:num>
  <w:num w:numId="36" w16cid:durableId="11731857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443"/>
    <w:rsid w:val="00020975"/>
    <w:rsid w:val="0019598D"/>
    <w:rsid w:val="001B2BF5"/>
    <w:rsid w:val="001C4A6A"/>
    <w:rsid w:val="004669AC"/>
    <w:rsid w:val="004E6824"/>
    <w:rsid w:val="0057421E"/>
    <w:rsid w:val="006D4E83"/>
    <w:rsid w:val="006E40E5"/>
    <w:rsid w:val="007600B5"/>
    <w:rsid w:val="00790AC8"/>
    <w:rsid w:val="007B5D1C"/>
    <w:rsid w:val="00963F17"/>
    <w:rsid w:val="009B71B6"/>
    <w:rsid w:val="00A50F2D"/>
    <w:rsid w:val="00A51FB2"/>
    <w:rsid w:val="00AD1443"/>
    <w:rsid w:val="00B72F91"/>
    <w:rsid w:val="00BC72FB"/>
    <w:rsid w:val="00D63771"/>
    <w:rsid w:val="00E0016D"/>
    <w:rsid w:val="00E961A4"/>
    <w:rsid w:val="00F31F90"/>
    <w:rsid w:val="00FB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A014"/>
  <w15:docId w15:val="{8076EB0D-F5E3-4439-94FB-4C67D8C0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kiran kumar kuchi</dc:creator>
  <cp:lastModifiedBy>kiran kumar kuchi</cp:lastModifiedBy>
  <cp:revision>5</cp:revision>
  <dcterms:created xsi:type="dcterms:W3CDTF">2025-10-02T12:23:00Z</dcterms:created>
  <dcterms:modified xsi:type="dcterms:W3CDTF">2025-10-02T14:38:00Z</dcterms:modified>
</cp:coreProperties>
</file>