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10F2796"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3A4AC8" w:rsidRPr="003A4AC8">
        <w:rPr>
          <w:bCs/>
          <w:sz w:val="24"/>
          <w:szCs w:val="24"/>
          <w:lang w:val="en-GB"/>
        </w:rPr>
        <w:t>R1-2506140</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3EC0307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6A8DA6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B1A65">
        <w:rPr>
          <w:rFonts w:ascii="Arial" w:hAnsi="Arial" w:cs="Arial"/>
          <w:b/>
          <w:bCs/>
          <w:sz w:val="24"/>
        </w:rPr>
        <w:t>W</w:t>
      </w:r>
      <w:r w:rsidR="00FF5AA0">
        <w:rPr>
          <w:rFonts w:ascii="Arial" w:hAnsi="Arial" w:cs="Arial"/>
          <w:b/>
          <w:bCs/>
          <w:sz w:val="24"/>
        </w:rPr>
        <w:t>aveform</w:t>
      </w:r>
      <w:r w:rsidR="001B1A65">
        <w:rPr>
          <w:rFonts w:ascii="Arial" w:hAnsi="Arial" w:cs="Arial"/>
          <w:b/>
          <w:bCs/>
          <w:sz w:val="24"/>
        </w:rPr>
        <w:t>s</w:t>
      </w:r>
      <w:r w:rsidR="00FF5AA0">
        <w:rPr>
          <w:rFonts w:ascii="Arial" w:hAnsi="Arial" w:cs="Arial"/>
          <w:b/>
          <w:bCs/>
          <w:sz w:val="24"/>
        </w:rPr>
        <w:t xml:space="preserve"> of 6GR </w:t>
      </w:r>
      <w:r w:rsidR="001B1A65">
        <w:rPr>
          <w:rFonts w:ascii="Arial" w:hAnsi="Arial" w:cs="Arial"/>
          <w:b/>
          <w:bCs/>
          <w:sz w:val="24"/>
        </w:rPr>
        <w:t>Air I</w:t>
      </w:r>
      <w:r w:rsidR="00FF5AA0">
        <w:rPr>
          <w:rFonts w:ascii="Arial" w:hAnsi="Arial" w:cs="Arial"/>
          <w:b/>
          <w:bCs/>
          <w:sz w:val="24"/>
        </w:rPr>
        <w:t>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6564940"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8B1C55" w:rsidRPr="008B1C55">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22058A">
        <w:rPr>
          <w:rFonts w:eastAsia="Times New Roman"/>
          <w:szCs w:val="24"/>
          <w:highlight w:val="yellow"/>
        </w:rPr>
        <w:t>Waveforms (OFDM-based) and modulations. 5G NR Waveforms and modulation should be considered for 6GR and is also the benchmark for other potential proposals. [RAN1, RAN4]</w:t>
      </w:r>
    </w:p>
    <w:p w14:paraId="710EB2A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693600"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693600">
        <w:rPr>
          <w:rFonts w:eastAsia="Times New Roman"/>
          <w:szCs w:val="24"/>
          <w:highlight w:val="yellow"/>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67E4F045"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2E6982">
        <w:t>waveforms and modulations for 6GR.</w:t>
      </w:r>
    </w:p>
    <w:p w14:paraId="46B82012" w14:textId="77777777" w:rsidR="00BF588E" w:rsidRDefault="00BF588E" w:rsidP="00BF588E">
      <w:pPr>
        <w:pStyle w:val="Heading1"/>
      </w:pPr>
      <w:r>
        <w:t>Discussion</w:t>
      </w:r>
    </w:p>
    <w:p w14:paraId="20B3312D" w14:textId="77777777" w:rsidR="00BF588E" w:rsidRDefault="00BF588E" w:rsidP="00BF588E">
      <w:pPr>
        <w:pStyle w:val="Heading2"/>
      </w:pPr>
      <w:r>
        <w:t>Waveform and modulation for FR1</w:t>
      </w:r>
    </w:p>
    <w:p w14:paraId="0EC9ADDA" w14:textId="77777777" w:rsidR="0036164B" w:rsidRDefault="0036164B" w:rsidP="00BF588E">
      <w:r>
        <w:t xml:space="preserve">In [1], FR1 refers to the frequency bands up to 7.125 GHz. These bands are currently utilized by many operators deploying 4G LTE and 5G NR radio access technologies (RATs). The transition to </w:t>
      </w:r>
      <w:r w:rsidRPr="00AC3CCC">
        <w:t>6G radio (6GR) is expected to be gradual. During the introduction and early deployment of the 6G radio (6GR), LTE and NR</w:t>
      </w:r>
      <w:r w:rsidRPr="00C22D9D">
        <w:t xml:space="preserve"> networks are expected to continue operati</w:t>
      </w:r>
      <w:r w:rsidRPr="00374899">
        <w:t>ng to support a substantial number of existing subscribers. Consequently, these bands will remain in use for legacy RATs, even as they become increasingly valuable for 6GR due to their favourable propagation characteristics.</w:t>
      </w:r>
      <w:r>
        <w:t xml:space="preserve"> Therefore, sharing these bands between multiple RATs, potentially through multi-radio spectrum sharing (MRSS), becomes essential.</w:t>
      </w:r>
    </w:p>
    <w:p w14:paraId="5D3F7B09" w14:textId="4EE0527F" w:rsidR="00BF588E" w:rsidRDefault="00BF588E" w:rsidP="00BF588E">
      <w:r w:rsidRPr="003A3724">
        <w:t>Both 4G LTE and 5G NR employ OFDM as their air interface technology. OFDM has demonstrated strong performance in wireless transmissions over wide bandwidths</w:t>
      </w:r>
      <w:r>
        <w:t xml:space="preserve"> </w:t>
      </w:r>
      <w:r w:rsidRPr="003A3724">
        <w:t>up to 100 MHz</w:t>
      </w:r>
      <w:r>
        <w:t xml:space="preserve"> </w:t>
      </w:r>
      <w:r w:rsidRPr="003A3724">
        <w:t>and in complex, multipath-rich environments such as urban areas. In terms of subcarrier spacing, LTE uses a fixed spacing of 15 kHz, while NR supports multiple spacings that are integer multiples of 15 kHz. Based on this, we make the following observations:</w:t>
      </w:r>
    </w:p>
    <w:p w14:paraId="675FEE78" w14:textId="77777777" w:rsidR="00BF588E" w:rsidRDefault="00BF588E" w:rsidP="00BF588E">
      <w:pPr>
        <w:rPr>
          <w:i/>
          <w:iCs/>
        </w:rPr>
      </w:pPr>
      <w:r>
        <w:rPr>
          <w:b/>
          <w:bCs/>
          <w:i/>
          <w:iCs/>
        </w:rPr>
        <w:lastRenderedPageBreak/>
        <w:t>Observation</w:t>
      </w:r>
      <w:r w:rsidRPr="00465622">
        <w:rPr>
          <w:b/>
          <w:bCs/>
          <w:i/>
          <w:iCs/>
        </w:rPr>
        <w:t xml:space="preserve"> 1</w:t>
      </w:r>
      <w:r w:rsidRPr="0096428D">
        <w:rPr>
          <w:b/>
          <w:bCs/>
          <w:i/>
          <w:iCs/>
        </w:rPr>
        <w:t>:</w:t>
      </w:r>
      <w:r w:rsidRPr="00F67201">
        <w:rPr>
          <w:rFonts w:ascii="Segoe UI" w:hAnsi="Segoe UI" w:cs="Segoe UI"/>
          <w:color w:val="424242"/>
          <w:shd w:val="clear" w:color="auto" w:fill="FAFAFA"/>
        </w:rPr>
        <w:t xml:space="preserve"> </w:t>
      </w:r>
      <w:r w:rsidRPr="00F67201">
        <w:rPr>
          <w:i/>
          <w:iCs/>
        </w:rPr>
        <w:t>When sharing a frequency band within FR1, if an existing RAT</w:t>
      </w:r>
      <w:r>
        <w:rPr>
          <w:i/>
          <w:iCs/>
        </w:rPr>
        <w:t xml:space="preserve">, </w:t>
      </w:r>
      <w:r w:rsidRPr="00F67201">
        <w:rPr>
          <w:i/>
          <w:iCs/>
        </w:rPr>
        <w:t>either LTE or NR</w:t>
      </w:r>
      <w:r>
        <w:rPr>
          <w:i/>
          <w:iCs/>
        </w:rPr>
        <w:t xml:space="preserve">, </w:t>
      </w:r>
      <w:r w:rsidRPr="00F67201">
        <w:rPr>
          <w:i/>
          <w:iCs/>
        </w:rPr>
        <w:t xml:space="preserve">is configured to use  </w:t>
      </w:r>
      <w:r>
        <w:rPr>
          <w:i/>
          <w:iCs/>
        </w:rPr>
        <w:t>part</w:t>
      </w:r>
      <w:r w:rsidRPr="00F67201">
        <w:rPr>
          <w:i/>
          <w:iCs/>
        </w:rPr>
        <w:t xml:space="preserve"> of the band, and another wireless technology uses the remaining portion with the same OFDM waveform and subcarrier spacing, mutual interference between the systems can be avoided. The absence of interference allows all subcarriers across the band to be fully utilized by either system, ensuring optimal use of the available radio resources.</w:t>
      </w:r>
    </w:p>
    <w:p w14:paraId="664C6881" w14:textId="77777777" w:rsidR="00BF588E" w:rsidRDefault="00BF588E" w:rsidP="00BF588E">
      <w:pPr>
        <w:rPr>
          <w:i/>
          <w:iCs/>
        </w:rPr>
      </w:pPr>
      <w:r>
        <w:rPr>
          <w:b/>
          <w:bCs/>
          <w:i/>
          <w:iCs/>
        </w:rPr>
        <w:t>Observation 2</w:t>
      </w:r>
      <w:r w:rsidRPr="0096428D">
        <w:rPr>
          <w:b/>
          <w:bCs/>
          <w:i/>
          <w:iCs/>
        </w:rPr>
        <w:t>:</w:t>
      </w:r>
      <w:r w:rsidRPr="00F67201">
        <w:rPr>
          <w:rFonts w:ascii="Segoe UI" w:hAnsi="Segoe UI" w:cs="Segoe UI"/>
          <w:color w:val="424242"/>
          <w:shd w:val="clear" w:color="auto" w:fill="FAFAFA"/>
        </w:rPr>
        <w:t xml:space="preserve"> </w:t>
      </w:r>
      <w:r w:rsidRPr="00F67201">
        <w:rPr>
          <w:i/>
          <w:iCs/>
        </w:rPr>
        <w:t>When sharing a frequency band within FR1, if an existing RAT</w:t>
      </w:r>
      <w:r>
        <w:rPr>
          <w:i/>
          <w:iCs/>
        </w:rPr>
        <w:t xml:space="preserve">, </w:t>
      </w:r>
      <w:r w:rsidRPr="00F67201">
        <w:rPr>
          <w:i/>
          <w:iCs/>
        </w:rPr>
        <w:t>either LTE or NR</w:t>
      </w:r>
      <w:r>
        <w:rPr>
          <w:i/>
          <w:iCs/>
        </w:rPr>
        <w:t xml:space="preserve">, </w:t>
      </w:r>
      <w:r w:rsidRPr="00F67201">
        <w:rPr>
          <w:i/>
          <w:iCs/>
        </w:rPr>
        <w:t xml:space="preserve">is configured to use </w:t>
      </w:r>
      <w:r>
        <w:rPr>
          <w:i/>
          <w:iCs/>
        </w:rPr>
        <w:t>part</w:t>
      </w:r>
      <w:r w:rsidRPr="00F67201">
        <w:rPr>
          <w:i/>
          <w:iCs/>
        </w:rPr>
        <w:t xml:space="preserve"> of the band, and another wireless technology uses the remaining portion with the same OFDM waveform </w:t>
      </w:r>
      <w:r w:rsidRPr="001D7CDE">
        <w:rPr>
          <w:i/>
          <w:iCs/>
        </w:rPr>
        <w:t>but a subcarrier spacing that is either a multiple or a fraction of the other, mutual interference is minimal. In such cases, only a few subcarriers</w:t>
      </w:r>
      <w:r>
        <w:rPr>
          <w:i/>
          <w:iCs/>
        </w:rPr>
        <w:t xml:space="preserve"> of the system of smaller subcarrier spacing</w:t>
      </w:r>
      <w:r w:rsidRPr="001D7CDE">
        <w:rPr>
          <w:i/>
          <w:iCs/>
        </w:rPr>
        <w:t xml:space="preserve"> near the boundary between the two systems</w:t>
      </w:r>
      <w:r>
        <w:rPr>
          <w:i/>
          <w:iCs/>
        </w:rPr>
        <w:t xml:space="preserve"> </w:t>
      </w:r>
      <w:r w:rsidRPr="001D7CDE">
        <w:rPr>
          <w:i/>
          <w:iCs/>
        </w:rPr>
        <w:t xml:space="preserve">may be affected. </w:t>
      </w:r>
      <w:r>
        <w:rPr>
          <w:i/>
          <w:iCs/>
        </w:rPr>
        <w:t>T</w:t>
      </w:r>
      <w:r w:rsidRPr="001D7CDE">
        <w:rPr>
          <w:i/>
          <w:iCs/>
        </w:rPr>
        <w:t>he radio resources across the band can still be utilized effectively.</w:t>
      </w:r>
    </w:p>
    <w:p w14:paraId="1C5200D2" w14:textId="77777777" w:rsidR="00BF588E" w:rsidRDefault="00BF588E" w:rsidP="00BF588E">
      <w:r w:rsidRPr="004F60C7">
        <w:t>No alternative waveform has been demonstrated to be fully compatible with 4G/5G, in terms of avoiding interference with OFDM systems when operating in the same or adjacent frequency bands</w:t>
      </w:r>
      <w:r>
        <w:t>. Based on the observations, we propose the following:</w:t>
      </w:r>
    </w:p>
    <w:p w14:paraId="2143FAA2" w14:textId="77777777" w:rsidR="003D4417" w:rsidRDefault="00BF588E" w:rsidP="009218D6">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sidRPr="00313066">
        <w:rPr>
          <w:i/>
          <w:iCs/>
        </w:rPr>
        <w:t>For 6GR operating in FR1, the OFDM is</w:t>
      </w:r>
      <w:r>
        <w:rPr>
          <w:i/>
          <w:iCs/>
        </w:rPr>
        <w:t xml:space="preserve"> only one the waveform</w:t>
      </w:r>
      <w:r w:rsidRPr="00313066">
        <w:rPr>
          <w:i/>
          <w:iCs/>
        </w:rPr>
        <w:t xml:space="preserve"> adopted, with subcarrier spacing options </w:t>
      </w:r>
      <w:r w:rsidR="004E1022">
        <w:rPr>
          <w:i/>
          <w:iCs/>
        </w:rPr>
        <w:t>supported by 5G NR</w:t>
      </w:r>
      <w:r w:rsidRPr="00313066">
        <w:rPr>
          <w:i/>
          <w:iCs/>
        </w:rPr>
        <w:t>.</w:t>
      </w:r>
    </w:p>
    <w:p w14:paraId="10F6379B" w14:textId="660F1901" w:rsidR="00BF588E" w:rsidRPr="000C1763" w:rsidRDefault="00095AF7" w:rsidP="009B059A">
      <w:pPr>
        <w:pStyle w:val="ListParagraph"/>
        <w:numPr>
          <w:ilvl w:val="0"/>
          <w:numId w:val="33"/>
        </w:numPr>
        <w:spacing w:after="180"/>
        <w:ind w:left="714" w:hanging="357"/>
        <w:rPr>
          <w:b/>
          <w:bCs/>
          <w:i/>
          <w:sz w:val="20"/>
          <w:szCs w:val="20"/>
          <w:lang w:val="en-GB"/>
        </w:rPr>
      </w:pPr>
      <w:r w:rsidRPr="000C1763">
        <w:rPr>
          <w:i/>
          <w:iCs/>
          <w:sz w:val="20"/>
          <w:szCs w:val="20"/>
          <w:lang w:val="en-GB"/>
        </w:rPr>
        <w:t xml:space="preserve">Restrict the selection of subcarrier spacing configurations within each FR1 band to a limited set suitable for </w:t>
      </w:r>
      <w:r w:rsidR="000C1763" w:rsidRPr="000C1763">
        <w:rPr>
          <w:i/>
          <w:iCs/>
          <w:sz w:val="20"/>
          <w:szCs w:val="20"/>
          <w:lang w:val="en-GB"/>
        </w:rPr>
        <w:t>d</w:t>
      </w:r>
      <w:r w:rsidRPr="000C1763">
        <w:rPr>
          <w:i/>
          <w:iCs/>
          <w:sz w:val="20"/>
          <w:szCs w:val="20"/>
          <w:lang w:val="en-GB"/>
        </w:rPr>
        <w:t>eployment to prevent undue complexity in the specifications</w:t>
      </w:r>
      <w:r w:rsidR="000C1763">
        <w:rPr>
          <w:i/>
          <w:iCs/>
          <w:sz w:val="20"/>
          <w:szCs w:val="20"/>
          <w:lang w:val="en-GB"/>
        </w:rPr>
        <w:t>.</w:t>
      </w:r>
    </w:p>
    <w:p w14:paraId="50BFFB71" w14:textId="77777777" w:rsidR="00BF588E" w:rsidRDefault="00BF588E" w:rsidP="00BF588E">
      <w:pPr>
        <w:pStyle w:val="Heading2"/>
      </w:pPr>
      <w:r>
        <w:t>Waveform and modulation for FR2 and the frequency range between FR1 and FR2</w:t>
      </w:r>
    </w:p>
    <w:p w14:paraId="701DF87D" w14:textId="77777777" w:rsidR="00BF588E" w:rsidRDefault="00BF588E" w:rsidP="00BF588E">
      <w:r w:rsidRPr="00F05405">
        <w:t>OFDM has gained widespread success due to its simple receiver architecture, which relies on single-tap equalization across subcarriers.</w:t>
      </w:r>
      <w:r>
        <w:t xml:space="preserve"> However, it</w:t>
      </w:r>
      <w:r w:rsidRPr="00A77D87">
        <w:t xml:space="preserve"> is known to be sensitive to frequency errors, and this susceptibility becomes more pronounced at higher operating frequencies. Firstly, RF components tend to exhibit greater phase noise at higher frequencies, leading to faster frequency drift in devices. Secondly, in high-speed mobility scenarios</w:t>
      </w:r>
      <w:r>
        <w:t xml:space="preserve">, </w:t>
      </w:r>
      <w:r w:rsidRPr="00A77D87">
        <w:t>the angle between the</w:t>
      </w:r>
      <w:r>
        <w:t xml:space="preserve"> spectacular paths such as</w:t>
      </w:r>
      <w:r w:rsidRPr="00A77D87">
        <w:t xml:space="preserve"> line-of-sight and the direction of motion changes rapidly, causing the Doppler shift to vary more quickly. These factors make frequency tracking in OFDM systems challenging under such conditions.</w:t>
      </w:r>
    </w:p>
    <w:p w14:paraId="48D2B677" w14:textId="075B2B16" w:rsidR="00BF588E" w:rsidRDefault="00BF588E" w:rsidP="00BF588E">
      <w:r w:rsidRPr="009A3578">
        <w:t xml:space="preserve">In 6G systems, multi-antenna technologies </w:t>
      </w:r>
      <w:r>
        <w:t>will be</w:t>
      </w:r>
      <w:r w:rsidRPr="009A3578">
        <w:t xml:space="preserve"> widely employed across high-frequency bands. Beamforming, a key technique leveraging these antennas, is essential for narrowing the antenna aperture and directing energy toward desired paths</w:t>
      </w:r>
      <w:r>
        <w:t xml:space="preserve">, which is </w:t>
      </w:r>
      <w:r w:rsidRPr="009A3578">
        <w:t xml:space="preserve">an approach that mitigates severe dispersion at </w:t>
      </w:r>
      <w:r w:rsidR="005E201E">
        <w:t>high carrier</w:t>
      </w:r>
      <w:r w:rsidRPr="009A3578">
        <w:t xml:space="preserve"> frequencies. This spatial focusing also introduces filtering effects, which significantly reduce channel spread in both delay and Doppler domains. As a result, beamforming enables 6G devices to effectively manage multipath propagation and high mobility conditions. Consequently, the delay and Doppler shifts of the channel become highly predictable, even without auxiliary data sources, making their compensation feasible within 6G frameworks.</w:t>
      </w:r>
      <w:r>
        <w:t xml:space="preserve"> With beamforming, the only remaining issue at high frequency would be the phase noise</w:t>
      </w:r>
      <w:r w:rsidR="005E201E">
        <w:t>, which can be addressed carefully by the selection of subcarrier spacing in a system with multi-carrier based waveform such as OFDM.</w:t>
      </w:r>
    </w:p>
    <w:p w14:paraId="56AED22A" w14:textId="77777777" w:rsidR="00BF588E" w:rsidRDefault="00BF588E" w:rsidP="00BF588E">
      <w:r w:rsidRPr="002F64FF">
        <w:t>We anticipate that MIMO-OFDM will serve as the foundational waveform for 6G. While we believe it is sufficient and merits further enhancement, we remain open to alternative waveform proposals</w:t>
      </w:r>
      <w:r>
        <w:t xml:space="preserve">, </w:t>
      </w:r>
      <w:r w:rsidRPr="002F64FF">
        <w:t>provided they offer clear advantages over OFDM that justify any additional complexity and energy costs. Furthermore, any candidate must integrate seamlessly with multi-antenna technologies, particularly beamforming</w:t>
      </w:r>
      <w:r>
        <w:t>.</w:t>
      </w:r>
    </w:p>
    <w:p w14:paraId="0BC1746C" w14:textId="366E3EA4" w:rsidR="00BF588E" w:rsidRPr="0043189E" w:rsidRDefault="00BF588E" w:rsidP="00BF588E">
      <w:pPr>
        <w:rPr>
          <w:i/>
          <w:iCs/>
        </w:rPr>
      </w:pPr>
      <w:r w:rsidRPr="00CD0FFE">
        <w:rPr>
          <w:b/>
          <w:bCs/>
          <w:i/>
          <w:iCs/>
        </w:rPr>
        <w:t xml:space="preserve">Proposal </w:t>
      </w:r>
      <w:r>
        <w:rPr>
          <w:b/>
          <w:bCs/>
          <w:i/>
          <w:iCs/>
        </w:rPr>
        <w:t>2</w:t>
      </w:r>
      <w:r w:rsidRPr="00CD0FFE">
        <w:rPr>
          <w:b/>
          <w:bCs/>
          <w:i/>
          <w:iCs/>
        </w:rPr>
        <w:t>:</w:t>
      </w:r>
      <w:r w:rsidRPr="00245B22">
        <w:rPr>
          <w:i/>
          <w:iCs/>
        </w:rPr>
        <w:t xml:space="preserve"> </w:t>
      </w:r>
      <w:r w:rsidR="00F96ACF" w:rsidRPr="00313066">
        <w:rPr>
          <w:i/>
          <w:iCs/>
        </w:rPr>
        <w:t>For 6GR operating in</w:t>
      </w:r>
      <w:r w:rsidR="00F96ACF" w:rsidRPr="001E51A0">
        <w:rPr>
          <w:i/>
          <w:iCs/>
        </w:rPr>
        <w:t xml:space="preserve"> the designated </w:t>
      </w:r>
      <w:r w:rsidR="00F96ACF">
        <w:rPr>
          <w:i/>
          <w:iCs/>
        </w:rPr>
        <w:t xml:space="preserve">frequency ranges rather than </w:t>
      </w:r>
      <w:r w:rsidR="00F96ACF" w:rsidRPr="00313066">
        <w:rPr>
          <w:i/>
          <w:iCs/>
        </w:rPr>
        <w:t>FR</w:t>
      </w:r>
      <w:r w:rsidR="00F96ACF">
        <w:rPr>
          <w:i/>
          <w:iCs/>
        </w:rPr>
        <w:t>1, a</w:t>
      </w:r>
      <w:r w:rsidR="00F96ACF" w:rsidRPr="0043189E">
        <w:rPr>
          <w:i/>
          <w:iCs/>
        </w:rPr>
        <w:t xml:space="preserve">ny </w:t>
      </w:r>
      <w:r w:rsidR="00F96ACF">
        <w:rPr>
          <w:i/>
          <w:iCs/>
        </w:rPr>
        <w:t xml:space="preserve">proposal involving a </w:t>
      </w:r>
      <w:r w:rsidR="00F96ACF" w:rsidRPr="0043189E">
        <w:rPr>
          <w:i/>
          <w:iCs/>
        </w:rPr>
        <w:t>non-OFDM waveform must clearly justify the additional cost compared to OFDM and demonstrate ease of integration with multi-antenna technologies.</w:t>
      </w:r>
    </w:p>
    <w:p w14:paraId="179BFA93" w14:textId="77777777" w:rsidR="00BF588E" w:rsidRPr="003F2900" w:rsidRDefault="00BF588E" w:rsidP="00BF588E">
      <w:pPr>
        <w:pStyle w:val="Heading2"/>
      </w:pPr>
      <w:r>
        <w:t>Techniques for low PAPR</w:t>
      </w:r>
    </w:p>
    <w:p w14:paraId="55E89ABD" w14:textId="5941BBA5" w:rsidR="00BF588E" w:rsidRDefault="00BF588E" w:rsidP="00BF588E">
      <w:pPr>
        <w:rPr>
          <w:iCs/>
        </w:rPr>
      </w:pPr>
      <w:r w:rsidRPr="004F31F4">
        <w:rPr>
          <w:iCs/>
        </w:rPr>
        <w:t xml:space="preserve">Maintaining a low peak-to-average power ratio (PAPR) is </w:t>
      </w:r>
      <w:r>
        <w:rPr>
          <w:iCs/>
        </w:rPr>
        <w:t>important</w:t>
      </w:r>
      <w:r w:rsidRPr="004F31F4">
        <w:rPr>
          <w:iCs/>
        </w:rPr>
        <w:t xml:space="preserve"> for transmission, particularly in UE, to maximize the efficiency of the power amplifier's limited linear operating </w:t>
      </w:r>
      <w:r w:rsidRPr="00CB2D9A">
        <w:rPr>
          <w:iCs/>
        </w:rPr>
        <w:t xml:space="preserve">region. To support this, pre-transformation techniques for PAPR reduction </w:t>
      </w:r>
      <w:r w:rsidR="00CB2D9A" w:rsidRPr="00CB2D9A">
        <w:rPr>
          <w:iCs/>
        </w:rPr>
        <w:t>may be offered as optional features for uplink transmission, allowing UEs to select transmission modes that suit cost-effective implementations, as outlined in the following proposal</w:t>
      </w:r>
      <w:r w:rsidR="00CB2D9A">
        <w:rPr>
          <w:iCs/>
        </w:rPr>
        <w:t>.</w:t>
      </w:r>
    </w:p>
    <w:p w14:paraId="53F7FC0C" w14:textId="77777777" w:rsidR="00407007" w:rsidRDefault="00BF588E" w:rsidP="00407007">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sidRPr="00EE6C1D">
        <w:rPr>
          <w:i/>
          <w:iCs/>
        </w:rPr>
        <w:t>6GR should support optional pre-transformation techniques for peak-to-average power ratio (PAPR) reduction in uplink transmissions</w:t>
      </w:r>
      <w:r w:rsidR="00522FD2">
        <w:rPr>
          <w:i/>
          <w:iCs/>
        </w:rPr>
        <w:t xml:space="preserve"> and also for downlink transmissions supported by space or airborne elements</w:t>
      </w:r>
      <w:r w:rsidR="00246CF4">
        <w:rPr>
          <w:i/>
          <w:iCs/>
        </w:rPr>
        <w:t>.</w:t>
      </w:r>
    </w:p>
    <w:p w14:paraId="142885B8" w14:textId="77777777" w:rsidR="00407007" w:rsidRPr="00407007" w:rsidRDefault="00BF588E" w:rsidP="00407007">
      <w:pPr>
        <w:pStyle w:val="ListParagraph"/>
        <w:numPr>
          <w:ilvl w:val="0"/>
          <w:numId w:val="33"/>
        </w:numPr>
        <w:spacing w:after="180"/>
        <w:ind w:left="714" w:hanging="357"/>
        <w:rPr>
          <w:i/>
          <w:iCs/>
          <w:sz w:val="20"/>
          <w:szCs w:val="20"/>
          <w:lang w:val="en-GB"/>
        </w:rPr>
      </w:pPr>
      <w:r w:rsidRPr="00407007">
        <w:rPr>
          <w:i/>
          <w:iCs/>
          <w:sz w:val="20"/>
          <w:szCs w:val="20"/>
          <w:lang w:val="en-GB"/>
        </w:rPr>
        <w:t>For systems using the OFDM waveform, the legacy DFT-spread OFDM (DFT-s-OFDM) is proposed as a candidate.</w:t>
      </w:r>
    </w:p>
    <w:p w14:paraId="57852D7C" w14:textId="44F207F8" w:rsidR="00BF588E" w:rsidRPr="00407007" w:rsidRDefault="00BF588E" w:rsidP="00407007">
      <w:pPr>
        <w:pStyle w:val="ListParagraph"/>
        <w:numPr>
          <w:ilvl w:val="0"/>
          <w:numId w:val="33"/>
        </w:numPr>
        <w:spacing w:after="180"/>
        <w:ind w:left="714" w:hanging="357"/>
        <w:rPr>
          <w:i/>
          <w:iCs/>
          <w:lang w:val="en-GB"/>
        </w:rPr>
      </w:pPr>
      <w:r w:rsidRPr="00407007">
        <w:rPr>
          <w:i/>
          <w:iCs/>
          <w:sz w:val="20"/>
          <w:szCs w:val="20"/>
          <w:lang w:val="en-GB"/>
        </w:rPr>
        <w:lastRenderedPageBreak/>
        <w:t>If alternative waveforms are adopted for 6G, their PAPR characteristics must be thoroughly evaluated, and suitable pre-processing methods should be developed to achieve PAPR performance comparable to that of DFT-s-OFDM.</w:t>
      </w:r>
    </w:p>
    <w:p w14:paraId="2B2ECC4F" w14:textId="77777777" w:rsidR="00BF588E" w:rsidRDefault="00BF588E" w:rsidP="00BF588E">
      <w:pPr>
        <w:pStyle w:val="Heading1"/>
        <w:spacing w:before="120" w:after="120"/>
      </w:pPr>
      <w:r>
        <w:rPr>
          <w:rFonts w:hint="eastAsia"/>
        </w:rPr>
        <w:t>Conclusion and Proposals</w:t>
      </w:r>
    </w:p>
    <w:p w14:paraId="3D60B982" w14:textId="77777777" w:rsidR="00BF588E" w:rsidRPr="0096428D" w:rsidRDefault="00BF588E" w:rsidP="00BF588E">
      <w:r>
        <w:t>Based on the discussion above, we conclude this contribution with the following observations and proposals:</w:t>
      </w:r>
      <w:r w:rsidRPr="00196B0F">
        <w:rPr>
          <w:i/>
          <w:iCs/>
        </w:rPr>
        <w:t>.</w:t>
      </w:r>
    </w:p>
    <w:p w14:paraId="42B97CA7" w14:textId="77777777" w:rsidR="00BF588E" w:rsidRDefault="00BF588E" w:rsidP="00BF588E">
      <w:pPr>
        <w:rPr>
          <w:i/>
          <w:iCs/>
        </w:rPr>
      </w:pPr>
      <w:r>
        <w:rPr>
          <w:b/>
          <w:bCs/>
          <w:i/>
          <w:iCs/>
        </w:rPr>
        <w:t>Observation</w:t>
      </w:r>
      <w:r w:rsidRPr="00465622">
        <w:rPr>
          <w:b/>
          <w:bCs/>
          <w:i/>
          <w:iCs/>
        </w:rPr>
        <w:t xml:space="preserve"> 1</w:t>
      </w:r>
      <w:r w:rsidRPr="0096428D">
        <w:rPr>
          <w:b/>
          <w:bCs/>
          <w:i/>
          <w:iCs/>
        </w:rPr>
        <w:t>:</w:t>
      </w:r>
      <w:r w:rsidRPr="00F67201">
        <w:rPr>
          <w:rFonts w:ascii="Segoe UI" w:hAnsi="Segoe UI" w:cs="Segoe UI"/>
          <w:color w:val="424242"/>
          <w:shd w:val="clear" w:color="auto" w:fill="FAFAFA"/>
        </w:rPr>
        <w:t xml:space="preserve"> </w:t>
      </w:r>
      <w:r w:rsidRPr="00F67201">
        <w:rPr>
          <w:i/>
          <w:iCs/>
        </w:rPr>
        <w:t>When sharing a frequency band within FR1, if an existing RAT</w:t>
      </w:r>
      <w:r>
        <w:rPr>
          <w:i/>
          <w:iCs/>
        </w:rPr>
        <w:t xml:space="preserve">, </w:t>
      </w:r>
      <w:r w:rsidRPr="00F67201">
        <w:rPr>
          <w:i/>
          <w:iCs/>
        </w:rPr>
        <w:t>either LTE or NR</w:t>
      </w:r>
      <w:r>
        <w:rPr>
          <w:i/>
          <w:iCs/>
        </w:rPr>
        <w:t xml:space="preserve">, </w:t>
      </w:r>
      <w:r w:rsidRPr="00F67201">
        <w:rPr>
          <w:i/>
          <w:iCs/>
        </w:rPr>
        <w:t xml:space="preserve">is configured to use  </w:t>
      </w:r>
      <w:r>
        <w:rPr>
          <w:i/>
          <w:iCs/>
        </w:rPr>
        <w:t>part</w:t>
      </w:r>
      <w:r w:rsidRPr="00F67201">
        <w:rPr>
          <w:i/>
          <w:iCs/>
        </w:rPr>
        <w:t xml:space="preserve"> of the band, and another wireless technology uses the remaining portion with the same OFDM waveform and subcarrier spacing, mutual interference between the systems can be avoided. The absence of interference allows all subcarriers across the band to be fully utilized by either system, ensuring optimal use of the available radio resources.</w:t>
      </w:r>
    </w:p>
    <w:p w14:paraId="60EFF6FF" w14:textId="77777777" w:rsidR="00BF588E" w:rsidRDefault="00BF588E" w:rsidP="00BF588E">
      <w:pPr>
        <w:rPr>
          <w:b/>
          <w:bCs/>
          <w:i/>
          <w:iCs/>
        </w:rPr>
      </w:pPr>
      <w:r>
        <w:rPr>
          <w:b/>
          <w:bCs/>
          <w:i/>
          <w:iCs/>
        </w:rPr>
        <w:t>Observation 2</w:t>
      </w:r>
      <w:r w:rsidRPr="0096428D">
        <w:rPr>
          <w:b/>
          <w:bCs/>
          <w:i/>
          <w:iCs/>
        </w:rPr>
        <w:t>:</w:t>
      </w:r>
      <w:r w:rsidRPr="00F67201">
        <w:rPr>
          <w:rFonts w:ascii="Segoe UI" w:hAnsi="Segoe UI" w:cs="Segoe UI"/>
          <w:color w:val="424242"/>
          <w:shd w:val="clear" w:color="auto" w:fill="FAFAFA"/>
        </w:rPr>
        <w:t xml:space="preserve"> </w:t>
      </w:r>
      <w:r w:rsidRPr="00F67201">
        <w:rPr>
          <w:i/>
          <w:iCs/>
        </w:rPr>
        <w:t>When sharing a frequency band within FR1, if an existing RAT</w:t>
      </w:r>
      <w:r>
        <w:rPr>
          <w:i/>
          <w:iCs/>
        </w:rPr>
        <w:t xml:space="preserve">, </w:t>
      </w:r>
      <w:r w:rsidRPr="00F67201">
        <w:rPr>
          <w:i/>
          <w:iCs/>
        </w:rPr>
        <w:t>either LTE or NR</w:t>
      </w:r>
      <w:r>
        <w:rPr>
          <w:i/>
          <w:iCs/>
        </w:rPr>
        <w:t xml:space="preserve">, </w:t>
      </w:r>
      <w:r w:rsidRPr="00F67201">
        <w:rPr>
          <w:i/>
          <w:iCs/>
        </w:rPr>
        <w:t xml:space="preserve">is configured to use </w:t>
      </w:r>
      <w:r>
        <w:rPr>
          <w:i/>
          <w:iCs/>
        </w:rPr>
        <w:t>part</w:t>
      </w:r>
      <w:r w:rsidRPr="00F67201">
        <w:rPr>
          <w:i/>
          <w:iCs/>
        </w:rPr>
        <w:t xml:space="preserve"> of the band, and another wireless technology uses the remaining portion with the same OFDM waveform </w:t>
      </w:r>
      <w:r w:rsidRPr="001D7CDE">
        <w:rPr>
          <w:i/>
          <w:iCs/>
        </w:rPr>
        <w:t>but a subcarrier spacing that is either a multiple or a fraction of the other, mutual interference is minimal. In such cases, only a few subcarriers</w:t>
      </w:r>
      <w:r>
        <w:rPr>
          <w:i/>
          <w:iCs/>
        </w:rPr>
        <w:t xml:space="preserve"> of the system of smaller subcarrier spacing</w:t>
      </w:r>
      <w:r w:rsidRPr="001D7CDE">
        <w:rPr>
          <w:i/>
          <w:iCs/>
        </w:rPr>
        <w:t xml:space="preserve"> near the boundary between the two systems</w:t>
      </w:r>
      <w:r>
        <w:rPr>
          <w:i/>
          <w:iCs/>
        </w:rPr>
        <w:t xml:space="preserve"> </w:t>
      </w:r>
      <w:r w:rsidRPr="001D7CDE">
        <w:rPr>
          <w:i/>
          <w:iCs/>
        </w:rPr>
        <w:t xml:space="preserve">may be affected. </w:t>
      </w:r>
      <w:r>
        <w:rPr>
          <w:i/>
          <w:iCs/>
        </w:rPr>
        <w:t>T</w:t>
      </w:r>
      <w:r w:rsidRPr="001D7CDE">
        <w:rPr>
          <w:i/>
          <w:iCs/>
        </w:rPr>
        <w:t>he radio resources across the band can still be utilized effectively.</w:t>
      </w:r>
    </w:p>
    <w:p w14:paraId="7A74427C" w14:textId="77777777" w:rsidR="009F7F8F" w:rsidRDefault="009F7F8F" w:rsidP="009F7F8F">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sidRPr="00313066">
        <w:rPr>
          <w:i/>
          <w:iCs/>
        </w:rPr>
        <w:t>For 6GR operating in FR1, the OFDM is</w:t>
      </w:r>
      <w:r>
        <w:rPr>
          <w:i/>
          <w:iCs/>
        </w:rPr>
        <w:t xml:space="preserve"> only one the waveform</w:t>
      </w:r>
      <w:r w:rsidRPr="00313066">
        <w:rPr>
          <w:i/>
          <w:iCs/>
        </w:rPr>
        <w:t xml:space="preserve"> adopted, with subcarrier spacing options </w:t>
      </w:r>
      <w:r>
        <w:rPr>
          <w:i/>
          <w:iCs/>
        </w:rPr>
        <w:t>supported by 5G NR</w:t>
      </w:r>
      <w:r w:rsidRPr="00313066">
        <w:rPr>
          <w:i/>
          <w:iCs/>
        </w:rPr>
        <w:t>.</w:t>
      </w:r>
    </w:p>
    <w:p w14:paraId="5927777F" w14:textId="019B9D05" w:rsidR="009F7F8F" w:rsidRPr="00095AF7" w:rsidRDefault="00095AF7" w:rsidP="009F7F8F">
      <w:pPr>
        <w:pStyle w:val="ListParagraph"/>
        <w:numPr>
          <w:ilvl w:val="0"/>
          <w:numId w:val="33"/>
        </w:numPr>
        <w:spacing w:after="180"/>
        <w:ind w:left="714" w:hanging="357"/>
        <w:rPr>
          <w:i/>
          <w:sz w:val="20"/>
          <w:szCs w:val="20"/>
          <w:lang w:val="en-GB"/>
        </w:rPr>
      </w:pPr>
      <w:r w:rsidRPr="00095AF7">
        <w:rPr>
          <w:i/>
          <w:iCs/>
          <w:sz w:val="20"/>
          <w:szCs w:val="20"/>
          <w:lang w:val="en-GB"/>
        </w:rPr>
        <w:t>R</w:t>
      </w:r>
      <w:r w:rsidR="00E21846" w:rsidRPr="00095AF7">
        <w:rPr>
          <w:i/>
          <w:iCs/>
          <w:sz w:val="20"/>
          <w:szCs w:val="20"/>
          <w:lang w:val="en-GB"/>
        </w:rPr>
        <w:t>estrict the selection of subcarrier spacing configurations within each FR1 band to a limited set suitable for deployment</w:t>
      </w:r>
      <w:r w:rsidRPr="00095AF7">
        <w:rPr>
          <w:i/>
          <w:iCs/>
          <w:sz w:val="20"/>
          <w:szCs w:val="20"/>
          <w:lang w:val="en-GB"/>
        </w:rPr>
        <w:t xml:space="preserve"> to prevent undue complexity in the specifications</w:t>
      </w:r>
      <w:r w:rsidR="009F7F8F" w:rsidRPr="00095AF7">
        <w:rPr>
          <w:i/>
          <w:iCs/>
          <w:sz w:val="20"/>
          <w:szCs w:val="20"/>
          <w:lang w:val="en-GB"/>
        </w:rPr>
        <w:t>.</w:t>
      </w:r>
    </w:p>
    <w:p w14:paraId="615121A3" w14:textId="6A176FE4" w:rsidR="00BF588E" w:rsidRDefault="00BF588E" w:rsidP="00BF588E">
      <w:pPr>
        <w:rPr>
          <w:i/>
          <w:iCs/>
        </w:rPr>
      </w:pPr>
      <w:r w:rsidRPr="00CD0FFE">
        <w:rPr>
          <w:b/>
          <w:bCs/>
          <w:i/>
          <w:iCs/>
        </w:rPr>
        <w:t xml:space="preserve">Proposal </w:t>
      </w:r>
      <w:r>
        <w:rPr>
          <w:b/>
          <w:bCs/>
          <w:i/>
          <w:iCs/>
        </w:rPr>
        <w:t>2</w:t>
      </w:r>
      <w:r w:rsidRPr="00CD0FFE">
        <w:rPr>
          <w:b/>
          <w:bCs/>
          <w:i/>
          <w:iCs/>
        </w:rPr>
        <w:t>:</w:t>
      </w:r>
      <w:r w:rsidRPr="00245B22">
        <w:rPr>
          <w:i/>
          <w:iCs/>
        </w:rPr>
        <w:t xml:space="preserve"> </w:t>
      </w:r>
      <w:r w:rsidR="00740F22" w:rsidRPr="00313066">
        <w:rPr>
          <w:i/>
          <w:iCs/>
        </w:rPr>
        <w:t>For 6GR operating in</w:t>
      </w:r>
      <w:r w:rsidR="00740F22" w:rsidRPr="001E51A0">
        <w:rPr>
          <w:i/>
          <w:iCs/>
        </w:rPr>
        <w:t xml:space="preserve"> </w:t>
      </w:r>
      <w:r w:rsidR="00695C5D" w:rsidRPr="001E51A0">
        <w:rPr>
          <w:i/>
          <w:iCs/>
        </w:rPr>
        <w:t xml:space="preserve">the </w:t>
      </w:r>
      <w:r w:rsidR="001E51A0" w:rsidRPr="001E51A0">
        <w:rPr>
          <w:i/>
          <w:iCs/>
        </w:rPr>
        <w:t>designated </w:t>
      </w:r>
      <w:r w:rsidR="00695C5D">
        <w:rPr>
          <w:i/>
          <w:iCs/>
        </w:rPr>
        <w:t>frequency range</w:t>
      </w:r>
      <w:r w:rsidR="001E51A0">
        <w:rPr>
          <w:i/>
          <w:iCs/>
        </w:rPr>
        <w:t>s</w:t>
      </w:r>
      <w:r w:rsidR="00695C5D">
        <w:rPr>
          <w:i/>
          <w:iCs/>
        </w:rPr>
        <w:t xml:space="preserve"> rather than </w:t>
      </w:r>
      <w:r w:rsidR="00740F22" w:rsidRPr="00313066">
        <w:rPr>
          <w:i/>
          <w:iCs/>
        </w:rPr>
        <w:t>FR</w:t>
      </w:r>
      <w:r w:rsidR="00695C5D">
        <w:rPr>
          <w:i/>
          <w:iCs/>
        </w:rPr>
        <w:t>1</w:t>
      </w:r>
      <w:r w:rsidR="00740F22">
        <w:rPr>
          <w:i/>
          <w:iCs/>
        </w:rPr>
        <w:t>, a</w:t>
      </w:r>
      <w:r w:rsidRPr="0043189E">
        <w:rPr>
          <w:i/>
          <w:iCs/>
        </w:rPr>
        <w:t xml:space="preserve">ny </w:t>
      </w:r>
      <w:r w:rsidR="00F96ACF">
        <w:rPr>
          <w:i/>
          <w:iCs/>
        </w:rPr>
        <w:t xml:space="preserve">proposal involving a </w:t>
      </w:r>
      <w:r w:rsidRPr="0043189E">
        <w:rPr>
          <w:i/>
          <w:iCs/>
        </w:rPr>
        <w:t>non-OFDM waveform must clearly justify the additional cost compared to OFDM and demonstrate ease of integration with multi-antenna technologies.</w:t>
      </w:r>
    </w:p>
    <w:p w14:paraId="34D9D128" w14:textId="77777777" w:rsidR="00407007" w:rsidRDefault="00407007" w:rsidP="00407007">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sidRPr="00EE6C1D">
        <w:rPr>
          <w:i/>
          <w:iCs/>
        </w:rPr>
        <w:t>6GR should support optional pre-transformation techniques for peak-to-average power ratio (PAPR) reduction in uplink transmissions</w:t>
      </w:r>
      <w:r>
        <w:rPr>
          <w:i/>
          <w:iCs/>
        </w:rPr>
        <w:t xml:space="preserve"> and also for downlink transmissions supported by space or airborne elements.</w:t>
      </w:r>
    </w:p>
    <w:p w14:paraId="753530CC" w14:textId="77777777" w:rsidR="00407007" w:rsidRPr="00407007" w:rsidRDefault="00407007" w:rsidP="00AF222A">
      <w:pPr>
        <w:pStyle w:val="ListParagraph"/>
        <w:numPr>
          <w:ilvl w:val="0"/>
          <w:numId w:val="33"/>
        </w:numPr>
        <w:spacing w:after="180"/>
        <w:ind w:left="714" w:hanging="357"/>
        <w:rPr>
          <w:b/>
          <w:bCs/>
          <w:i/>
          <w:lang w:val="en-GB"/>
        </w:rPr>
      </w:pPr>
      <w:r w:rsidRPr="00407007">
        <w:rPr>
          <w:i/>
          <w:iCs/>
          <w:sz w:val="20"/>
          <w:szCs w:val="20"/>
          <w:lang w:val="en-GB"/>
        </w:rPr>
        <w:t>For systems using the OFDM waveform, the legacy DFT-spread OFDM (DFT-s-OFDM) is proposed as a candidate.</w:t>
      </w:r>
    </w:p>
    <w:p w14:paraId="172B3BC6" w14:textId="24914C9F" w:rsidR="00C65EB5" w:rsidRPr="00407007" w:rsidRDefault="00407007" w:rsidP="00AF222A">
      <w:pPr>
        <w:pStyle w:val="ListParagraph"/>
        <w:numPr>
          <w:ilvl w:val="0"/>
          <w:numId w:val="33"/>
        </w:numPr>
        <w:spacing w:after="180"/>
        <w:ind w:left="714" w:hanging="357"/>
        <w:rPr>
          <w:b/>
          <w:bCs/>
          <w:i/>
          <w:lang w:val="en-GB"/>
        </w:rPr>
      </w:pPr>
      <w:r w:rsidRPr="00407007">
        <w:rPr>
          <w:i/>
          <w:iCs/>
          <w:sz w:val="20"/>
          <w:szCs w:val="20"/>
          <w:lang w:val="en-GB"/>
        </w:rPr>
        <w:t>If alternative waveforms are adopted for 6G, their PAPR characteristics must be thoroughly evaluated, and suitable pre-processing methods should be developed to achieve PAPR performance comparable to that of DFT-s-OFDM.</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B1C55" w14:paraId="0B3D8DB5" w14:textId="77777777">
                <w:trPr>
                  <w:divId w:val="1282540834"/>
                  <w:tblCellSpacing w:w="15" w:type="dxa"/>
                </w:trPr>
                <w:tc>
                  <w:tcPr>
                    <w:tcW w:w="50" w:type="pct"/>
                    <w:hideMark/>
                  </w:tcPr>
                  <w:p w14:paraId="787B8298" w14:textId="6FA8C0A0" w:rsidR="008B1C55" w:rsidRDefault="008B1C55">
                    <w:pPr>
                      <w:pStyle w:val="Bibliography"/>
                      <w:rPr>
                        <w:noProof/>
                        <w:sz w:val="24"/>
                        <w:szCs w:val="24"/>
                      </w:rPr>
                    </w:pPr>
                    <w:r>
                      <w:rPr>
                        <w:noProof/>
                      </w:rPr>
                      <w:t xml:space="preserve">[1] </w:t>
                    </w:r>
                  </w:p>
                </w:tc>
                <w:tc>
                  <w:tcPr>
                    <w:tcW w:w="0" w:type="auto"/>
                    <w:hideMark/>
                  </w:tcPr>
                  <w:p w14:paraId="354DF85B" w14:textId="77777777" w:rsidR="008B1C55" w:rsidRDefault="008B1C55">
                    <w:pPr>
                      <w:pStyle w:val="Bibliography"/>
                      <w:rPr>
                        <w:noProof/>
                      </w:rPr>
                    </w:pPr>
                    <w:r>
                      <w:rPr>
                        <w:noProof/>
                      </w:rPr>
                      <w:t>RP-251881, “New SID: Study on 6G Radio,” NTT Docomo.</w:t>
                    </w:r>
                  </w:p>
                </w:tc>
              </w:tr>
            </w:tbl>
            <w:p w14:paraId="537219A4" w14:textId="77777777" w:rsidR="008B1C55" w:rsidRDefault="008B1C55">
              <w:pPr>
                <w:divId w:val="128254083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6C83" w14:textId="77777777" w:rsidR="00AB1838" w:rsidRDefault="00AB1838">
      <w:pPr>
        <w:spacing w:after="0"/>
      </w:pPr>
      <w:r>
        <w:separator/>
      </w:r>
    </w:p>
  </w:endnote>
  <w:endnote w:type="continuationSeparator" w:id="0">
    <w:p w14:paraId="4C8AE8A6" w14:textId="77777777" w:rsidR="00AB1838" w:rsidRDefault="00AB1838">
      <w:pPr>
        <w:spacing w:after="0"/>
      </w:pPr>
      <w:r>
        <w:continuationSeparator/>
      </w:r>
    </w:p>
  </w:endnote>
  <w:endnote w:type="continuationNotice" w:id="1">
    <w:p w14:paraId="50A9AC61" w14:textId="77777777" w:rsidR="00AB1838" w:rsidRDefault="00AB1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FAD2" w14:textId="77777777" w:rsidR="00AB1838" w:rsidRDefault="00AB1838">
      <w:pPr>
        <w:spacing w:after="0"/>
      </w:pPr>
      <w:r>
        <w:separator/>
      </w:r>
    </w:p>
  </w:footnote>
  <w:footnote w:type="continuationSeparator" w:id="0">
    <w:p w14:paraId="779882A6" w14:textId="77777777" w:rsidR="00AB1838" w:rsidRDefault="00AB1838">
      <w:pPr>
        <w:spacing w:after="0"/>
      </w:pPr>
      <w:r>
        <w:continuationSeparator/>
      </w:r>
    </w:p>
  </w:footnote>
  <w:footnote w:type="continuationNotice" w:id="1">
    <w:p w14:paraId="148A1703" w14:textId="77777777" w:rsidR="00AB1838" w:rsidRDefault="00AB1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B6777"/>
    <w:multiLevelType w:val="hybridMultilevel"/>
    <w:tmpl w:val="745A1E56"/>
    <w:lvl w:ilvl="0" w:tplc="C7909288">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7"/>
  </w:num>
  <w:num w:numId="2" w16cid:durableId="135219078">
    <w:abstractNumId w:val="11"/>
  </w:num>
  <w:num w:numId="3" w16cid:durableId="1130828869">
    <w:abstractNumId w:val="0"/>
  </w:num>
  <w:num w:numId="4" w16cid:durableId="586613930">
    <w:abstractNumId w:val="23"/>
  </w:num>
  <w:num w:numId="5" w16cid:durableId="1616861889">
    <w:abstractNumId w:val="13"/>
  </w:num>
  <w:num w:numId="6" w16cid:durableId="793984029">
    <w:abstractNumId w:val="10"/>
  </w:num>
  <w:num w:numId="7" w16cid:durableId="1988630987">
    <w:abstractNumId w:val="19"/>
  </w:num>
  <w:num w:numId="8" w16cid:durableId="1209105048">
    <w:abstractNumId w:val="22"/>
  </w:num>
  <w:num w:numId="9" w16cid:durableId="451824868">
    <w:abstractNumId w:val="2"/>
  </w:num>
  <w:num w:numId="10" w16cid:durableId="238640512">
    <w:abstractNumId w:val="14"/>
  </w:num>
  <w:num w:numId="11" w16cid:durableId="1532567702">
    <w:abstractNumId w:val="3"/>
  </w:num>
  <w:num w:numId="12" w16cid:durableId="472648642">
    <w:abstractNumId w:val="12"/>
  </w:num>
  <w:num w:numId="13" w16cid:durableId="1393774252">
    <w:abstractNumId w:val="17"/>
  </w:num>
  <w:num w:numId="14" w16cid:durableId="1993288777">
    <w:abstractNumId w:val="6"/>
  </w:num>
  <w:num w:numId="15" w16cid:durableId="232160521">
    <w:abstractNumId w:val="5"/>
  </w:num>
  <w:num w:numId="16" w16cid:durableId="481121141">
    <w:abstractNumId w:val="27"/>
  </w:num>
  <w:num w:numId="17" w16cid:durableId="595597099">
    <w:abstractNumId w:val="24"/>
  </w:num>
  <w:num w:numId="18" w16cid:durableId="14817309">
    <w:abstractNumId w:val="18"/>
  </w:num>
  <w:num w:numId="19" w16cid:durableId="1095128713">
    <w:abstractNumId w:val="28"/>
  </w:num>
  <w:num w:numId="20" w16cid:durableId="2059425814">
    <w:abstractNumId w:val="20"/>
  </w:num>
  <w:num w:numId="21" w16cid:durableId="240066506">
    <w:abstractNumId w:val="8"/>
  </w:num>
  <w:num w:numId="22" w16cid:durableId="747308547">
    <w:abstractNumId w:val="4"/>
  </w:num>
  <w:num w:numId="23" w16cid:durableId="1804470020">
    <w:abstractNumId w:val="9"/>
  </w:num>
  <w:num w:numId="24" w16cid:durableId="479468790">
    <w:abstractNumId w:val="1"/>
  </w:num>
  <w:num w:numId="25" w16cid:durableId="1717700466">
    <w:abstractNumId w:val="25"/>
  </w:num>
  <w:num w:numId="26" w16cid:durableId="2005011462">
    <w:abstractNumId w:val="26"/>
  </w:num>
  <w:num w:numId="27" w16cid:durableId="1480029735">
    <w:abstractNumId w:val="29"/>
  </w:num>
  <w:num w:numId="28" w16cid:durableId="1798527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7"/>
  </w:num>
  <w:num w:numId="32" w16cid:durableId="1398941057">
    <w:abstractNumId w:val="7"/>
  </w:num>
  <w:num w:numId="33" w16cid:durableId="132731687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59B2"/>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67606"/>
    <w:rsid w:val="00067A1E"/>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B83"/>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5AF7"/>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B7EB0"/>
    <w:rsid w:val="000C06F3"/>
    <w:rsid w:val="000C090A"/>
    <w:rsid w:val="000C1763"/>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6D"/>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D78"/>
    <w:rsid w:val="0013018E"/>
    <w:rsid w:val="001302BE"/>
    <w:rsid w:val="00130816"/>
    <w:rsid w:val="00130CF0"/>
    <w:rsid w:val="001316F6"/>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8A4"/>
    <w:rsid w:val="00160998"/>
    <w:rsid w:val="00160CD6"/>
    <w:rsid w:val="00160F5F"/>
    <w:rsid w:val="0016183C"/>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07E"/>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1A0"/>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6CF4"/>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3BE5"/>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64B"/>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3B59"/>
    <w:rsid w:val="00373C9D"/>
    <w:rsid w:val="00374209"/>
    <w:rsid w:val="003742DD"/>
    <w:rsid w:val="0037436A"/>
    <w:rsid w:val="003745B1"/>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6025"/>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AC8"/>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896"/>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4417"/>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E31"/>
    <w:rsid w:val="00406FCE"/>
    <w:rsid w:val="00407007"/>
    <w:rsid w:val="004075E2"/>
    <w:rsid w:val="00407EF7"/>
    <w:rsid w:val="00410B73"/>
    <w:rsid w:val="00412C2C"/>
    <w:rsid w:val="00412C54"/>
    <w:rsid w:val="0041314A"/>
    <w:rsid w:val="0041443C"/>
    <w:rsid w:val="004145DF"/>
    <w:rsid w:val="0041488F"/>
    <w:rsid w:val="0041531C"/>
    <w:rsid w:val="004154F7"/>
    <w:rsid w:val="004155F3"/>
    <w:rsid w:val="0041561E"/>
    <w:rsid w:val="00415C0D"/>
    <w:rsid w:val="004162D8"/>
    <w:rsid w:val="004163F3"/>
    <w:rsid w:val="00416D44"/>
    <w:rsid w:val="00416FC6"/>
    <w:rsid w:val="004176FF"/>
    <w:rsid w:val="00417A1E"/>
    <w:rsid w:val="0042078F"/>
    <w:rsid w:val="0042158A"/>
    <w:rsid w:val="00421892"/>
    <w:rsid w:val="004218AF"/>
    <w:rsid w:val="00421A27"/>
    <w:rsid w:val="00421D0A"/>
    <w:rsid w:val="004226C3"/>
    <w:rsid w:val="004228BA"/>
    <w:rsid w:val="00422B9A"/>
    <w:rsid w:val="004234EF"/>
    <w:rsid w:val="00423AC0"/>
    <w:rsid w:val="0042408D"/>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E63"/>
    <w:rsid w:val="004430C0"/>
    <w:rsid w:val="00443A9F"/>
    <w:rsid w:val="0044474B"/>
    <w:rsid w:val="0044534E"/>
    <w:rsid w:val="00445646"/>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629"/>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BB3"/>
    <w:rsid w:val="004D76DD"/>
    <w:rsid w:val="004D793E"/>
    <w:rsid w:val="004D7DA8"/>
    <w:rsid w:val="004E045C"/>
    <w:rsid w:val="004E1022"/>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D26"/>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7B7D"/>
    <w:rsid w:val="005B7C6D"/>
    <w:rsid w:val="005C01AA"/>
    <w:rsid w:val="005C05BE"/>
    <w:rsid w:val="005C1948"/>
    <w:rsid w:val="005C1D23"/>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637D"/>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01E"/>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AD1"/>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6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600"/>
    <w:rsid w:val="00693F2A"/>
    <w:rsid w:val="0069482D"/>
    <w:rsid w:val="006948EF"/>
    <w:rsid w:val="00695305"/>
    <w:rsid w:val="00695C5D"/>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F22"/>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F64"/>
    <w:rsid w:val="007D7205"/>
    <w:rsid w:val="007D731A"/>
    <w:rsid w:val="007D7441"/>
    <w:rsid w:val="007E013F"/>
    <w:rsid w:val="007E0D5B"/>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1ADD"/>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C48"/>
    <w:rsid w:val="008F00DB"/>
    <w:rsid w:val="008F0344"/>
    <w:rsid w:val="008F05E9"/>
    <w:rsid w:val="008F062C"/>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8D6"/>
    <w:rsid w:val="009219CF"/>
    <w:rsid w:val="00921B4B"/>
    <w:rsid w:val="00922137"/>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ADE"/>
    <w:rsid w:val="00961EE9"/>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2C3"/>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958"/>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B45"/>
    <w:rsid w:val="009F659A"/>
    <w:rsid w:val="009F70B1"/>
    <w:rsid w:val="009F7185"/>
    <w:rsid w:val="009F7867"/>
    <w:rsid w:val="009F7B55"/>
    <w:rsid w:val="009F7D43"/>
    <w:rsid w:val="009F7D66"/>
    <w:rsid w:val="009F7F8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38"/>
    <w:rsid w:val="00AB18AC"/>
    <w:rsid w:val="00AB1EB7"/>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D01"/>
    <w:rsid w:val="00B5239C"/>
    <w:rsid w:val="00B5276B"/>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88E"/>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B57"/>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2D9A"/>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6E5"/>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3DA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1846"/>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6ACF"/>
    <w:rsid w:val="00F97437"/>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113"/>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366</cp:revision>
  <cp:lastPrinted>2016-06-20T05:35:00Z</cp:lastPrinted>
  <dcterms:created xsi:type="dcterms:W3CDTF">2025-05-05T09:33:00Z</dcterms:created>
  <dcterms:modified xsi:type="dcterms:W3CDTF">2025-08-14T12:40:00Z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