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3DD48CDE" w:rsidR="004B1A33" w:rsidRPr="00D22DE9" w:rsidRDefault="006B7D71" w:rsidP="004B1A33">
      <w:pPr>
        <w:tabs>
          <w:tab w:val="center" w:pos="4536"/>
          <w:tab w:val="right" w:pos="7938"/>
          <w:tab w:val="right" w:pos="9639"/>
        </w:tabs>
        <w:ind w:right="2"/>
        <w:rPr>
          <w:b/>
          <w:bCs/>
          <w:sz w:val="28"/>
        </w:rPr>
      </w:pPr>
      <w:bookmarkStart w:id="0" w:name="historyclause"/>
      <w:bookmarkStart w:id="1" w:name="_Toc383764588"/>
      <w:r w:rsidRPr="00D22DE9">
        <w:rPr>
          <w:b/>
          <w:bCs/>
          <w:sz w:val="28"/>
        </w:rPr>
        <w:t>3GPP TSG RAN WG1 #121</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sidR="007D25F6">
        <w:rPr>
          <w:b/>
          <w:bCs/>
          <w:sz w:val="28"/>
        </w:rPr>
        <w:t xml:space="preserve">         </w:t>
      </w:r>
      <w:r w:rsidR="007D25F6" w:rsidRPr="007D25F6">
        <w:rPr>
          <w:b/>
          <w:bCs/>
          <w:sz w:val="28"/>
        </w:rPr>
        <w:t>R1-2504582</w:t>
      </w:r>
    </w:p>
    <w:p w14:paraId="63431AAE" w14:textId="0031EBC6" w:rsidR="008D0274" w:rsidRPr="00D22DE9" w:rsidRDefault="00B6189A" w:rsidP="008D0274">
      <w:pPr>
        <w:tabs>
          <w:tab w:val="center" w:pos="4536"/>
          <w:tab w:val="right" w:pos="9072"/>
        </w:tabs>
        <w:spacing w:after="240"/>
        <w:rPr>
          <w:rFonts w:eastAsia="MS Mincho"/>
          <w:b/>
          <w:bCs/>
          <w:sz w:val="28"/>
          <w:lang w:eastAsia="ja-JP"/>
        </w:rPr>
      </w:pPr>
      <w:r w:rsidRPr="00B6189A">
        <w:rPr>
          <w:rFonts w:eastAsia="MS Mincho"/>
          <w:b/>
          <w:bCs/>
          <w:sz w:val="28"/>
          <w:lang w:eastAsia="ja-JP"/>
        </w:rPr>
        <w:t>St Julian’s, Malta, May 19th – 23th, 2025</w:t>
      </w:r>
    </w:p>
    <w:p w14:paraId="7FCDD4DE" w14:textId="63BB246B" w:rsidR="00A40271" w:rsidRPr="00D22DE9" w:rsidRDefault="00D3058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Agenda Item:</w:t>
      </w:r>
      <w:r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ab/>
        <w:t>9.3.1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94EC84C"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060B13" w:rsidRPr="00D22DE9">
        <w:rPr>
          <w:rFonts w:ascii="Times New Roman" w:eastAsia="MS Mincho" w:hAnsi="Times New Roman"/>
          <w:bCs/>
          <w:noProof w:val="0"/>
          <w:sz w:val="24"/>
          <w:szCs w:val="24"/>
          <w:lang w:eastAsia="ja-JP"/>
        </w:rPr>
        <w:t xml:space="preserve">Discussion on </w:t>
      </w:r>
      <w:r w:rsidR="00F32335" w:rsidRPr="00D22DE9">
        <w:rPr>
          <w:rFonts w:ascii="Times New Roman" w:eastAsia="MS Mincho" w:hAnsi="Times New Roman"/>
          <w:bCs/>
          <w:noProof w:val="0"/>
          <w:sz w:val="24"/>
          <w:szCs w:val="24"/>
          <w:lang w:eastAsia="ja-JP"/>
        </w:rPr>
        <w:t>SBFD TX/RX/measurement procedures</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D22DE9" w:rsidRDefault="00EE036A" w:rsidP="00EE036A">
      <w:pPr>
        <w:pStyle w:val="Heading1"/>
        <w:jc w:val="both"/>
        <w:rPr>
          <w:rFonts w:ascii="Times New Roman" w:hAnsi="Times New Roman"/>
          <w:lang w:eastAsia="zh-TW"/>
        </w:rPr>
      </w:pPr>
      <w:r w:rsidRPr="00D22DE9">
        <w:rPr>
          <w:rFonts w:ascii="Times New Roman" w:hAnsi="Times New Roman"/>
          <w:lang w:eastAsia="zh-TW"/>
        </w:rPr>
        <w:t>Introduction</w:t>
      </w:r>
    </w:p>
    <w:p w14:paraId="11099F49" w14:textId="6F5F625B" w:rsidR="0019252E" w:rsidRPr="00D22DE9" w:rsidRDefault="00C064C4" w:rsidP="0021477C">
      <w:pPr>
        <w:rPr>
          <w:rFonts w:eastAsia="Malgun Gothic"/>
          <w:sz w:val="22"/>
          <w:szCs w:val="40"/>
          <w:lang w:eastAsia="zh-CN"/>
        </w:rPr>
      </w:pPr>
      <w:r w:rsidRPr="00D22DE9">
        <w:rPr>
          <w:rFonts w:eastAsia="Malgun Gothic"/>
          <w:sz w:val="22"/>
          <w:szCs w:val="40"/>
          <w:lang w:eastAsia="zh-CN"/>
        </w:rPr>
        <w:t xml:space="preserve">In this document, we provide our views on </w:t>
      </w:r>
      <w:r w:rsidR="00647824" w:rsidRPr="00D22DE9">
        <w:rPr>
          <w:rFonts w:eastAsia="微軟正黑體"/>
          <w:sz w:val="22"/>
          <w:szCs w:val="40"/>
          <w:lang w:eastAsia="zh-TW"/>
        </w:rPr>
        <w:t>remaining issues of SBFD TX/RX/measurement procedures.</w:t>
      </w:r>
    </w:p>
    <w:p w14:paraId="694C02F2" w14:textId="5F817426" w:rsidR="00873B81" w:rsidRPr="00D22DE9" w:rsidRDefault="006D6BE9" w:rsidP="006B7D71">
      <w:pPr>
        <w:pStyle w:val="Heading1"/>
        <w:rPr>
          <w:rFonts w:ascii="Times New Roman" w:eastAsia="Times" w:hAnsi="Times New Roman"/>
        </w:rPr>
      </w:pPr>
      <w:r w:rsidRPr="00D22DE9">
        <w:rPr>
          <w:rFonts w:ascii="Times New Roman" w:eastAsia="Times" w:hAnsi="Times New Roman"/>
        </w:rPr>
        <w:t>Discussion</w:t>
      </w:r>
    </w:p>
    <w:p w14:paraId="705DB0F8" w14:textId="01EEF2E4" w:rsidR="006B7D71" w:rsidRPr="00D22DE9" w:rsidRDefault="00647824" w:rsidP="006B7D71">
      <w:pPr>
        <w:pStyle w:val="Heading2"/>
        <w:rPr>
          <w:rFonts w:ascii="Times New Roman" w:hAnsi="Times New Roman"/>
        </w:rPr>
      </w:pPr>
      <w:r w:rsidRPr="00D22DE9">
        <w:rPr>
          <w:rFonts w:ascii="Times New Roman" w:hAnsi="Times New Roman"/>
        </w:rPr>
        <w:t>Collision handling</w:t>
      </w:r>
    </w:p>
    <w:p w14:paraId="46E8BF63" w14:textId="34875421" w:rsidR="00D22DE9" w:rsidRPr="00D22DE9" w:rsidRDefault="00D22DE9" w:rsidP="006919DF">
      <w:pPr>
        <w:pStyle w:val="Heading3"/>
        <w:numPr>
          <w:ilvl w:val="0"/>
          <w:numId w:val="0"/>
        </w:numPr>
        <w:rPr>
          <w:rFonts w:ascii="Times New Roman" w:hAnsi="Times New Roman"/>
        </w:rPr>
      </w:pPr>
      <w:r w:rsidRPr="00D22DE9">
        <w:rPr>
          <w:rFonts w:ascii="Times New Roman" w:hAnsi="Times New Roman"/>
        </w:rPr>
        <w:t>2.1.1 UCI multiplexing</w:t>
      </w:r>
    </w:p>
    <w:tbl>
      <w:tblPr>
        <w:tblStyle w:val="TableGrid"/>
        <w:tblW w:w="0" w:type="auto"/>
        <w:tblLook w:val="04A0" w:firstRow="1" w:lastRow="0" w:firstColumn="1" w:lastColumn="0" w:noHBand="0" w:noVBand="1"/>
      </w:tblPr>
      <w:tblGrid>
        <w:gridCol w:w="9350"/>
      </w:tblGrid>
      <w:tr w:rsidR="006B7D71" w:rsidRPr="00D22DE9" w14:paraId="65FB5F88" w14:textId="77777777" w:rsidTr="006B7D71">
        <w:tc>
          <w:tcPr>
            <w:tcW w:w="9350" w:type="dxa"/>
          </w:tcPr>
          <w:p w14:paraId="3A2482CD" w14:textId="002855A5" w:rsidR="006B7D71" w:rsidRPr="00D22DE9" w:rsidRDefault="006B7D71" w:rsidP="006B7D71">
            <w:pPr>
              <w:rPr>
                <w:b/>
              </w:rPr>
            </w:pPr>
            <w:r w:rsidRPr="00D22DE9">
              <w:rPr>
                <w:b/>
              </w:rPr>
              <w:t>FL’s proposal 3-1</w:t>
            </w:r>
          </w:p>
          <w:p w14:paraId="25BACE09" w14:textId="77777777" w:rsidR="006B7D71" w:rsidRPr="00D22DE9" w:rsidRDefault="006B7D71" w:rsidP="006B7D71">
            <w:r w:rsidRPr="00D22DE9">
              <w:t>Proposed Agreement:</w:t>
            </w:r>
          </w:p>
          <w:p w14:paraId="0A7F07C3" w14:textId="77777777" w:rsidR="006B7D71" w:rsidRPr="00D22DE9" w:rsidRDefault="006B7D71" w:rsidP="006B7D71">
            <w:r w:rsidRPr="00D22DE9">
              <w:t>For SBFD aware UEs, UE resolves overlapping PUCCH/PUSCH transmissions before SBFD specific collision handling between transmissions/receptions and unusable resources (e.g. invalid symbol type for Configuration 1, Tx/Rx occasion mapped to SBFD and non-SBFD symbols etc.), if any.</w:t>
            </w:r>
          </w:p>
          <w:p w14:paraId="246C335E" w14:textId="46598B2C" w:rsidR="006B7D71" w:rsidRPr="00D22DE9" w:rsidRDefault="006B7D71" w:rsidP="006B7D71">
            <w:r w:rsidRPr="00D22DE9">
              <w:t>-</w:t>
            </w:r>
            <w:r w:rsidRPr="00D22DE9">
              <w:tab/>
              <w:t>It is up to the spec editor to decide whether/how to capture the above in the specification.</w:t>
            </w:r>
          </w:p>
        </w:tc>
      </w:tr>
    </w:tbl>
    <w:p w14:paraId="7911A17A" w14:textId="4C5EE326" w:rsidR="008210D1" w:rsidRPr="00D22DE9" w:rsidRDefault="00C749AD" w:rsidP="008210D1">
      <w:pPr>
        <w:spacing w:before="240"/>
        <w:rPr>
          <w:rFonts w:eastAsia="Microsoft YaHei"/>
          <w:lang w:eastAsia="zh-CN"/>
        </w:rPr>
      </w:pPr>
      <w:r w:rsidRPr="00D22DE9">
        <w:rPr>
          <w:rFonts w:eastAsia="Microsoft YaHei"/>
          <w:lang w:eastAsia="zh-CN"/>
        </w:rPr>
        <w:t>In the last me</w:t>
      </w:r>
      <w:r w:rsidR="0091689B" w:rsidRPr="00D22DE9">
        <w:rPr>
          <w:rFonts w:eastAsia="Microsoft YaHei"/>
          <w:lang w:eastAsia="zh-CN"/>
        </w:rPr>
        <w:t>eting, the order of UE determining</w:t>
      </w:r>
      <w:r w:rsidRPr="00D22DE9">
        <w:rPr>
          <w:rFonts w:eastAsia="Microsoft YaHei"/>
          <w:lang w:eastAsia="zh-CN"/>
        </w:rPr>
        <w:t xml:space="preserve"> UCI multiplexing on PUSCH and other collision h</w:t>
      </w:r>
      <w:r w:rsidR="0091689B" w:rsidRPr="00D22DE9">
        <w:rPr>
          <w:rFonts w:eastAsia="Microsoft YaHei"/>
          <w:lang w:eastAsia="zh-CN"/>
        </w:rPr>
        <w:t>andling rule has</w:t>
      </w:r>
      <w:r w:rsidRPr="00D22DE9">
        <w:rPr>
          <w:rFonts w:eastAsia="Microsoft YaHei"/>
          <w:lang w:eastAsia="zh-CN"/>
        </w:rPr>
        <w:t xml:space="preserve"> been discussed. </w:t>
      </w:r>
      <w:r w:rsidR="008210D1" w:rsidRPr="00D22DE9">
        <w:rPr>
          <w:rFonts w:eastAsia="Microsoft YaHei"/>
          <w:lang w:eastAsia="zh-CN"/>
        </w:rPr>
        <w:t>F</w:t>
      </w:r>
      <w:r w:rsidRPr="00D22DE9">
        <w:rPr>
          <w:rFonts w:eastAsia="Microsoft YaHei"/>
          <w:lang w:eastAsia="zh-CN"/>
        </w:rPr>
        <w:t>rom our perspective, determining PUSCH resource availability before overlapping PUCCH/PUSCH handling gives bet</w:t>
      </w:r>
      <w:r w:rsidR="0091689B" w:rsidRPr="00D22DE9">
        <w:rPr>
          <w:rFonts w:eastAsia="Microsoft YaHei"/>
          <w:lang w:eastAsia="zh-CN"/>
        </w:rPr>
        <w:t xml:space="preserve">ter chance for UCI transmission. </w:t>
      </w:r>
      <w:r w:rsidR="008210D1" w:rsidRPr="00D22DE9">
        <w:rPr>
          <w:rFonts w:eastAsia="Microsoft YaHei"/>
          <w:lang w:eastAsia="zh-CN"/>
        </w:rPr>
        <w:t>But for simplicity and</w:t>
      </w:r>
      <w:r w:rsidR="0091689B" w:rsidRPr="00D22DE9">
        <w:rPr>
          <w:rFonts w:eastAsia="Microsoft YaHei"/>
          <w:lang w:eastAsia="zh-CN"/>
        </w:rPr>
        <w:t xml:space="preserve"> minimum spec impact,</w:t>
      </w:r>
      <w:r w:rsidRPr="00D22DE9">
        <w:rPr>
          <w:rFonts w:eastAsia="Microsoft YaHei"/>
          <w:lang w:eastAsia="zh-CN"/>
        </w:rPr>
        <w:t xml:space="preserve"> existing </w:t>
      </w:r>
      <w:r w:rsidR="00A50CF9" w:rsidRPr="00D22DE9">
        <w:rPr>
          <w:rFonts w:eastAsia="Microsoft YaHei"/>
          <w:lang w:eastAsia="zh-CN"/>
        </w:rPr>
        <w:t>rules can be applied (</w:t>
      </w:r>
      <w:r w:rsidR="0091689B" w:rsidRPr="00D22DE9">
        <w:rPr>
          <w:rFonts w:eastAsia="Microsoft YaHei"/>
          <w:lang w:eastAsia="zh-CN"/>
        </w:rPr>
        <w:t>i.e., clause 9, 38.213</w:t>
      </w:r>
      <w:r w:rsidR="00A50CF9" w:rsidRPr="00D22DE9">
        <w:rPr>
          <w:rFonts w:eastAsia="Microsoft YaHei"/>
          <w:lang w:eastAsia="zh-CN"/>
        </w:rPr>
        <w:t>)</w:t>
      </w:r>
      <w:r w:rsidR="008210D1" w:rsidRPr="00D22DE9">
        <w:rPr>
          <w:rFonts w:eastAsia="Microsoft YaHei"/>
          <w:lang w:eastAsia="zh-CN"/>
        </w:rPr>
        <w:t>, which is determine SBFD specific collision handling after UE resolving overlapping PUCCH/PUSCH transmissions.</w:t>
      </w:r>
    </w:p>
    <w:p w14:paraId="5499C07D" w14:textId="3A53D1A7" w:rsidR="0091689B" w:rsidRPr="00D22DE9" w:rsidRDefault="00A50CF9" w:rsidP="008210D1">
      <w:pPr>
        <w:spacing w:before="240"/>
        <w:rPr>
          <w:rFonts w:eastAsia="Microsoft YaHei"/>
          <w:lang w:eastAsia="zh-CN"/>
        </w:rPr>
      </w:pPr>
      <w:r w:rsidRPr="00D22DE9">
        <w:rPr>
          <w:rFonts w:eastAsia="Microsoft YaHei"/>
          <w:lang w:eastAsia="zh-CN"/>
        </w:rPr>
        <w:t>According to the latest 38.213 draft CR,</w:t>
      </w:r>
      <w:r w:rsidR="0091689B" w:rsidRPr="00D22DE9">
        <w:rPr>
          <w:rFonts w:eastAsia="Microsoft YaHei"/>
          <w:lang w:eastAsia="zh-CN"/>
        </w:rPr>
        <w:t xml:space="preserve"> SBFD configuration will be specified in </w:t>
      </w:r>
      <w:r w:rsidR="0091689B" w:rsidRPr="00D22DE9">
        <w:rPr>
          <w:rFonts w:eastAsia="Microsoft YaHei"/>
          <w:i/>
          <w:lang w:eastAsia="zh-CN"/>
        </w:rPr>
        <w:t>tdd-UL-DL-ConfigurationCommon</w:t>
      </w:r>
      <w:r w:rsidR="0091689B" w:rsidRPr="00D22DE9">
        <w:rPr>
          <w:rFonts w:eastAsia="Microsoft YaHei"/>
          <w:lang w:eastAsia="zh-CN"/>
        </w:rPr>
        <w:t xml:space="preserve">, </w:t>
      </w:r>
      <w:r w:rsidR="008210D1" w:rsidRPr="00D22DE9">
        <w:rPr>
          <w:rFonts w:eastAsia="Microsoft YaHei"/>
          <w:lang w:eastAsia="zh-CN"/>
        </w:rPr>
        <w:t>thereby the SBFD specific collision handling rules</w:t>
      </w:r>
      <w:r w:rsidRPr="00D22DE9">
        <w:rPr>
          <w:rFonts w:eastAsia="Microsoft YaHei"/>
          <w:lang w:eastAsia="zh-CN"/>
        </w:rPr>
        <w:t xml:space="preserve"> will</w:t>
      </w:r>
      <w:r w:rsidR="0091689B" w:rsidRPr="00D22DE9">
        <w:rPr>
          <w:rFonts w:eastAsia="Microsoft YaHei"/>
          <w:lang w:eastAsia="zh-CN"/>
        </w:rPr>
        <w:t xml:space="preserve"> be introduced in clauses 11.1 and 11.1.1 in 38.213. </w:t>
      </w:r>
      <w:r w:rsidRPr="00D22DE9">
        <w:rPr>
          <w:rFonts w:eastAsia="Microsoft YaHei"/>
          <w:lang w:eastAsia="zh-CN"/>
        </w:rPr>
        <w:t>In this case,</w:t>
      </w:r>
      <w:r w:rsidR="0091689B" w:rsidRPr="00D22DE9">
        <w:rPr>
          <w:rFonts w:eastAsia="Microsoft YaHei"/>
          <w:lang w:eastAsia="zh-CN"/>
        </w:rPr>
        <w:t xml:space="preserve"> </w:t>
      </w:r>
      <w:r w:rsidR="008210D1" w:rsidRPr="00D22DE9">
        <w:rPr>
          <w:rFonts w:eastAsia="Microsoft YaHei"/>
          <w:lang w:eastAsia="zh-CN"/>
        </w:rPr>
        <w:t>for</w:t>
      </w:r>
      <w:r w:rsidRPr="00D22DE9">
        <w:rPr>
          <w:rFonts w:eastAsia="Microsoft YaHei"/>
          <w:lang w:eastAsia="zh-CN"/>
        </w:rPr>
        <w:t xml:space="preserve"> determining UCI multiplexing procedures</w:t>
      </w:r>
      <w:r w:rsidR="008210D1" w:rsidRPr="00D22DE9">
        <w:rPr>
          <w:rFonts w:eastAsia="Microsoft YaHei"/>
          <w:lang w:eastAsia="zh-CN"/>
        </w:rPr>
        <w:t>, existing clause (clause 9, 38.213) can be applied without any changes.</w:t>
      </w:r>
    </w:p>
    <w:p w14:paraId="41096971" w14:textId="7EFA33B8" w:rsidR="00C749AD" w:rsidRPr="00D22DE9" w:rsidRDefault="00C749AD" w:rsidP="00C749AD">
      <w:pPr>
        <w:rPr>
          <w:rFonts w:eastAsia="Microsoft YaHei"/>
          <w:lang w:eastAsia="zh-CN"/>
        </w:rPr>
      </w:pPr>
    </w:p>
    <w:tbl>
      <w:tblPr>
        <w:tblStyle w:val="TableGrid"/>
        <w:tblW w:w="0" w:type="auto"/>
        <w:tblLook w:val="04A0" w:firstRow="1" w:lastRow="0" w:firstColumn="1" w:lastColumn="0" w:noHBand="0" w:noVBand="1"/>
      </w:tblPr>
      <w:tblGrid>
        <w:gridCol w:w="9350"/>
      </w:tblGrid>
      <w:tr w:rsidR="00C749AD" w:rsidRPr="00D22DE9" w14:paraId="64AA8CCC" w14:textId="77777777" w:rsidTr="00C749AD">
        <w:tc>
          <w:tcPr>
            <w:tcW w:w="9350" w:type="dxa"/>
          </w:tcPr>
          <w:p w14:paraId="717BAE32" w14:textId="77777777" w:rsidR="00C749AD" w:rsidRPr="00D22DE9" w:rsidRDefault="00C749AD" w:rsidP="00C749AD">
            <w:pPr>
              <w:rPr>
                <w:rFonts w:eastAsia="Microsoft YaHei"/>
                <w:b/>
                <w:lang w:eastAsia="zh-CN"/>
              </w:rPr>
            </w:pPr>
            <w:r w:rsidRPr="00D22DE9">
              <w:rPr>
                <w:rFonts w:eastAsia="Microsoft YaHei"/>
                <w:b/>
                <w:lang w:eastAsia="zh-CN"/>
              </w:rPr>
              <w:t>Clause 9, 38.213</w:t>
            </w:r>
          </w:p>
          <w:p w14:paraId="30D69D71" w14:textId="77777777" w:rsidR="00C749AD" w:rsidRPr="00D22DE9" w:rsidRDefault="00C749AD" w:rsidP="00C749AD">
            <w:pPr>
              <w:rPr>
                <w:rFonts w:eastAsia="Malgun Gothic"/>
                <w:lang w:eastAsia="zh-CN"/>
              </w:rPr>
            </w:pPr>
            <w:r w:rsidRPr="00D22DE9">
              <w:rPr>
                <w:rFonts w:eastAsia="Malgun Gothic"/>
                <w:lang w:eastAsia="zh-CN"/>
              </w:rPr>
              <w:t xml:space="preserve">When a UE determines overlapping for PUCCH and/or PUSCH transmissions of the same priority index </w:t>
            </w:r>
            <w:r w:rsidRPr="00D22DE9">
              <w:rPr>
                <w:rFonts w:eastAsia="Malgun Gothic"/>
              </w:rPr>
              <w:t xml:space="preserve">other than PUCCH transmissions with SL HARQ-ACK reports </w:t>
            </w:r>
            <w:r w:rsidRPr="006919DF">
              <w:rPr>
                <w:rFonts w:eastAsia="Malgun Gothic"/>
                <w:highlight w:val="yellow"/>
              </w:rPr>
              <w:t xml:space="preserve">before considering limitations for UE transmission </w:t>
            </w:r>
            <w:r w:rsidRPr="006919DF">
              <w:rPr>
                <w:highlight w:val="yellow"/>
              </w:rPr>
              <w:t>due to cell DRX operation [11, TS 38.321] or</w:t>
            </w:r>
            <w:r w:rsidRPr="006919DF">
              <w:rPr>
                <w:rFonts w:eastAsia="Malgun Gothic"/>
                <w:highlight w:val="yellow"/>
              </w:rPr>
              <w:t xml:space="preserve"> as described in clauses 11.1,</w:t>
            </w:r>
            <w:r w:rsidRPr="006919DF">
              <w:rPr>
                <w:rFonts w:eastAsia="Malgun Gothic"/>
                <w:highlight w:val="yellow"/>
                <w:lang w:eastAsia="zh-CN"/>
              </w:rPr>
              <w:t xml:space="preserve"> 11.1.1, 11.2A</w:t>
            </w:r>
            <w:r w:rsidRPr="006919DF">
              <w:rPr>
                <w:highlight w:val="yellow"/>
                <w:lang w:eastAsia="zh-CN"/>
              </w:rPr>
              <w:t>, 15</w:t>
            </w:r>
            <w:r w:rsidRPr="006919DF">
              <w:rPr>
                <w:rFonts w:eastAsia="Malgun Gothic"/>
                <w:highlight w:val="yellow"/>
                <w:lang w:eastAsia="zh-CN"/>
              </w:rPr>
              <w:t xml:space="preserve"> </w:t>
            </w:r>
            <w:r w:rsidRPr="006919DF">
              <w:rPr>
                <w:highlight w:val="yellow"/>
                <w:lang w:eastAsia="zh-CN"/>
              </w:rPr>
              <w:t xml:space="preserve">and 17.2 </w:t>
            </w:r>
            <w:r w:rsidRPr="006919DF">
              <w:rPr>
                <w:rFonts w:eastAsia="Malgun Gothic"/>
                <w:highlight w:val="yellow"/>
                <w:lang w:eastAsia="zh-CN"/>
              </w:rPr>
              <w:t>including repetitions if any,</w:t>
            </w:r>
            <w:r w:rsidRPr="006919DF">
              <w:rPr>
                <w:rFonts w:eastAsia="Malgun Gothic"/>
                <w:lang w:eastAsia="zh-CN"/>
              </w:rPr>
              <w:t xml:space="preserve"> </w:t>
            </w:r>
          </w:p>
          <w:p w14:paraId="3462B378" w14:textId="77777777" w:rsidR="00C749AD" w:rsidRPr="00D22DE9" w:rsidRDefault="00C749AD" w:rsidP="00C749AD">
            <w:pPr>
              <w:pStyle w:val="ListParagraph"/>
              <w:numPr>
                <w:ilvl w:val="0"/>
                <w:numId w:val="36"/>
              </w:numPr>
              <w:spacing w:after="0"/>
              <w:rPr>
                <w:rFonts w:ascii="Times New Roman" w:eastAsia="Malgun Gothic" w:hAnsi="Times New Roman" w:cs="Times New Roman"/>
                <w:lang w:eastAsia="zh-CN"/>
              </w:rPr>
            </w:pPr>
            <w:r w:rsidRPr="00D22DE9">
              <w:rPr>
                <w:rFonts w:ascii="Times New Roman" w:eastAsia="Malgun Gothic" w:hAnsi="Times New Roman" w:cs="Times New Roman"/>
                <w:lang w:val="en-GB" w:eastAsia="zh-CN"/>
              </w:rPr>
              <w:lastRenderedPageBreak/>
              <w:t xml:space="preserve">first, </w:t>
            </w:r>
            <w:r w:rsidRPr="00D22DE9">
              <w:rPr>
                <w:rFonts w:ascii="Times New Roman" w:eastAsia="Malgun Gothic" w:hAnsi="Times New Roman" w:cs="Times New Roman"/>
                <w:lang w:eastAsia="zh-CN"/>
              </w:rPr>
              <w:t>the UE resolves the overlapping for PUCCHs with repetitions as described in clause 9.2.6, if any</w:t>
            </w:r>
          </w:p>
          <w:p w14:paraId="498BDE02" w14:textId="77777777" w:rsidR="00C749AD" w:rsidRPr="00D22DE9" w:rsidRDefault="00C749AD" w:rsidP="00C749AD">
            <w:pPr>
              <w:pStyle w:val="ListParagraph"/>
              <w:numPr>
                <w:ilvl w:val="0"/>
                <w:numId w:val="36"/>
              </w:numPr>
              <w:spacing w:after="0"/>
              <w:rPr>
                <w:rFonts w:ascii="Times New Roman" w:eastAsia="Malgun Gothic" w:hAnsi="Times New Roman" w:cs="Times New Roman"/>
                <w:lang w:eastAsia="zh-CN"/>
              </w:rPr>
            </w:pPr>
            <w:r w:rsidRPr="00D22DE9">
              <w:rPr>
                <w:rFonts w:ascii="Times New Roman" w:eastAsia="Malgun Gothic" w:hAnsi="Times New Roman" w:cs="Times New Roman"/>
                <w:lang w:val="en-GB" w:eastAsia="zh-CN"/>
              </w:rPr>
              <w:t xml:space="preserve">second, </w:t>
            </w:r>
            <w:r w:rsidRPr="00D22DE9">
              <w:rPr>
                <w:rFonts w:ascii="Times New Roman" w:eastAsia="Malgun Gothic" w:hAnsi="Times New Roman" w:cs="Times New Roman"/>
                <w:lang w:eastAsia="zh-CN"/>
              </w:rPr>
              <w:t>the UE resolves the overlapping for PUCCHs without repetitions as described in clauses 9.2.5</w:t>
            </w:r>
          </w:p>
          <w:p w14:paraId="15D0BD48" w14:textId="77777777" w:rsidR="00C749AD" w:rsidRPr="00D22DE9" w:rsidRDefault="00C749AD" w:rsidP="00C749AD">
            <w:pPr>
              <w:pStyle w:val="ListParagraph"/>
              <w:numPr>
                <w:ilvl w:val="0"/>
                <w:numId w:val="36"/>
              </w:numPr>
              <w:spacing w:after="0"/>
              <w:rPr>
                <w:rFonts w:ascii="Times New Roman" w:eastAsia="Malgun Gothic" w:hAnsi="Times New Roman" w:cs="Times New Roman"/>
                <w:lang w:eastAsia="zh-CN"/>
              </w:rPr>
            </w:pPr>
            <w:r w:rsidRPr="00D22DE9">
              <w:rPr>
                <w:rFonts w:ascii="Times New Roman" w:eastAsia="Malgun Gothic" w:hAnsi="Times New Roman" w:cs="Times New Roman"/>
                <w:lang w:val="en-GB" w:eastAsia="zh-CN"/>
              </w:rPr>
              <w:t xml:space="preserve">third, </w:t>
            </w:r>
            <w:r w:rsidRPr="00D22DE9">
              <w:rPr>
                <w:rFonts w:ascii="Times New Roman" w:eastAsia="Malgun Gothic" w:hAnsi="Times New Roman" w:cs="Times New Roman"/>
                <w:lang w:eastAsia="zh-CN"/>
              </w:rPr>
              <w:t>the UE resolves the overlapping for PUSCHs and PUCCHs with repetitions as described in clause 9.2.6</w:t>
            </w:r>
          </w:p>
          <w:p w14:paraId="0246795D" w14:textId="1657A4DD" w:rsidR="00C749AD" w:rsidRPr="00D22DE9" w:rsidRDefault="00C749AD" w:rsidP="00C749AD">
            <w:pPr>
              <w:pStyle w:val="B1"/>
              <w:numPr>
                <w:ilvl w:val="0"/>
                <w:numId w:val="36"/>
              </w:numPr>
              <w:rPr>
                <w:rFonts w:ascii="Times New Roman" w:hAnsi="Times New Roman" w:cs="Times New Roman"/>
                <w:lang w:eastAsia="zh-CN"/>
              </w:rPr>
            </w:pPr>
            <w:r w:rsidRPr="00D22DE9">
              <w:rPr>
                <w:rFonts w:ascii="Times New Roman" w:hAnsi="Times New Roman" w:cs="Times New Roman"/>
                <w:lang w:eastAsia="zh-CN"/>
              </w:rPr>
              <w:t>fourth, the UE resolves the overlapping for PUSCHs and PUCCHs without repetitions as is subsequently described in this clause</w:t>
            </w:r>
            <w:r w:rsidRPr="00D22DE9">
              <w:rPr>
                <w:rFonts w:ascii="Times New Roman" w:hAnsi="Times New Roman" w:cs="Times New Roman"/>
                <w:lang w:val="en-GB" w:eastAsia="zh-CN"/>
              </w:rPr>
              <w:t>.</w:t>
            </w:r>
          </w:p>
        </w:tc>
      </w:tr>
    </w:tbl>
    <w:p w14:paraId="1431883C" w14:textId="06DA8AF2" w:rsidR="00D22DE9" w:rsidRPr="00D22DE9" w:rsidRDefault="00A50CF9" w:rsidP="008210D1">
      <w:pPr>
        <w:spacing w:before="240" w:after="240"/>
      </w:pPr>
      <w:r w:rsidRPr="00D22DE9">
        <w:rPr>
          <w:b/>
        </w:rPr>
        <w:lastRenderedPageBreak/>
        <w:t>Observation</w:t>
      </w:r>
      <w:r w:rsidR="001C4C6D">
        <w:rPr>
          <w:b/>
        </w:rPr>
        <w:t xml:space="preserve"> 1</w:t>
      </w:r>
      <w:r w:rsidR="00FE0BA8">
        <w:rPr>
          <w:b/>
        </w:rPr>
        <w:t>: W</w:t>
      </w:r>
      <w:r w:rsidR="009C45D8" w:rsidRPr="00FE0BA8">
        <w:rPr>
          <w:b/>
        </w:rPr>
        <w:t>ith no</w:t>
      </w:r>
      <w:r w:rsidR="008210D1" w:rsidRPr="00FE0BA8">
        <w:rPr>
          <w:b/>
        </w:rPr>
        <w:t xml:space="preserve"> </w:t>
      </w:r>
      <w:r w:rsidRPr="00FE0BA8">
        <w:rPr>
          <w:b/>
        </w:rPr>
        <w:t>agree</w:t>
      </w:r>
      <w:r w:rsidR="009C45D8" w:rsidRPr="00FE0BA8">
        <w:rPr>
          <w:b/>
        </w:rPr>
        <w:t>ment on the order between</w:t>
      </w:r>
      <w:r w:rsidRPr="00FE0BA8">
        <w:rPr>
          <w:b/>
        </w:rPr>
        <w:t xml:space="preserve"> UCI multiplexing procedures and collision handling rule</w:t>
      </w:r>
      <w:r w:rsidR="008210D1" w:rsidRPr="00FE0BA8">
        <w:rPr>
          <w:b/>
        </w:rPr>
        <w:t>s, SBFD specific collision handling will be applied after UE resolving PUCCH/PUSCH overlapping transmissions</w:t>
      </w:r>
      <w:r w:rsidR="009C45D8" w:rsidRPr="00FE0BA8">
        <w:rPr>
          <w:b/>
        </w:rPr>
        <w:t xml:space="preserve"> according to the existing specifications</w:t>
      </w:r>
      <w:r w:rsidR="008210D1" w:rsidRPr="00FE0BA8">
        <w:rPr>
          <w:b/>
        </w:rPr>
        <w:t>.</w:t>
      </w:r>
    </w:p>
    <w:p w14:paraId="724A2CBD" w14:textId="26505E12" w:rsidR="00C749AD" w:rsidRPr="006919DF" w:rsidRDefault="00D22DE9" w:rsidP="006919DF">
      <w:pPr>
        <w:pStyle w:val="Heading3"/>
        <w:numPr>
          <w:ilvl w:val="2"/>
          <w:numId w:val="37"/>
        </w:numPr>
        <w:rPr>
          <w:rFonts w:ascii="Times New Roman" w:hAnsi="Times New Roman"/>
        </w:rPr>
      </w:pPr>
      <w:r w:rsidRPr="006919DF">
        <w:rPr>
          <w:rFonts w:ascii="Times New Roman" w:hAnsi="Times New Roman"/>
        </w:rPr>
        <w:t>Half-duplex CA</w:t>
      </w:r>
    </w:p>
    <w:tbl>
      <w:tblPr>
        <w:tblStyle w:val="TableGrid"/>
        <w:tblW w:w="0" w:type="auto"/>
        <w:tblLook w:val="04A0" w:firstRow="1" w:lastRow="0" w:firstColumn="1" w:lastColumn="0" w:noHBand="0" w:noVBand="1"/>
      </w:tblPr>
      <w:tblGrid>
        <w:gridCol w:w="9350"/>
      </w:tblGrid>
      <w:tr w:rsidR="006B7D71" w:rsidRPr="00D22DE9" w14:paraId="2F4EADA8" w14:textId="77777777" w:rsidTr="006B7D71">
        <w:tc>
          <w:tcPr>
            <w:tcW w:w="9350" w:type="dxa"/>
          </w:tcPr>
          <w:p w14:paraId="7868E2B7" w14:textId="0A9F6AB3" w:rsidR="006B7D71" w:rsidRPr="00D22DE9" w:rsidRDefault="006B7D71" w:rsidP="008210D1">
            <w:pPr>
              <w:rPr>
                <w:rFonts w:eastAsiaTheme="minorEastAsia"/>
                <w:b/>
              </w:rPr>
            </w:pPr>
            <w:r w:rsidRPr="00D22DE9">
              <w:rPr>
                <w:rFonts w:eastAsiaTheme="minorEastAsia"/>
                <w:b/>
              </w:rPr>
              <w:t>FL’s proposal 3-2</w:t>
            </w:r>
          </w:p>
          <w:p w14:paraId="55A17D3F" w14:textId="09B25FE0" w:rsidR="006B7D71" w:rsidRPr="00D22DE9" w:rsidRDefault="006B7D71" w:rsidP="006B7D71">
            <w:pPr>
              <w:rPr>
                <w:rFonts w:eastAsiaTheme="minorEastAsia"/>
              </w:rPr>
            </w:pPr>
            <w:r w:rsidRPr="00D22DE9">
              <w:t xml:space="preserve">For SBFD operation in half-duplex CA scenario, the existing </w:t>
            </w:r>
            <w:r w:rsidRPr="00D22DE9">
              <w:rPr>
                <w:rFonts w:eastAsiaTheme="minorEastAsia"/>
              </w:rPr>
              <w:t>directional collision handling for half-duplex TDD CA is reused by treating SB</w:t>
            </w:r>
            <w:r w:rsidR="008210D1" w:rsidRPr="00D22DE9">
              <w:rPr>
                <w:rFonts w:eastAsiaTheme="minorEastAsia"/>
              </w:rPr>
              <w:t>FD symbols as flexible symbols.</w:t>
            </w:r>
          </w:p>
        </w:tc>
      </w:tr>
    </w:tbl>
    <w:p w14:paraId="6474572E" w14:textId="5B3E3B82" w:rsidR="00381F79" w:rsidRDefault="00D22DE9" w:rsidP="00D22DE9">
      <w:pPr>
        <w:spacing w:before="240"/>
      </w:pPr>
      <w:r>
        <w:t xml:space="preserve">Regarding half-duplex CA, where </w:t>
      </w:r>
      <w:r w:rsidR="00381F79">
        <w:t xml:space="preserve">a </w:t>
      </w:r>
      <w:r>
        <w:t xml:space="preserve">UE can be configured with multiple TDD </w:t>
      </w:r>
      <w:r w:rsidR="00381F79">
        <w:t xml:space="preserve">band </w:t>
      </w:r>
      <w:r>
        <w:t xml:space="preserve">cells with different TDD </w:t>
      </w:r>
      <w:r w:rsidR="00381F79">
        <w:t xml:space="preserve">UL/DL configurations. From our perspective, it provides </w:t>
      </w:r>
      <w:r w:rsidR="009D28B9">
        <w:t xml:space="preserve">a </w:t>
      </w:r>
      <w:r w:rsidR="00381F79">
        <w:t>similar functionality to SBFD. In this regard, if a UE already has sufficient UL resources from TDD CA, the necessity of configuring SBFD to the UE is redundant.</w:t>
      </w:r>
    </w:p>
    <w:p w14:paraId="705348FE" w14:textId="494992A6" w:rsidR="006B7D71" w:rsidRPr="00D22DE9" w:rsidRDefault="00381F79" w:rsidP="00D22DE9">
      <w:pPr>
        <w:spacing w:before="240"/>
      </w:pPr>
      <w:r w:rsidRPr="00381F79">
        <w:rPr>
          <w:b/>
        </w:rPr>
        <w:t>Observation</w:t>
      </w:r>
      <w:r w:rsidR="001C4C6D">
        <w:rPr>
          <w:b/>
        </w:rPr>
        <w:t xml:space="preserve"> 2</w:t>
      </w:r>
      <w:r w:rsidRPr="00FE0BA8">
        <w:rPr>
          <w:b/>
        </w:rPr>
        <w:t xml:space="preserve">: </w:t>
      </w:r>
      <w:r w:rsidR="00FE0BA8">
        <w:rPr>
          <w:b/>
        </w:rPr>
        <w:t>I</w:t>
      </w:r>
      <w:r w:rsidR="009D28B9" w:rsidRPr="00FE0BA8">
        <w:rPr>
          <w:b/>
        </w:rPr>
        <w:t>f a UE already has sufficient UL resources from TDD CA, the</w:t>
      </w:r>
      <w:r w:rsidR="00FE0BA8">
        <w:rPr>
          <w:b/>
        </w:rPr>
        <w:t>re is no need to configure SBFD to the UE</w:t>
      </w:r>
      <w:r w:rsidR="009D28B9" w:rsidRPr="00FE0BA8">
        <w:rPr>
          <w:b/>
        </w:rPr>
        <w:t>.</w:t>
      </w:r>
    </w:p>
    <w:p w14:paraId="43ED3623" w14:textId="66353403" w:rsidR="005050CD" w:rsidRPr="00D22DE9" w:rsidRDefault="00EE036A" w:rsidP="005050CD">
      <w:pPr>
        <w:pStyle w:val="Heading1"/>
        <w:jc w:val="both"/>
        <w:rPr>
          <w:rFonts w:ascii="Times New Roman" w:hAnsi="Times New Roman"/>
          <w:lang w:val="en-US" w:eastAsia="zh-TW"/>
        </w:rPr>
      </w:pPr>
      <w:r w:rsidRPr="00D22DE9">
        <w:rPr>
          <w:rFonts w:ascii="Times New Roman" w:hAnsi="Times New Roman"/>
          <w:lang w:val="en-US" w:eastAsia="zh-TW"/>
        </w:rPr>
        <w:t>Conclusion</w:t>
      </w:r>
    </w:p>
    <w:p w14:paraId="3F861B42" w14:textId="0627B62D" w:rsidR="001C4C6D" w:rsidRPr="00D22DE9" w:rsidRDefault="001C4C6D" w:rsidP="001C4C6D">
      <w:pPr>
        <w:spacing w:before="240" w:after="240"/>
      </w:pPr>
      <w:r w:rsidRPr="00D22DE9">
        <w:rPr>
          <w:b/>
        </w:rPr>
        <w:t>Observation</w:t>
      </w:r>
      <w:r>
        <w:rPr>
          <w:b/>
        </w:rPr>
        <w:t xml:space="preserve"> 1</w:t>
      </w:r>
      <w:r w:rsidR="0046453A">
        <w:rPr>
          <w:b/>
        </w:rPr>
        <w:t>: W</w:t>
      </w:r>
      <w:r w:rsidRPr="00FE0BA8">
        <w:rPr>
          <w:b/>
        </w:rPr>
        <w:t>ith no agreement on the order between UCI multiplexing procedures and collision handling rules, SBFD specific collisi</w:t>
      </w:r>
      <w:bookmarkStart w:id="2" w:name="_GoBack"/>
      <w:bookmarkEnd w:id="2"/>
      <w:r w:rsidRPr="00FE0BA8">
        <w:rPr>
          <w:b/>
        </w:rPr>
        <w:t>on handling will be applied after UE resolving PUCCH/PUSCH overlapping transmissions according to the existing specifications.</w:t>
      </w:r>
    </w:p>
    <w:p w14:paraId="58F3C801" w14:textId="77777777" w:rsidR="00FE0BA8" w:rsidRPr="00D22DE9" w:rsidRDefault="00FE0BA8" w:rsidP="00FE0BA8">
      <w:pPr>
        <w:spacing w:before="240"/>
      </w:pPr>
      <w:r w:rsidRPr="00381F79">
        <w:rPr>
          <w:b/>
        </w:rPr>
        <w:t>Observation</w:t>
      </w:r>
      <w:r>
        <w:rPr>
          <w:b/>
        </w:rPr>
        <w:t xml:space="preserve"> 2</w:t>
      </w:r>
      <w:r w:rsidRPr="00FE0BA8">
        <w:rPr>
          <w:b/>
        </w:rPr>
        <w:t xml:space="preserve">: </w:t>
      </w:r>
      <w:r>
        <w:rPr>
          <w:b/>
        </w:rPr>
        <w:t>I</w:t>
      </w:r>
      <w:r w:rsidRPr="00FE0BA8">
        <w:rPr>
          <w:b/>
        </w:rPr>
        <w:t>f a UE already has sufficient UL resources from TDD CA, the</w:t>
      </w:r>
      <w:r>
        <w:rPr>
          <w:b/>
        </w:rPr>
        <w:t>re is no need to configure SBFD to the UE</w:t>
      </w:r>
      <w:r w:rsidRPr="00FE0BA8">
        <w:rPr>
          <w:b/>
        </w:rPr>
        <w:t>.</w:t>
      </w:r>
    </w:p>
    <w:p w14:paraId="40F687A2" w14:textId="3BA8AB4F" w:rsidR="00EE036A" w:rsidRPr="00D22DE9" w:rsidRDefault="00EE036A" w:rsidP="00EE036A">
      <w:pPr>
        <w:pStyle w:val="Heading1"/>
        <w:jc w:val="both"/>
        <w:rPr>
          <w:rFonts w:ascii="Times New Roman" w:hAnsi="Times New Roman"/>
          <w:lang w:val="en-US" w:eastAsia="zh-TW"/>
        </w:rPr>
      </w:pPr>
      <w:r w:rsidRPr="00D22DE9">
        <w:rPr>
          <w:rFonts w:ascii="Times New Roman" w:hAnsi="Times New Roman"/>
          <w:lang w:val="en-US" w:eastAsia="zh-TW"/>
        </w:rPr>
        <w:t>References</w:t>
      </w:r>
    </w:p>
    <w:p w14:paraId="10C128FB" w14:textId="3216BA31" w:rsidR="006122C0" w:rsidRPr="001C4C6D" w:rsidRDefault="006122C0" w:rsidP="001C4C6D">
      <w:pPr>
        <w:pStyle w:val="ListParagraph"/>
        <w:numPr>
          <w:ilvl w:val="0"/>
          <w:numId w:val="21"/>
        </w:numPr>
        <w:rPr>
          <w:rFonts w:ascii="Times New Roman" w:hAnsi="Times New Roman" w:cs="Times New Roman"/>
          <w:sz w:val="22"/>
          <w:szCs w:val="22"/>
          <w:lang w:val="en-US"/>
        </w:rPr>
      </w:pPr>
      <w:r w:rsidRPr="00D22DE9">
        <w:rPr>
          <w:rFonts w:ascii="Times New Roman" w:hAnsi="Times New Roman" w:cs="Times New Roman"/>
          <w:sz w:val="22"/>
          <w:szCs w:val="22"/>
        </w:rPr>
        <w:t>“Draft</w:t>
      </w:r>
      <w:r w:rsidR="001C4C6D">
        <w:rPr>
          <w:rFonts w:ascii="Times New Roman" w:hAnsi="Times New Roman" w:cs="Times New Roman"/>
          <w:sz w:val="22"/>
          <w:szCs w:val="22"/>
        </w:rPr>
        <w:t xml:space="preserve"> Report of 3GPP TSG RAN WG1 </w:t>
      </w:r>
      <w:r w:rsidR="001C4C6D" w:rsidRPr="001C4C6D">
        <w:rPr>
          <w:rFonts w:ascii="Times New Roman" w:hAnsi="Times New Roman" w:cs="Times New Roman"/>
          <w:sz w:val="22"/>
          <w:szCs w:val="22"/>
          <w:lang w:val="en-US"/>
        </w:rPr>
        <w:t>#120bis v0.1.0</w:t>
      </w:r>
      <w:r w:rsidR="001C4C6D">
        <w:rPr>
          <w:rFonts w:ascii="Times New Roman" w:hAnsi="Times New Roman" w:cs="Times New Roman"/>
          <w:sz w:val="22"/>
          <w:szCs w:val="22"/>
          <w:lang w:val="en-US"/>
        </w:rPr>
        <w:t xml:space="preserve">, </w:t>
      </w:r>
      <w:r w:rsidR="001C4C6D" w:rsidRPr="001C4C6D">
        <w:rPr>
          <w:rFonts w:ascii="Times New Roman" w:hAnsi="Times New Roman" w:cs="Times New Roman"/>
          <w:sz w:val="22"/>
          <w:szCs w:val="22"/>
          <w:lang w:val="en-US"/>
        </w:rPr>
        <w:t>Wuhan,</w:t>
      </w:r>
      <w:r w:rsidR="001C4C6D">
        <w:rPr>
          <w:rFonts w:ascii="Times New Roman" w:hAnsi="Times New Roman" w:cs="Times New Roman"/>
          <w:sz w:val="22"/>
          <w:szCs w:val="22"/>
          <w:lang w:val="en-US"/>
        </w:rPr>
        <w:t xml:space="preserve"> China, April 07th – 11th, 2025</w:t>
      </w:r>
    </w:p>
    <w:p w14:paraId="50C0D53B" w14:textId="4B7C078C" w:rsidR="006122C0" w:rsidRPr="00D22DE9" w:rsidRDefault="001C4C6D" w:rsidP="00BE01CE">
      <w:pPr>
        <w:pStyle w:val="ListParagraph"/>
        <w:numPr>
          <w:ilvl w:val="0"/>
          <w:numId w:val="21"/>
        </w:numPr>
        <w:spacing w:after="0" w:line="240" w:lineRule="auto"/>
        <w:contextualSpacing w:val="0"/>
        <w:rPr>
          <w:rFonts w:ascii="Times New Roman" w:hAnsi="Times New Roman" w:cs="Times New Roman"/>
          <w:sz w:val="22"/>
          <w:szCs w:val="22"/>
        </w:rPr>
      </w:pPr>
      <w:r>
        <w:rPr>
          <w:rFonts w:ascii="Times New Roman" w:eastAsia="MS Mincho" w:hAnsi="Times New Roman" w:cs="Times New Roman"/>
          <w:sz w:val="22"/>
          <w:szCs w:val="22"/>
        </w:rPr>
        <w:t>R1-250</w:t>
      </w:r>
      <w:r>
        <w:rPr>
          <w:rFonts w:ascii="Times New Roman" w:eastAsia="MS Mincho" w:hAnsi="Times New Roman" w:cs="Times New Roman"/>
          <w:sz w:val="22"/>
          <w:szCs w:val="22"/>
          <w:lang w:val="en-US"/>
        </w:rPr>
        <w:t>2799</w:t>
      </w:r>
      <w:r w:rsidR="006122C0" w:rsidRPr="00D22DE9">
        <w:rPr>
          <w:rFonts w:ascii="Times New Roman" w:hAnsi="Times New Roman" w:cs="Times New Roman"/>
          <w:sz w:val="22"/>
          <w:szCs w:val="22"/>
        </w:rPr>
        <w:t xml:space="preserve">, “ </w:t>
      </w:r>
      <w:r>
        <w:rPr>
          <w:rFonts w:ascii="Times New Roman" w:hAnsi="Times New Roman" w:cs="Times New Roman"/>
          <w:sz w:val="22"/>
          <w:szCs w:val="22"/>
          <w:lang w:val="en-US"/>
        </w:rPr>
        <w:t>Summary #2</w:t>
      </w:r>
      <w:r w:rsidR="006122C0" w:rsidRPr="00D22DE9">
        <w:rPr>
          <w:rFonts w:ascii="Times New Roman" w:hAnsi="Times New Roman" w:cs="Times New Roman"/>
          <w:sz w:val="22"/>
          <w:szCs w:val="22"/>
          <w:lang w:val="en-US"/>
        </w:rPr>
        <w:t xml:space="preserve"> of SBFD TX/RX/measurement procedures</w:t>
      </w:r>
      <w:r w:rsidR="006122C0" w:rsidRPr="00D22DE9">
        <w:rPr>
          <w:rFonts w:ascii="Times New Roman" w:hAnsi="Times New Roman" w:cs="Times New Roman"/>
          <w:sz w:val="22"/>
          <w:szCs w:val="22"/>
        </w:rPr>
        <w:t>,” Moderator (</w:t>
      </w:r>
      <w:r w:rsidR="00BE01CE" w:rsidRPr="00D22DE9">
        <w:rPr>
          <w:rFonts w:ascii="Times New Roman" w:hAnsi="Times New Roman" w:cs="Times New Roman"/>
          <w:sz w:val="22"/>
          <w:szCs w:val="22"/>
          <w:lang w:val="en-US"/>
        </w:rPr>
        <w:t>Xiaomi</w:t>
      </w:r>
      <w:r w:rsidR="006122C0" w:rsidRPr="00D22DE9">
        <w:rPr>
          <w:rFonts w:ascii="Times New Roman" w:hAnsi="Times New Roman" w:cs="Times New Roman"/>
          <w:sz w:val="22"/>
          <w:szCs w:val="22"/>
        </w:rPr>
        <w:t xml:space="preserve">), </w:t>
      </w:r>
      <w:r w:rsidR="00BE01CE" w:rsidRPr="00D22DE9">
        <w:rPr>
          <w:rFonts w:ascii="Times New Roman" w:hAnsi="Times New Roman" w:cs="Times New Roman"/>
        </w:rPr>
        <w:t xml:space="preserve"> </w:t>
      </w:r>
      <w:r w:rsidRPr="001C4C6D">
        <w:rPr>
          <w:rFonts w:ascii="Times New Roman" w:hAnsi="Times New Roman" w:cs="Times New Roman"/>
          <w:sz w:val="22"/>
          <w:szCs w:val="22"/>
          <w:lang w:val="en-US"/>
        </w:rPr>
        <w:t>Wuhan,</w:t>
      </w:r>
      <w:r>
        <w:rPr>
          <w:rFonts w:ascii="Times New Roman" w:hAnsi="Times New Roman" w:cs="Times New Roman"/>
          <w:sz w:val="22"/>
          <w:szCs w:val="22"/>
          <w:lang w:val="en-US"/>
        </w:rPr>
        <w:t xml:space="preserve"> China, April 07th – 11th, 2025</w:t>
      </w:r>
    </w:p>
    <w:sectPr w:rsidR="006122C0" w:rsidRPr="00D22D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0165C" w14:textId="77777777" w:rsidR="00087677" w:rsidRDefault="00087677" w:rsidP="00D34245">
      <w:r>
        <w:separator/>
      </w:r>
    </w:p>
  </w:endnote>
  <w:endnote w:type="continuationSeparator" w:id="0">
    <w:p w14:paraId="4DE3AC36" w14:textId="77777777" w:rsidR="00087677" w:rsidRDefault="00087677"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81EC1" w14:textId="77777777" w:rsidR="00087677" w:rsidRDefault="00087677" w:rsidP="00D34245">
      <w:r>
        <w:separator/>
      </w:r>
    </w:p>
  </w:footnote>
  <w:footnote w:type="continuationSeparator" w:id="0">
    <w:p w14:paraId="7E58CB11" w14:textId="77777777" w:rsidR="00087677" w:rsidRDefault="00087677"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31"/>
  </w:num>
  <w:num w:numId="5">
    <w:abstractNumId w:val="16"/>
  </w:num>
  <w:num w:numId="6">
    <w:abstractNumId w:val="12"/>
  </w:num>
  <w:num w:numId="7">
    <w:abstractNumId w:val="25"/>
  </w:num>
  <w:num w:numId="8">
    <w:abstractNumId w:val="21"/>
  </w:num>
  <w:num w:numId="9">
    <w:abstractNumId w:val="6"/>
  </w:num>
  <w:num w:numId="10">
    <w:abstractNumId w:val="23"/>
  </w:num>
  <w:num w:numId="11">
    <w:abstractNumId w:val="27"/>
  </w:num>
  <w:num w:numId="12">
    <w:abstractNumId w:val="13"/>
  </w:num>
  <w:num w:numId="13">
    <w:abstractNumId w:val="26"/>
  </w:num>
  <w:num w:numId="14">
    <w:abstractNumId w:val="35"/>
  </w:num>
  <w:num w:numId="15">
    <w:abstractNumId w:val="14"/>
  </w:num>
  <w:num w:numId="16">
    <w:abstractNumId w:val="7"/>
  </w:num>
  <w:num w:numId="17">
    <w:abstractNumId w:val="17"/>
  </w:num>
  <w:num w:numId="18">
    <w:abstractNumId w:val="30"/>
  </w:num>
  <w:num w:numId="19">
    <w:abstractNumId w:val="0"/>
  </w:num>
  <w:num w:numId="20">
    <w:abstractNumId w:val="1"/>
  </w:num>
  <w:num w:numId="21">
    <w:abstractNumId w:val="18"/>
  </w:num>
  <w:num w:numId="22">
    <w:abstractNumId w:val="4"/>
  </w:num>
  <w:num w:numId="23">
    <w:abstractNumId w:val="29"/>
  </w:num>
  <w:num w:numId="24">
    <w:abstractNumId w:val="33"/>
  </w:num>
  <w:num w:numId="25">
    <w:abstractNumId w:val="20"/>
  </w:num>
  <w:num w:numId="26">
    <w:abstractNumId w:val="2"/>
  </w:num>
  <w:num w:numId="27">
    <w:abstractNumId w:val="9"/>
  </w:num>
  <w:num w:numId="28">
    <w:abstractNumId w:val="15"/>
  </w:num>
  <w:num w:numId="29">
    <w:abstractNumId w:val="32"/>
  </w:num>
  <w:num w:numId="30">
    <w:abstractNumId w:val="34"/>
  </w:num>
  <w:num w:numId="31">
    <w:abstractNumId w:val="11"/>
  </w:num>
  <w:num w:numId="32">
    <w:abstractNumId w:val="22"/>
  </w:num>
  <w:num w:numId="33">
    <w:abstractNumId w:val="24"/>
  </w:num>
  <w:num w:numId="34">
    <w:abstractNumId w:val="19"/>
  </w:num>
  <w:num w:numId="35">
    <w:abstractNumId w:val="10"/>
  </w:num>
  <w:num w:numId="36">
    <w:abstractNumId w:val="28"/>
  </w:num>
  <w:num w:numId="37">
    <w:abstractNumId w:val="8"/>
    <w:lvlOverride w:ilvl="0">
      <w:startOverride w:val="2"/>
    </w:lvlOverride>
    <w:lvlOverride w:ilvl="1">
      <w:startOverride w:val="1"/>
    </w:lvlOverride>
    <w:lvlOverride w:ilvl="2">
      <w:startOverride w:val="2"/>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30BF"/>
    <w:rsid w:val="00034069"/>
    <w:rsid w:val="00036529"/>
    <w:rsid w:val="00041F11"/>
    <w:rsid w:val="00044B2C"/>
    <w:rsid w:val="00046B42"/>
    <w:rsid w:val="00051F2E"/>
    <w:rsid w:val="00052596"/>
    <w:rsid w:val="000563D2"/>
    <w:rsid w:val="00060B13"/>
    <w:rsid w:val="000620FC"/>
    <w:rsid w:val="00062ADD"/>
    <w:rsid w:val="000668B8"/>
    <w:rsid w:val="0006752F"/>
    <w:rsid w:val="00071183"/>
    <w:rsid w:val="00074C87"/>
    <w:rsid w:val="00074D16"/>
    <w:rsid w:val="00075F9E"/>
    <w:rsid w:val="000801A4"/>
    <w:rsid w:val="0008065C"/>
    <w:rsid w:val="0008081D"/>
    <w:rsid w:val="0008168A"/>
    <w:rsid w:val="00082880"/>
    <w:rsid w:val="00087677"/>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CF1"/>
    <w:rsid w:val="0014619C"/>
    <w:rsid w:val="00154337"/>
    <w:rsid w:val="00165976"/>
    <w:rsid w:val="00165EB4"/>
    <w:rsid w:val="001666DC"/>
    <w:rsid w:val="001803BF"/>
    <w:rsid w:val="00180692"/>
    <w:rsid w:val="00180900"/>
    <w:rsid w:val="001847F1"/>
    <w:rsid w:val="001862B5"/>
    <w:rsid w:val="00190600"/>
    <w:rsid w:val="001921EC"/>
    <w:rsid w:val="0019252E"/>
    <w:rsid w:val="001A0291"/>
    <w:rsid w:val="001A49C7"/>
    <w:rsid w:val="001A7652"/>
    <w:rsid w:val="001B328E"/>
    <w:rsid w:val="001B52C2"/>
    <w:rsid w:val="001C170D"/>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BD1"/>
    <w:rsid w:val="00251C5F"/>
    <w:rsid w:val="002521E6"/>
    <w:rsid w:val="002530C9"/>
    <w:rsid w:val="00254905"/>
    <w:rsid w:val="00257A75"/>
    <w:rsid w:val="00257C1E"/>
    <w:rsid w:val="00263B46"/>
    <w:rsid w:val="00263B6B"/>
    <w:rsid w:val="00263DDB"/>
    <w:rsid w:val="00266169"/>
    <w:rsid w:val="00270AF4"/>
    <w:rsid w:val="002718D6"/>
    <w:rsid w:val="0027233B"/>
    <w:rsid w:val="002738C8"/>
    <w:rsid w:val="00275ECE"/>
    <w:rsid w:val="0027759C"/>
    <w:rsid w:val="00286571"/>
    <w:rsid w:val="00286708"/>
    <w:rsid w:val="00287534"/>
    <w:rsid w:val="002A1594"/>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67E7"/>
    <w:rsid w:val="003078BA"/>
    <w:rsid w:val="003134D8"/>
    <w:rsid w:val="00317878"/>
    <w:rsid w:val="00330C5E"/>
    <w:rsid w:val="00331E7B"/>
    <w:rsid w:val="00332062"/>
    <w:rsid w:val="003323D0"/>
    <w:rsid w:val="003346DE"/>
    <w:rsid w:val="003374DF"/>
    <w:rsid w:val="00337645"/>
    <w:rsid w:val="0034059A"/>
    <w:rsid w:val="00347D66"/>
    <w:rsid w:val="00351E45"/>
    <w:rsid w:val="00355D3E"/>
    <w:rsid w:val="00363AD2"/>
    <w:rsid w:val="00370F9F"/>
    <w:rsid w:val="00373A5A"/>
    <w:rsid w:val="0037669C"/>
    <w:rsid w:val="00377CBA"/>
    <w:rsid w:val="00380F8C"/>
    <w:rsid w:val="003814C5"/>
    <w:rsid w:val="00381CDF"/>
    <w:rsid w:val="00381F79"/>
    <w:rsid w:val="00385B02"/>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DB1"/>
    <w:rsid w:val="0040143B"/>
    <w:rsid w:val="004021D4"/>
    <w:rsid w:val="00410821"/>
    <w:rsid w:val="00410D18"/>
    <w:rsid w:val="00411821"/>
    <w:rsid w:val="004156E4"/>
    <w:rsid w:val="00416345"/>
    <w:rsid w:val="00417A70"/>
    <w:rsid w:val="00424899"/>
    <w:rsid w:val="00425DB1"/>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F1807"/>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64D7"/>
    <w:rsid w:val="00671331"/>
    <w:rsid w:val="006723BD"/>
    <w:rsid w:val="0067390D"/>
    <w:rsid w:val="00675458"/>
    <w:rsid w:val="006771FA"/>
    <w:rsid w:val="00681FB3"/>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4C5E"/>
    <w:rsid w:val="009757E2"/>
    <w:rsid w:val="009773A1"/>
    <w:rsid w:val="009800BC"/>
    <w:rsid w:val="009803FD"/>
    <w:rsid w:val="00987424"/>
    <w:rsid w:val="00991A1B"/>
    <w:rsid w:val="00993138"/>
    <w:rsid w:val="00997577"/>
    <w:rsid w:val="009A10D2"/>
    <w:rsid w:val="009B0333"/>
    <w:rsid w:val="009C192C"/>
    <w:rsid w:val="009C403F"/>
    <w:rsid w:val="009C4244"/>
    <w:rsid w:val="009C45D8"/>
    <w:rsid w:val="009C70DF"/>
    <w:rsid w:val="009D1F32"/>
    <w:rsid w:val="009D28B9"/>
    <w:rsid w:val="009D2B3A"/>
    <w:rsid w:val="009D52D5"/>
    <w:rsid w:val="009D6D8B"/>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E1E"/>
    <w:rsid w:val="00A8319B"/>
    <w:rsid w:val="00A87BE1"/>
    <w:rsid w:val="00A9600F"/>
    <w:rsid w:val="00A964A1"/>
    <w:rsid w:val="00AB5983"/>
    <w:rsid w:val="00AC2292"/>
    <w:rsid w:val="00AC5D68"/>
    <w:rsid w:val="00AD3A2A"/>
    <w:rsid w:val="00AD550B"/>
    <w:rsid w:val="00AD5FBA"/>
    <w:rsid w:val="00AD6731"/>
    <w:rsid w:val="00AD7FE3"/>
    <w:rsid w:val="00AE1349"/>
    <w:rsid w:val="00AE493E"/>
    <w:rsid w:val="00AE7596"/>
    <w:rsid w:val="00AF42CA"/>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B3C13"/>
    <w:rsid w:val="00BB5737"/>
    <w:rsid w:val="00BB7051"/>
    <w:rsid w:val="00BC169D"/>
    <w:rsid w:val="00BC3B47"/>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20577"/>
    <w:rsid w:val="00C240D5"/>
    <w:rsid w:val="00C24D14"/>
    <w:rsid w:val="00C25255"/>
    <w:rsid w:val="00C2732C"/>
    <w:rsid w:val="00C325D3"/>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C1D39"/>
    <w:rsid w:val="00CC4963"/>
    <w:rsid w:val="00CC6B00"/>
    <w:rsid w:val="00CD0148"/>
    <w:rsid w:val="00CD0A88"/>
    <w:rsid w:val="00CD2D2D"/>
    <w:rsid w:val="00CD43C5"/>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D65"/>
    <w:rsid w:val="00F65E5C"/>
    <w:rsid w:val="00F67808"/>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EC0A1-9750-4365-937F-2F818E5F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11431</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206</cp:revision>
  <dcterms:created xsi:type="dcterms:W3CDTF">2024-02-12T19:26:00Z</dcterms:created>
  <dcterms:modified xsi:type="dcterms:W3CDTF">2025-05-09T16:03:00Z</dcterms:modified>
</cp:coreProperties>
</file>