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3EFC8" w14:textId="0B2A6F87" w:rsidR="00F81E86" w:rsidRPr="006F104E" w:rsidRDefault="00F81E86" w:rsidP="00070323">
      <w:pPr>
        <w:pStyle w:val="aa"/>
      </w:pPr>
      <w:bookmarkStart w:id="0" w:name="_Hlk145670493"/>
      <w:bookmarkStart w:id="1" w:name="_Hlk117841894"/>
      <w:r w:rsidRPr="006F104E">
        <w:t>3GPP TSG RAN WG1 #11</w:t>
      </w:r>
      <w:r w:rsidR="002C4B7E">
        <w:t>8</w:t>
      </w:r>
      <w:r w:rsidRPr="006F104E">
        <w:tab/>
      </w:r>
      <w:r w:rsidRPr="006F104E">
        <w:tab/>
      </w:r>
      <w:r w:rsidRPr="006F104E">
        <w:tab/>
      </w:r>
      <w:r w:rsidR="0044410B">
        <w:t xml:space="preserve">              </w:t>
      </w:r>
      <w:r w:rsidR="00815039" w:rsidRPr="00815039">
        <w:t>R1-2406518</w:t>
      </w:r>
      <w:r w:rsidR="006F104E" w:rsidRPr="006F104E">
        <w:br/>
      </w:r>
      <w:r w:rsidR="00FB49F2">
        <w:t>Maastricht, NL, August</w:t>
      </w:r>
      <w:r w:rsidR="008E538A">
        <w:t xml:space="preserve"> </w:t>
      </w:r>
      <w:r w:rsidR="00FB49F2">
        <w:t>19</w:t>
      </w:r>
      <w:r w:rsidR="00C07891" w:rsidRPr="00EF5736">
        <w:rPr>
          <w:vertAlign w:val="superscript"/>
        </w:rPr>
        <w:t>th</w:t>
      </w:r>
      <w:r w:rsidR="008E538A">
        <w:t xml:space="preserve"> </w:t>
      </w:r>
      <w:r w:rsidR="006A04B9">
        <w:t>– 2</w:t>
      </w:r>
      <w:r w:rsidR="00FB49F2">
        <w:t>3</w:t>
      </w:r>
      <w:bookmarkEnd w:id="0"/>
      <w:r w:rsidR="00716DA0">
        <w:rPr>
          <w:vertAlign w:val="superscript"/>
        </w:rPr>
        <w:t>rd</w:t>
      </w:r>
      <w:r w:rsidR="00C07891">
        <w:t xml:space="preserve">, </w:t>
      </w:r>
      <w:proofErr w:type="gramStart"/>
      <w:r w:rsidR="00C07891">
        <w:t>2024</w:t>
      </w:r>
      <w:proofErr w:type="gramEnd"/>
    </w:p>
    <w:bookmarkEnd w:id="1"/>
    <w:p w14:paraId="04B74395" w14:textId="48613859" w:rsidR="00F81E86" w:rsidRPr="006F104E" w:rsidRDefault="00F81E86" w:rsidP="00070323">
      <w:pPr>
        <w:pStyle w:val="aa"/>
      </w:pPr>
      <w:r w:rsidRPr="006F104E">
        <w:t xml:space="preserve">Source: </w:t>
      </w:r>
      <w:r w:rsidRPr="006F104E">
        <w:tab/>
        <w:t>Fujitsu</w:t>
      </w:r>
      <w:r w:rsidR="006F104E" w:rsidRPr="006F104E">
        <w:br/>
      </w:r>
      <w:r w:rsidRPr="006F104E">
        <w:t>Agena item:</w:t>
      </w:r>
      <w:r w:rsidRPr="006F104E">
        <w:tab/>
        <w:t>9.</w:t>
      </w:r>
      <w:r w:rsidR="002C4B7E">
        <w:t>8.2</w:t>
      </w:r>
      <w:r w:rsidR="006F104E" w:rsidRPr="006F104E">
        <w:br/>
      </w:r>
      <w:r w:rsidRPr="006F104E">
        <w:t>Title:</w:t>
      </w:r>
      <w:bookmarkStart w:id="2" w:name="Title"/>
      <w:bookmarkEnd w:id="2"/>
      <w:r w:rsidRPr="006F104E">
        <w:tab/>
        <w:t xml:space="preserve">Discussion on </w:t>
      </w:r>
      <w:r w:rsidR="00702462">
        <w:t>channel model ada</w:t>
      </w:r>
      <w:r w:rsidR="00A356D2">
        <w:t>ptation</w:t>
      </w:r>
      <w:r w:rsidR="001C7680">
        <w:t>/extension for 7-24 GHz</w:t>
      </w:r>
      <w:r w:rsidR="006F104E" w:rsidRPr="006F104E">
        <w:br/>
      </w:r>
      <w:r w:rsidRPr="006F104E">
        <w:t>Document for:</w:t>
      </w:r>
      <w:r w:rsidRPr="006F104E">
        <w:tab/>
      </w:r>
      <w:bookmarkStart w:id="3" w:name="DocumentFor"/>
      <w:bookmarkEnd w:id="3"/>
      <w:r w:rsidRPr="006F104E">
        <w:t>Discussion</w:t>
      </w:r>
    </w:p>
    <w:p w14:paraId="05A85B76" w14:textId="22984F16" w:rsidR="00F81E86" w:rsidRDefault="00F81E86" w:rsidP="00532D1A">
      <w:pPr>
        <w:pBdr>
          <w:bottom w:val="single" w:sz="6" w:space="1" w:color="auto"/>
        </w:pBdr>
      </w:pPr>
    </w:p>
    <w:p w14:paraId="19A505DA" w14:textId="77777777" w:rsidR="000F058B" w:rsidRPr="000F058B" w:rsidRDefault="000F058B" w:rsidP="00532D1A"/>
    <w:p w14:paraId="19F6E42B" w14:textId="6F5F6BD1" w:rsidR="00F81E86" w:rsidRPr="006F104E" w:rsidRDefault="00F81E86" w:rsidP="00070323">
      <w:pPr>
        <w:pStyle w:val="1"/>
      </w:pPr>
      <w:r w:rsidRPr="006F104E">
        <w:t>Background</w:t>
      </w:r>
    </w:p>
    <w:p w14:paraId="2F9C041D" w14:textId="01B0D875" w:rsidR="00F81E86" w:rsidRPr="00F81E86" w:rsidRDefault="00F81E86" w:rsidP="00532D1A">
      <w:r w:rsidRPr="00F81E86">
        <w:rPr>
          <w:rFonts w:hint="eastAsia"/>
        </w:rPr>
        <w:t xml:space="preserve"> </w:t>
      </w:r>
      <w:r w:rsidR="002D304C">
        <w:t xml:space="preserve">RAN1 has been discussing </w:t>
      </w:r>
      <w:r w:rsidR="0055369B">
        <w:t xml:space="preserve">necessity of the </w:t>
      </w:r>
      <w:r w:rsidR="003D202F">
        <w:t>adaptation</w:t>
      </w:r>
      <w:r w:rsidR="00837920">
        <w:t>/extension</w:t>
      </w:r>
      <w:r w:rsidR="0055369B">
        <w:t xml:space="preserve"> </w:t>
      </w:r>
      <w:r w:rsidR="002A4DCE">
        <w:t xml:space="preserve">of channel modelling for 7-24 GHz frequency range. </w:t>
      </w:r>
      <w:r w:rsidR="00B376BF">
        <w:t xml:space="preserve">In the SID [1], </w:t>
      </w:r>
      <w:r w:rsidR="00FD624A">
        <w:t xml:space="preserve">near-field propagation and spatial non-stationarity are identified as the </w:t>
      </w:r>
      <w:r w:rsidR="00EB0C95">
        <w:t xml:space="preserve">aspects for potential enhancements. </w:t>
      </w:r>
      <w:r w:rsidR="001C0497">
        <w:t xml:space="preserve">In this contribution, necessity of the extension </w:t>
      </w:r>
      <w:r w:rsidR="009E11E5">
        <w:t>for these aspects is discussed.</w:t>
      </w:r>
    </w:p>
    <w:p w14:paraId="0F5FC223" w14:textId="0ED4C4B6" w:rsidR="00F81E86" w:rsidRDefault="00F81E86" w:rsidP="00532D1A"/>
    <w:p w14:paraId="6BCF8479" w14:textId="3DF2C4F5" w:rsidR="00C603B2" w:rsidRPr="00453503" w:rsidRDefault="00C603B2" w:rsidP="00532D1A"/>
    <w:p w14:paraId="67A772EF" w14:textId="28AA1DAB" w:rsidR="00F81E86" w:rsidRDefault="00F81E86" w:rsidP="00070323">
      <w:pPr>
        <w:pStyle w:val="1"/>
      </w:pPr>
      <w:r w:rsidRPr="00F81E86">
        <w:rPr>
          <w:rFonts w:hint="eastAsia"/>
        </w:rPr>
        <w:t>D</w:t>
      </w:r>
      <w:r w:rsidRPr="00F81E86">
        <w:t>iscussion</w:t>
      </w:r>
    </w:p>
    <w:p w14:paraId="1ACD2B8C" w14:textId="67D44B59" w:rsidR="007779C1" w:rsidRDefault="00A04A6E" w:rsidP="00C5382C">
      <w:pPr>
        <w:pStyle w:val="2"/>
        <w:numPr>
          <w:ilvl w:val="1"/>
          <w:numId w:val="7"/>
        </w:numPr>
      </w:pPr>
      <w:r>
        <w:rPr>
          <w:rFonts w:hint="eastAsia"/>
        </w:rPr>
        <w:t>N</w:t>
      </w:r>
      <w:r>
        <w:t>ear-field modelling</w:t>
      </w:r>
    </w:p>
    <w:p w14:paraId="11002819" w14:textId="2C703E31" w:rsidR="00F52467" w:rsidRDefault="006D1AB2" w:rsidP="00F52467">
      <w:r>
        <w:rPr>
          <w:rFonts w:hint="eastAsia"/>
        </w:rPr>
        <w:t>-</w:t>
      </w:r>
      <w:r>
        <w:t>--------------</w:t>
      </w:r>
    </w:p>
    <w:p w14:paraId="2FD76A42" w14:textId="77777777" w:rsidR="00FD14A2" w:rsidRPr="00FD14A2" w:rsidRDefault="00FD14A2" w:rsidP="00FD14A2">
      <w:pPr>
        <w:widowControl/>
        <w:spacing w:before="60" w:after="60"/>
        <w:jc w:val="left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FD14A2">
        <w:rPr>
          <w:rFonts w:ascii="Times New Roman" w:eastAsia="Batang" w:hAnsi="Times New Roman" w:cs="Times New Roman"/>
          <w:color w:val="000000"/>
          <w:kern w:val="24"/>
          <w:szCs w:val="21"/>
          <w:highlight w:val="green"/>
        </w:rPr>
        <w:t>Agreement</w:t>
      </w:r>
    </w:p>
    <w:p w14:paraId="76142E48" w14:textId="77777777" w:rsidR="00FD14A2" w:rsidRPr="00FD14A2" w:rsidRDefault="00FD14A2" w:rsidP="00FD14A2">
      <w:pPr>
        <w:widowControl/>
        <w:spacing w:before="60" w:after="60"/>
        <w:jc w:val="left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FD14A2">
        <w:rPr>
          <w:rFonts w:ascii="Times New Roman" w:eastAsia="Batang" w:hAnsi="Times New Roman" w:cs="Times New Roman"/>
          <w:color w:val="000000"/>
          <w:kern w:val="24"/>
          <w:szCs w:val="21"/>
        </w:rPr>
        <w:t xml:space="preserve">For the assumption on </w:t>
      </w:r>
      <w:r w:rsidRPr="00FD14A2">
        <w:rPr>
          <w:rFonts w:ascii="Times New Roman" w:eastAsia="DengXian" w:hAnsi="Times New Roman" w:cs="Times New Roman"/>
          <w:color w:val="000000"/>
          <w:kern w:val="24"/>
          <w:szCs w:val="21"/>
        </w:rPr>
        <w:t xml:space="preserve">the </w:t>
      </w:r>
      <w:r w:rsidRPr="00FD14A2">
        <w:rPr>
          <w:rFonts w:ascii="Times New Roman" w:eastAsia="Batang" w:hAnsi="Times New Roman" w:cs="Times New Roman"/>
          <w:color w:val="000000"/>
          <w:kern w:val="24"/>
          <w:szCs w:val="21"/>
        </w:rPr>
        <w:t>aperture size of antenna array, the following is considered for near-field and spatial non-stationarity channel model study, e.g., simulation/measurement and calibration:</w:t>
      </w:r>
    </w:p>
    <w:p w14:paraId="7F4064DB" w14:textId="77777777" w:rsidR="00FD14A2" w:rsidRPr="00FD14A2" w:rsidRDefault="00FD14A2" w:rsidP="00FD14A2">
      <w:pPr>
        <w:widowControl/>
        <w:numPr>
          <w:ilvl w:val="0"/>
          <w:numId w:val="23"/>
        </w:numPr>
        <w:tabs>
          <w:tab w:val="left" w:pos="284"/>
          <w:tab w:val="left" w:pos="1440"/>
          <w:tab w:val="left" w:pos="2160"/>
        </w:tabs>
        <w:ind w:left="1267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FD14A2">
        <w:rPr>
          <w:rFonts w:ascii="Times New Roman" w:eastAsia="SimSun" w:hAnsi="Times New Roman" w:cs="Times New Roman"/>
          <w:color w:val="000000"/>
          <w:kern w:val="24"/>
          <w:szCs w:val="21"/>
          <w:lang w:val="en-US"/>
        </w:rPr>
        <w:t xml:space="preserve">Up to 1.5 m </w:t>
      </w:r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 xml:space="preserve">for </w:t>
      </w:r>
      <w:proofErr w:type="spellStart"/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>UMa</w:t>
      </w:r>
      <w:proofErr w:type="spellEnd"/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 xml:space="preserve"> with maximum antenna elements in the array is [5k] for single Polarization.</w:t>
      </w:r>
    </w:p>
    <w:p w14:paraId="646A2A8E" w14:textId="77777777" w:rsidR="00FD14A2" w:rsidRPr="00FD14A2" w:rsidRDefault="00FD14A2" w:rsidP="00FD14A2">
      <w:pPr>
        <w:widowControl/>
        <w:numPr>
          <w:ilvl w:val="0"/>
          <w:numId w:val="23"/>
        </w:numPr>
        <w:tabs>
          <w:tab w:val="left" w:pos="284"/>
          <w:tab w:val="left" w:pos="1440"/>
          <w:tab w:val="left" w:pos="2160"/>
        </w:tabs>
        <w:ind w:left="1267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FD14A2">
        <w:rPr>
          <w:rFonts w:ascii="Times New Roman" w:eastAsia="SimSun" w:hAnsi="Times New Roman" w:cs="Times New Roman"/>
          <w:color w:val="000000"/>
          <w:kern w:val="24"/>
          <w:szCs w:val="21"/>
          <w:lang w:val="en-US"/>
        </w:rPr>
        <w:t xml:space="preserve">Up to 1 m </w:t>
      </w:r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 xml:space="preserve">for </w:t>
      </w:r>
      <w:proofErr w:type="spellStart"/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>UMi</w:t>
      </w:r>
      <w:proofErr w:type="spellEnd"/>
      <w:r w:rsidRPr="00FD14A2">
        <w:rPr>
          <w:rFonts w:ascii="Times New Roman" w:eastAsia="SimSun" w:hAnsi="Times New Roman" w:cs="Times New Roman"/>
          <w:color w:val="000000"/>
          <w:kern w:val="24"/>
          <w:szCs w:val="21"/>
        </w:rPr>
        <w:t xml:space="preserve"> </w:t>
      </w:r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>with maximum antenna elements in the array is [2.</w:t>
      </w:r>
      <w:r w:rsidRPr="00FD14A2">
        <w:rPr>
          <w:rFonts w:ascii="Times New Roman" w:eastAsia="DengXian" w:hAnsi="Times New Roman" w:cs="Times New Roman"/>
          <w:color w:val="000000"/>
          <w:kern w:val="24"/>
          <w:szCs w:val="21"/>
        </w:rPr>
        <w:t>22</w:t>
      </w:r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>k] for single Polarization.</w:t>
      </w:r>
    </w:p>
    <w:p w14:paraId="57EF734F" w14:textId="77777777" w:rsidR="00FD14A2" w:rsidRPr="00FD14A2" w:rsidRDefault="00FD14A2" w:rsidP="00FD14A2">
      <w:pPr>
        <w:widowControl/>
        <w:numPr>
          <w:ilvl w:val="0"/>
          <w:numId w:val="23"/>
        </w:numPr>
        <w:tabs>
          <w:tab w:val="left" w:pos="284"/>
          <w:tab w:val="left" w:pos="1440"/>
          <w:tab w:val="left" w:pos="2160"/>
        </w:tabs>
        <w:ind w:left="1267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FD14A2">
        <w:rPr>
          <w:rFonts w:ascii="Times New Roman" w:eastAsia="SimSun" w:hAnsi="Times New Roman" w:cs="Times New Roman"/>
          <w:color w:val="000000"/>
          <w:kern w:val="24"/>
          <w:szCs w:val="21"/>
          <w:lang w:val="en-US"/>
        </w:rPr>
        <w:t xml:space="preserve">Up to [0.71] m </w:t>
      </w:r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>for Indoor facto</w:t>
      </w:r>
      <w:r w:rsidRPr="00FD14A2">
        <w:rPr>
          <w:rFonts w:ascii="Times New Roman" w:eastAsia="DengXian" w:hAnsi="Times New Roman" w:cs="Times New Roman"/>
          <w:color w:val="000000"/>
          <w:kern w:val="24"/>
          <w:szCs w:val="21"/>
        </w:rPr>
        <w:t>ry</w:t>
      </w:r>
      <w:r w:rsidRPr="00FD14A2">
        <w:rPr>
          <w:rFonts w:ascii="Times New Roman" w:eastAsia="SimSun" w:hAnsi="Times New Roman" w:cs="Times New Roman"/>
          <w:color w:val="000000"/>
          <w:kern w:val="24"/>
          <w:szCs w:val="21"/>
        </w:rPr>
        <w:t xml:space="preserve"> </w:t>
      </w:r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>with maximum antenna elements in the array is [</w:t>
      </w:r>
      <w:r w:rsidRPr="00FD14A2">
        <w:rPr>
          <w:rFonts w:ascii="Times New Roman" w:eastAsia="DengXian" w:hAnsi="Times New Roman" w:cs="Times New Roman"/>
          <w:color w:val="000000"/>
          <w:kern w:val="24"/>
          <w:szCs w:val="21"/>
        </w:rPr>
        <w:t>1.</w:t>
      </w:r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>12k] for single Polarization.</w:t>
      </w:r>
    </w:p>
    <w:p w14:paraId="182782DB" w14:textId="77777777" w:rsidR="00FD14A2" w:rsidRPr="00FD14A2" w:rsidRDefault="00FD14A2" w:rsidP="00FD14A2">
      <w:pPr>
        <w:widowControl/>
        <w:numPr>
          <w:ilvl w:val="0"/>
          <w:numId w:val="23"/>
        </w:numPr>
        <w:tabs>
          <w:tab w:val="left" w:pos="284"/>
          <w:tab w:val="left" w:pos="1440"/>
          <w:tab w:val="left" w:pos="2160"/>
        </w:tabs>
        <w:ind w:left="1267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FD14A2">
        <w:rPr>
          <w:rFonts w:ascii="Times New Roman" w:eastAsia="SimSun" w:hAnsi="Times New Roman" w:cs="Times New Roman"/>
          <w:color w:val="000000"/>
          <w:kern w:val="24"/>
          <w:szCs w:val="21"/>
        </w:rPr>
        <w:t xml:space="preserve">Up to </w:t>
      </w:r>
      <w:r w:rsidRPr="00FD14A2">
        <w:rPr>
          <w:rFonts w:ascii="Times New Roman" w:eastAsia="SimSun" w:hAnsi="Times New Roman" w:cs="Times New Roman"/>
          <w:color w:val="000000"/>
          <w:kern w:val="24"/>
          <w:szCs w:val="21"/>
          <w:lang w:val="en-US"/>
        </w:rPr>
        <w:t>[0.25 (for rectangular antenna array), 0.5 (for linear antenna array)] m</w:t>
      </w:r>
      <w:r w:rsidRPr="00FD14A2">
        <w:rPr>
          <w:rFonts w:ascii="Times New Roman" w:eastAsia="Times New Roman" w:hAnsi="Times New Roman" w:cs="Times New Roman"/>
          <w:color w:val="000000"/>
          <w:kern w:val="24"/>
          <w:szCs w:val="21"/>
        </w:rPr>
        <w:t xml:space="preserve"> for Indoor office with maximum antenna elements in the array is [138, 24] for single Polarization, respectively.</w:t>
      </w:r>
    </w:p>
    <w:p w14:paraId="3363A6F2" w14:textId="02629F25" w:rsidR="00F52467" w:rsidRPr="00FD14A2" w:rsidRDefault="006D1AB2" w:rsidP="00F52467">
      <w:pPr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>---------------</w:t>
      </w:r>
    </w:p>
    <w:p w14:paraId="08743B4F" w14:textId="77777777" w:rsidR="00F52467" w:rsidRPr="00F52467" w:rsidRDefault="00F52467" w:rsidP="00F52467"/>
    <w:p w14:paraId="4E6FB07A" w14:textId="7529C573" w:rsidR="001A16BC" w:rsidRDefault="00F42C56" w:rsidP="00F42C56">
      <w:pPr>
        <w:rPr>
          <w:lang w:val="en-US"/>
        </w:rPr>
      </w:pPr>
      <w:r w:rsidRPr="00F42C56">
        <w:rPr>
          <w:lang w:val="en-US"/>
        </w:rPr>
        <w:t>In RAN1#117,</w:t>
      </w:r>
      <w:r w:rsidR="008E1BB3">
        <w:rPr>
          <w:lang w:val="en-US"/>
        </w:rPr>
        <w:t xml:space="preserve"> </w:t>
      </w:r>
      <w:r w:rsidR="003E0C47">
        <w:rPr>
          <w:lang w:val="en-US"/>
        </w:rPr>
        <w:t>maximum</w:t>
      </w:r>
      <w:r w:rsidRPr="00F42C56">
        <w:rPr>
          <w:lang w:val="en-US"/>
        </w:rPr>
        <w:t xml:space="preserve"> antenna array sizes were agreed as 0.25-1.5m </w:t>
      </w:r>
      <w:r w:rsidR="003E0C47">
        <w:rPr>
          <w:lang w:val="en-US"/>
        </w:rPr>
        <w:t>for different</w:t>
      </w:r>
      <w:r w:rsidRPr="00F42C56">
        <w:rPr>
          <w:lang w:val="en-US"/>
        </w:rPr>
        <w:t xml:space="preserve"> deployment scenarios</w:t>
      </w:r>
      <w:r w:rsidR="00005D67">
        <w:rPr>
          <w:lang w:val="en-US"/>
        </w:rPr>
        <w:t xml:space="preserve"> as shown the above</w:t>
      </w:r>
      <w:r w:rsidRPr="00F42C56">
        <w:rPr>
          <w:lang w:val="en-US"/>
        </w:rPr>
        <w:t xml:space="preserve">. </w:t>
      </w:r>
      <w:r w:rsidR="009B41DE">
        <w:rPr>
          <w:lang w:val="en-US"/>
        </w:rPr>
        <w:t xml:space="preserve">Depending on the assumed antenna size, </w:t>
      </w:r>
      <w:r w:rsidR="001A16BC">
        <w:rPr>
          <w:lang w:val="en-US"/>
        </w:rPr>
        <w:t xml:space="preserve">significance of the near field </w:t>
      </w:r>
      <w:r w:rsidR="00EA12EC">
        <w:rPr>
          <w:lang w:val="en-US"/>
        </w:rPr>
        <w:t>is different</w:t>
      </w:r>
      <w:r w:rsidR="001A16BC">
        <w:rPr>
          <w:lang w:val="en-US"/>
        </w:rPr>
        <w:t>.</w:t>
      </w:r>
      <w:r w:rsidR="001A16BC">
        <w:rPr>
          <w:rFonts w:hint="eastAsia"/>
          <w:lang w:val="en-US"/>
        </w:rPr>
        <w:t xml:space="preserve"> </w:t>
      </w:r>
      <w:r w:rsidR="001A16BC">
        <w:rPr>
          <w:lang w:val="en-US"/>
        </w:rPr>
        <w:t xml:space="preserve">To discuss the impact in </w:t>
      </w:r>
      <w:r w:rsidR="003E0C47">
        <w:rPr>
          <w:lang w:val="en-US"/>
        </w:rPr>
        <w:t xml:space="preserve">a </w:t>
      </w:r>
      <w:r w:rsidR="001A16BC">
        <w:rPr>
          <w:lang w:val="en-US"/>
        </w:rPr>
        <w:t xml:space="preserve">qualitative </w:t>
      </w:r>
      <w:r w:rsidR="00377DA2">
        <w:rPr>
          <w:lang w:val="en-US"/>
        </w:rPr>
        <w:t>manner</w:t>
      </w:r>
      <w:r w:rsidR="001A16BC">
        <w:rPr>
          <w:lang w:val="en-US"/>
        </w:rPr>
        <w:t xml:space="preserve">, </w:t>
      </w:r>
      <w:r w:rsidR="0056462C">
        <w:rPr>
          <w:lang w:val="en-US"/>
        </w:rPr>
        <w:t>so called Fraunhofer distance</w:t>
      </w:r>
      <w:r w:rsidR="004B6D4F">
        <w:rPr>
          <w:lang w:val="en-US"/>
        </w:rPr>
        <w:t xml:space="preserve">, which is one of the </w:t>
      </w:r>
      <w:r w:rsidR="002D2A70">
        <w:rPr>
          <w:lang w:val="en-US"/>
        </w:rPr>
        <w:t>commonly used</w:t>
      </w:r>
      <w:r w:rsidR="004B6D4F">
        <w:rPr>
          <w:lang w:val="en-US"/>
        </w:rPr>
        <w:t xml:space="preserve"> criteria for near field region</w:t>
      </w:r>
      <w:r w:rsidR="00EE28D7">
        <w:rPr>
          <w:lang w:val="en-US"/>
        </w:rPr>
        <w:t>,</w:t>
      </w:r>
      <w:r w:rsidR="0056462C">
        <w:rPr>
          <w:lang w:val="en-US"/>
        </w:rPr>
        <w:t xml:space="preserve"> is shown with respect to antenna </w:t>
      </w:r>
      <w:r w:rsidR="00EB19E7">
        <w:rPr>
          <w:lang w:val="en-US"/>
        </w:rPr>
        <w:t>diameter</w:t>
      </w:r>
      <w:r w:rsidR="0056462C">
        <w:rPr>
          <w:lang w:val="en-US"/>
        </w:rPr>
        <w:t xml:space="preserve"> and frequency</w:t>
      </w:r>
      <w:r w:rsidR="00FA3C46">
        <w:rPr>
          <w:lang w:val="en-US"/>
        </w:rPr>
        <w:t>:</w:t>
      </w:r>
    </w:p>
    <w:p w14:paraId="350B5095" w14:textId="77777777" w:rsidR="00FA3C46" w:rsidRPr="00EE28D7" w:rsidRDefault="00FA3C46" w:rsidP="00F42C56">
      <w:pPr>
        <w:rPr>
          <w:lang w:val="en-US"/>
        </w:rPr>
      </w:pPr>
    </w:p>
    <w:p w14:paraId="387A1142" w14:textId="34167A60" w:rsidR="002B3195" w:rsidRDefault="002B3195" w:rsidP="006160A9">
      <w:pPr>
        <w:jc w:val="center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able 1. Fraunhofer distance with different frequencies and antenna dimensions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A34086" w14:paraId="2D04FD4D" w14:textId="77777777" w:rsidTr="00A34086">
        <w:trPr>
          <w:jc w:val="center"/>
        </w:trPr>
        <w:tc>
          <w:tcPr>
            <w:tcW w:w="3210" w:type="dxa"/>
          </w:tcPr>
          <w:p w14:paraId="59303748" w14:textId="35F196A1" w:rsidR="00A34086" w:rsidRDefault="00A34086" w:rsidP="00F42C56">
            <w:pPr>
              <w:rPr>
                <w:lang w:val="en-US"/>
              </w:rPr>
            </w:pPr>
            <w:r>
              <w:rPr>
                <w:lang w:val="en-US"/>
              </w:rPr>
              <w:t xml:space="preserve">Frequency </w:t>
            </w:r>
            <w:r w:rsidR="0039008C" w:rsidRPr="0039008C">
              <w:rPr>
                <w:i/>
                <w:iCs/>
                <w:lang w:val="en-US"/>
              </w:rPr>
              <w:t>f</w:t>
            </w:r>
            <w:r w:rsidR="0039008C">
              <w:rPr>
                <w:lang w:val="en-US"/>
              </w:rPr>
              <w:t xml:space="preserve"> </w:t>
            </w:r>
            <w:r>
              <w:rPr>
                <w:lang w:val="en-US"/>
              </w:rPr>
              <w:t>[GHz]</w:t>
            </w:r>
          </w:p>
        </w:tc>
        <w:tc>
          <w:tcPr>
            <w:tcW w:w="3210" w:type="dxa"/>
          </w:tcPr>
          <w:p w14:paraId="29C5B15B" w14:textId="785D8F3F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  <w:r>
              <w:rPr>
                <w:lang w:val="en-US"/>
              </w:rPr>
              <w:t xml:space="preserve">ntenna </w:t>
            </w:r>
            <w:r w:rsidR="00C927B0">
              <w:rPr>
                <w:lang w:val="en-US"/>
              </w:rPr>
              <w:t xml:space="preserve">diameter </w:t>
            </w:r>
            <w:r w:rsidR="00C927B0" w:rsidRPr="00C927B0">
              <w:rPr>
                <w:i/>
                <w:iCs/>
                <w:lang w:val="en-US"/>
              </w:rPr>
              <w:t>D</w:t>
            </w:r>
            <w:r>
              <w:rPr>
                <w:lang w:val="en-US"/>
              </w:rPr>
              <w:t xml:space="preserve"> [m]</w:t>
            </w:r>
          </w:p>
        </w:tc>
        <w:tc>
          <w:tcPr>
            <w:tcW w:w="3211" w:type="dxa"/>
          </w:tcPr>
          <w:p w14:paraId="2031AEA0" w14:textId="3345D200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raunhofer distance [m]</w:t>
            </w:r>
          </w:p>
        </w:tc>
      </w:tr>
      <w:tr w:rsidR="00A34086" w14:paraId="6AA5A4FD" w14:textId="77777777" w:rsidTr="00A34086">
        <w:trPr>
          <w:jc w:val="center"/>
        </w:trPr>
        <w:tc>
          <w:tcPr>
            <w:tcW w:w="3210" w:type="dxa"/>
          </w:tcPr>
          <w:p w14:paraId="33765042" w14:textId="5120B557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3210" w:type="dxa"/>
          </w:tcPr>
          <w:p w14:paraId="5CF1D349" w14:textId="44BA149D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.5</w:t>
            </w:r>
          </w:p>
        </w:tc>
        <w:tc>
          <w:tcPr>
            <w:tcW w:w="3211" w:type="dxa"/>
          </w:tcPr>
          <w:p w14:paraId="44437328" w14:textId="165D5F03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  <w:r>
              <w:rPr>
                <w:lang w:val="en-US"/>
              </w:rPr>
              <w:t>25</w:t>
            </w:r>
          </w:p>
        </w:tc>
      </w:tr>
      <w:tr w:rsidR="00A34086" w14:paraId="4929BCEE" w14:textId="77777777" w:rsidTr="00A34086">
        <w:trPr>
          <w:jc w:val="center"/>
        </w:trPr>
        <w:tc>
          <w:tcPr>
            <w:tcW w:w="3210" w:type="dxa"/>
          </w:tcPr>
          <w:p w14:paraId="6FB7677B" w14:textId="2EEB1690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3210" w:type="dxa"/>
          </w:tcPr>
          <w:p w14:paraId="6A09D743" w14:textId="18D13C56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C927B0">
              <w:rPr>
                <w:lang w:val="en-US"/>
              </w:rPr>
              <w:t>35</w:t>
            </w:r>
          </w:p>
        </w:tc>
        <w:tc>
          <w:tcPr>
            <w:tcW w:w="3211" w:type="dxa"/>
          </w:tcPr>
          <w:p w14:paraId="16940FAA" w14:textId="3013A15C" w:rsidR="00A34086" w:rsidRDefault="00933AB7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2.5</w:t>
            </w:r>
          </w:p>
        </w:tc>
      </w:tr>
      <w:tr w:rsidR="00A34086" w14:paraId="4AEA7A02" w14:textId="77777777" w:rsidTr="00A34086">
        <w:trPr>
          <w:jc w:val="center"/>
        </w:trPr>
        <w:tc>
          <w:tcPr>
            <w:tcW w:w="3210" w:type="dxa"/>
          </w:tcPr>
          <w:p w14:paraId="6141DDEF" w14:textId="0BCD4EA2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3210" w:type="dxa"/>
          </w:tcPr>
          <w:p w14:paraId="36EC141C" w14:textId="2A6AA8E1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.5</w:t>
            </w:r>
          </w:p>
        </w:tc>
        <w:tc>
          <w:tcPr>
            <w:tcW w:w="3211" w:type="dxa"/>
          </w:tcPr>
          <w:p w14:paraId="19CC3A6F" w14:textId="56D02800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05</w:t>
            </w:r>
          </w:p>
        </w:tc>
      </w:tr>
      <w:tr w:rsidR="00A34086" w14:paraId="7C42F6B9" w14:textId="77777777" w:rsidTr="00A34086">
        <w:trPr>
          <w:jc w:val="center"/>
        </w:trPr>
        <w:tc>
          <w:tcPr>
            <w:tcW w:w="3210" w:type="dxa"/>
          </w:tcPr>
          <w:p w14:paraId="205775B8" w14:textId="5E4E58CB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3210" w:type="dxa"/>
          </w:tcPr>
          <w:p w14:paraId="564BE943" w14:textId="21B5996C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C927B0">
              <w:rPr>
                <w:lang w:val="en-US"/>
              </w:rPr>
              <w:t>35</w:t>
            </w:r>
          </w:p>
        </w:tc>
        <w:tc>
          <w:tcPr>
            <w:tcW w:w="3211" w:type="dxa"/>
          </w:tcPr>
          <w:p w14:paraId="39408BE1" w14:textId="1FEDB90C" w:rsidR="00A34086" w:rsidRDefault="00933AB7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  <w:r>
              <w:rPr>
                <w:lang w:val="en-US"/>
              </w:rPr>
              <w:t>.8</w:t>
            </w:r>
          </w:p>
        </w:tc>
      </w:tr>
    </w:tbl>
    <w:p w14:paraId="234B2BE4" w14:textId="77777777" w:rsidR="00A15F13" w:rsidRDefault="00A15F13" w:rsidP="00F42C56">
      <w:pPr>
        <w:rPr>
          <w:lang w:val="en-US"/>
        </w:rPr>
      </w:pPr>
    </w:p>
    <w:p w14:paraId="79554975" w14:textId="5431612C" w:rsidR="001D1B68" w:rsidRPr="00176103" w:rsidRDefault="00D7190D" w:rsidP="00F42C56">
      <w:pPr>
        <w:rPr>
          <w:lang w:val="en-US"/>
        </w:rPr>
      </w:pPr>
      <w:r>
        <w:rPr>
          <w:lang w:val="en-US"/>
        </w:rPr>
        <w:t xml:space="preserve">According to the agreement on the antenna array size, </w:t>
      </w:r>
      <w:r w:rsidR="00430185">
        <w:rPr>
          <w:lang w:val="en-US"/>
        </w:rPr>
        <w:t>0.</w:t>
      </w:r>
      <w:r w:rsidR="00933AB7">
        <w:rPr>
          <w:lang w:val="en-US"/>
        </w:rPr>
        <w:t>35</w:t>
      </w:r>
      <w:r w:rsidR="00430185">
        <w:rPr>
          <w:lang w:val="en-US"/>
        </w:rPr>
        <w:t xml:space="preserve"> </w:t>
      </w:r>
      <w:r w:rsidR="00A94A76">
        <w:rPr>
          <w:lang w:val="en-US"/>
        </w:rPr>
        <w:t>[</w:t>
      </w:r>
      <w:r w:rsidR="00430185">
        <w:rPr>
          <w:lang w:val="en-US"/>
        </w:rPr>
        <w:t>m</w:t>
      </w:r>
      <w:r w:rsidR="00A94A76">
        <w:rPr>
          <w:lang w:val="en-US"/>
        </w:rPr>
        <w:t>]</w:t>
      </w:r>
      <w:r w:rsidR="00430185">
        <w:rPr>
          <w:lang w:val="en-US"/>
        </w:rPr>
        <w:t xml:space="preserve"> </w:t>
      </w:r>
      <w:r w:rsidR="00933AB7">
        <w:rPr>
          <w:lang w:val="en-US"/>
        </w:rPr>
        <w:t>(</w:t>
      </w:r>
      <w:r w:rsidR="00E77F80">
        <w:rPr>
          <w:lang w:val="en-US"/>
        </w:rPr>
        <w:t>diagonal distance of the rectangular antenna with 0.25 m</w:t>
      </w:r>
      <w:r w:rsidR="00A94A76">
        <w:rPr>
          <w:lang w:val="en-US"/>
        </w:rPr>
        <w:t xml:space="preserve"> width</w:t>
      </w:r>
      <w:r w:rsidR="00E77F80">
        <w:rPr>
          <w:lang w:val="en-US"/>
        </w:rPr>
        <w:t xml:space="preserve">) </w:t>
      </w:r>
      <w:r w:rsidR="00430185">
        <w:rPr>
          <w:lang w:val="en-US"/>
        </w:rPr>
        <w:t xml:space="preserve">to 1.5 </w:t>
      </w:r>
      <w:r w:rsidR="00A94A76">
        <w:rPr>
          <w:lang w:val="en-US"/>
        </w:rPr>
        <w:t>[</w:t>
      </w:r>
      <w:r w:rsidR="00430185">
        <w:rPr>
          <w:lang w:val="en-US"/>
        </w:rPr>
        <w:t>m</w:t>
      </w:r>
      <w:r w:rsidR="00A94A76">
        <w:rPr>
          <w:lang w:val="en-US"/>
        </w:rPr>
        <w:t>]</w:t>
      </w:r>
      <w:r w:rsidR="00430185">
        <w:rPr>
          <w:lang w:val="en-US"/>
        </w:rPr>
        <w:t xml:space="preserve"> are assumed as the antenna di</w:t>
      </w:r>
      <w:r w:rsidR="00E40B86">
        <w:rPr>
          <w:lang w:val="en-US"/>
        </w:rPr>
        <w:t>ameter</w:t>
      </w:r>
      <w:r w:rsidR="00430185">
        <w:rPr>
          <w:lang w:val="en-US"/>
        </w:rPr>
        <w:t xml:space="preserve">. </w:t>
      </w:r>
      <w:r w:rsidR="00415D34">
        <w:rPr>
          <w:rFonts w:hint="eastAsia"/>
          <w:lang w:val="en-US"/>
        </w:rPr>
        <w:t>A</w:t>
      </w:r>
      <w:r w:rsidR="00415D34">
        <w:rPr>
          <w:lang w:val="en-US"/>
        </w:rPr>
        <w:t xml:space="preserve">s shown </w:t>
      </w:r>
      <w:r w:rsidR="003C131E">
        <w:rPr>
          <w:lang w:val="en-US"/>
        </w:rPr>
        <w:t xml:space="preserve">in </w:t>
      </w:r>
      <w:r w:rsidR="00415D34">
        <w:rPr>
          <w:lang w:val="en-US"/>
        </w:rPr>
        <w:t xml:space="preserve">the table, different </w:t>
      </w:r>
      <w:r w:rsidR="0051531E">
        <w:rPr>
          <w:lang w:val="en-US"/>
        </w:rPr>
        <w:t xml:space="preserve">antenna </w:t>
      </w:r>
      <w:r w:rsidR="00E40B86">
        <w:rPr>
          <w:lang w:val="en-US"/>
        </w:rPr>
        <w:t>diameter</w:t>
      </w:r>
      <w:r w:rsidR="0051531E">
        <w:rPr>
          <w:lang w:val="en-US"/>
        </w:rPr>
        <w:t xml:space="preserve"> leads to more than 100</w:t>
      </w:r>
      <w:r w:rsidR="00B8171D">
        <w:rPr>
          <w:lang w:val="en-US"/>
        </w:rPr>
        <w:t xml:space="preserve"> [</w:t>
      </w:r>
      <w:r w:rsidR="0051531E">
        <w:rPr>
          <w:lang w:val="en-US"/>
        </w:rPr>
        <w:t>m</w:t>
      </w:r>
      <w:r w:rsidR="00B8171D">
        <w:rPr>
          <w:lang w:val="en-US"/>
        </w:rPr>
        <w:t>]</w:t>
      </w:r>
      <w:r w:rsidR="0051531E">
        <w:rPr>
          <w:lang w:val="en-US"/>
        </w:rPr>
        <w:t xml:space="preserve"> difference in terms of the Fraunhofer distance</w:t>
      </w:r>
      <w:r w:rsidR="00A82C87">
        <w:rPr>
          <w:lang w:val="en-US"/>
        </w:rPr>
        <w:t xml:space="preserve"> </w:t>
      </w:r>
      <w:r w:rsidR="004E0BA3">
        <w:rPr>
          <w:lang w:val="en-US"/>
        </w:rPr>
        <w:t>at</w:t>
      </w:r>
      <w:r w:rsidR="00A82C87">
        <w:rPr>
          <w:lang w:val="en-US"/>
        </w:rPr>
        <w:t xml:space="preserve"> the same frequency</w:t>
      </w:r>
      <w:r w:rsidR="00CA7CE3">
        <w:rPr>
          <w:lang w:val="en-US"/>
        </w:rPr>
        <w:t>.</w:t>
      </w:r>
      <w:r w:rsidR="00430185">
        <w:rPr>
          <w:lang w:val="en-US"/>
        </w:rPr>
        <w:t xml:space="preserve"> </w:t>
      </w:r>
      <w:r w:rsidR="00860CB9">
        <w:rPr>
          <w:lang w:val="en-US"/>
        </w:rPr>
        <w:t xml:space="preserve">In addition, </w:t>
      </w:r>
      <w:r w:rsidR="00CE411F">
        <w:rPr>
          <w:lang w:val="en-US"/>
        </w:rPr>
        <w:t xml:space="preserve">there </w:t>
      </w:r>
      <w:r w:rsidR="008604D3">
        <w:rPr>
          <w:lang w:val="en-US"/>
        </w:rPr>
        <w:t>is</w:t>
      </w:r>
      <w:r w:rsidR="00CE411F">
        <w:rPr>
          <w:lang w:val="en-US"/>
        </w:rPr>
        <w:t xml:space="preserve"> more than 100 </w:t>
      </w:r>
      <w:r w:rsidR="00B8171D">
        <w:rPr>
          <w:lang w:val="en-US"/>
        </w:rPr>
        <w:t>[</w:t>
      </w:r>
      <w:r w:rsidR="00CE411F">
        <w:rPr>
          <w:lang w:val="en-US"/>
        </w:rPr>
        <w:t>m</w:t>
      </w:r>
      <w:r w:rsidR="00B8171D">
        <w:rPr>
          <w:lang w:val="en-US"/>
        </w:rPr>
        <w:t>]</w:t>
      </w:r>
      <w:r w:rsidR="00CE411F">
        <w:rPr>
          <w:lang w:val="en-US"/>
        </w:rPr>
        <w:t xml:space="preserve"> difference in the Fraunhofer distance between 15 GHz and 7 GHz </w:t>
      </w:r>
      <w:r w:rsidR="001D1B68">
        <w:rPr>
          <w:lang w:val="en-US"/>
        </w:rPr>
        <w:t xml:space="preserve">in case of </w:t>
      </w:r>
      <w:r w:rsidR="0039008C" w:rsidRPr="00842B7E">
        <w:rPr>
          <w:i/>
          <w:iCs/>
          <w:lang w:val="en-US"/>
        </w:rPr>
        <w:t>D</w:t>
      </w:r>
      <w:r w:rsidR="00842B7E">
        <w:rPr>
          <w:lang w:val="en-US"/>
        </w:rPr>
        <w:t>=</w:t>
      </w:r>
      <w:r w:rsidR="001D1B68">
        <w:rPr>
          <w:lang w:val="en-US"/>
        </w:rPr>
        <w:t>1</w:t>
      </w:r>
      <w:r w:rsidR="00843245">
        <w:rPr>
          <w:lang w:val="en-US"/>
        </w:rPr>
        <w:t>.5</w:t>
      </w:r>
      <w:r w:rsidR="001D1B68">
        <w:rPr>
          <w:lang w:val="en-US"/>
        </w:rPr>
        <w:t xml:space="preserve">, while </w:t>
      </w:r>
      <w:r w:rsidR="00843245">
        <w:rPr>
          <w:lang w:val="en-US"/>
        </w:rPr>
        <w:t xml:space="preserve">the difference is </w:t>
      </w:r>
      <w:r w:rsidR="0039008C">
        <w:rPr>
          <w:lang w:val="en-US"/>
        </w:rPr>
        <w:t xml:space="preserve">less than </w:t>
      </w:r>
      <w:r w:rsidR="00F3550B">
        <w:rPr>
          <w:lang w:val="en-US"/>
        </w:rPr>
        <w:t>10</w:t>
      </w:r>
      <w:r w:rsidR="0039008C">
        <w:rPr>
          <w:lang w:val="en-US"/>
        </w:rPr>
        <w:t xml:space="preserve"> m</w:t>
      </w:r>
      <w:r w:rsidR="00B8171D">
        <w:rPr>
          <w:lang w:val="en-US"/>
        </w:rPr>
        <w:t>eter</w:t>
      </w:r>
      <w:r w:rsidR="0039008C">
        <w:rPr>
          <w:lang w:val="en-US"/>
        </w:rPr>
        <w:t xml:space="preserve"> in case of </w:t>
      </w:r>
      <w:r w:rsidR="00842B7E" w:rsidRPr="00F301C6">
        <w:rPr>
          <w:i/>
          <w:iCs/>
          <w:lang w:val="en-US"/>
        </w:rPr>
        <w:t>D</w:t>
      </w:r>
      <w:r w:rsidR="00842B7E">
        <w:rPr>
          <w:lang w:val="en-US"/>
        </w:rPr>
        <w:t xml:space="preserve"> = </w:t>
      </w:r>
      <w:r w:rsidR="00F301C6">
        <w:rPr>
          <w:lang w:val="en-US"/>
        </w:rPr>
        <w:t>0.</w:t>
      </w:r>
      <w:r w:rsidR="00821483">
        <w:rPr>
          <w:lang w:val="en-US"/>
        </w:rPr>
        <w:t>3</w:t>
      </w:r>
      <w:r w:rsidR="00F301C6">
        <w:rPr>
          <w:lang w:val="en-US"/>
        </w:rPr>
        <w:t>5.</w:t>
      </w:r>
      <w:r w:rsidR="00176103">
        <w:rPr>
          <w:lang w:val="en-US"/>
        </w:rPr>
        <w:t xml:space="preserve"> </w:t>
      </w:r>
    </w:p>
    <w:p w14:paraId="50A38EB8" w14:textId="7C103A61" w:rsidR="00F301C6" w:rsidRDefault="00F301C6" w:rsidP="00F42C56">
      <w:pPr>
        <w:rPr>
          <w:lang w:val="en-US"/>
        </w:rPr>
      </w:pPr>
    </w:p>
    <w:p w14:paraId="33D05220" w14:textId="6C749FF7" w:rsidR="00F301C6" w:rsidRDefault="00F301C6" w:rsidP="00F42C56">
      <w:pPr>
        <w:rPr>
          <w:lang w:val="en-US"/>
        </w:rPr>
      </w:pPr>
      <w:r w:rsidRPr="00987B50">
        <w:rPr>
          <w:rFonts w:hint="eastAsia"/>
          <w:b/>
          <w:bCs/>
          <w:u w:val="single"/>
          <w:lang w:val="en-US"/>
        </w:rPr>
        <w:t>O</w:t>
      </w:r>
      <w:r w:rsidRPr="00987B50">
        <w:rPr>
          <w:b/>
          <w:bCs/>
          <w:u w:val="single"/>
          <w:lang w:val="en-US"/>
        </w:rPr>
        <w:t>bservation 1</w:t>
      </w:r>
      <w:r>
        <w:rPr>
          <w:lang w:val="en-US"/>
        </w:rPr>
        <w:t xml:space="preserve"> </w:t>
      </w:r>
      <w:r w:rsidR="00140C17">
        <w:rPr>
          <w:lang w:val="en-US"/>
        </w:rPr>
        <w:t>Depending on the assumed antenna array size</w:t>
      </w:r>
      <w:r w:rsidR="00B04B63">
        <w:rPr>
          <w:lang w:val="en-US"/>
        </w:rPr>
        <w:t xml:space="preserve"> and frequency</w:t>
      </w:r>
      <w:r w:rsidR="00140C17">
        <w:rPr>
          <w:lang w:val="en-US"/>
        </w:rPr>
        <w:t xml:space="preserve">, the </w:t>
      </w:r>
      <w:r w:rsidR="00B04B63">
        <w:rPr>
          <w:lang w:val="en-US"/>
        </w:rPr>
        <w:t>applicability of the near-field model changes.</w:t>
      </w:r>
    </w:p>
    <w:p w14:paraId="73FF3766" w14:textId="77777777" w:rsidR="00207375" w:rsidRDefault="00207375" w:rsidP="00F42C56">
      <w:pPr>
        <w:rPr>
          <w:lang w:val="en-US"/>
        </w:rPr>
      </w:pPr>
    </w:p>
    <w:p w14:paraId="5E0FA4DA" w14:textId="77CEC991" w:rsidR="00207375" w:rsidRDefault="00A67F52" w:rsidP="00F42C56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addition to the antenna array size, as mentioned in [2], in real deployment, only a part of antenna elements on a panel may be activated, e.g., for the purpose of network energy savings.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Thus</w:t>
      </w:r>
      <w:r w:rsidR="00207375">
        <w:rPr>
          <w:lang w:val="en-US"/>
        </w:rPr>
        <w:t xml:space="preserve">, </w:t>
      </w:r>
      <w:r w:rsidR="00247D27">
        <w:rPr>
          <w:lang w:val="en-US"/>
        </w:rPr>
        <w:t>not only</w:t>
      </w:r>
      <w:r w:rsidR="00371E79">
        <w:rPr>
          <w:lang w:val="en-US"/>
        </w:rPr>
        <w:t xml:space="preserve"> the maximum antenna </w:t>
      </w:r>
      <w:r w:rsidR="00247D27">
        <w:rPr>
          <w:lang w:val="en-US"/>
        </w:rPr>
        <w:t>size</w:t>
      </w:r>
      <w:r w:rsidR="00371E79">
        <w:rPr>
          <w:lang w:val="en-US"/>
        </w:rPr>
        <w:t xml:space="preserve">, </w:t>
      </w:r>
      <w:r w:rsidR="00C564F2">
        <w:rPr>
          <w:lang w:val="en-US"/>
        </w:rPr>
        <w:t>but realistic antenna size should also</w:t>
      </w:r>
      <w:r w:rsidR="00986C2A">
        <w:rPr>
          <w:lang w:val="en-US"/>
        </w:rPr>
        <w:t xml:space="preserve"> be assumed when applicability of the near-field model</w:t>
      </w:r>
      <w:r w:rsidR="0013281E">
        <w:rPr>
          <w:lang w:val="en-US"/>
        </w:rPr>
        <w:t xml:space="preserve"> is confirmed.</w:t>
      </w:r>
    </w:p>
    <w:p w14:paraId="7F049C30" w14:textId="77777777" w:rsidR="00207375" w:rsidRPr="00A67F52" w:rsidRDefault="00207375" w:rsidP="00F42C56">
      <w:pPr>
        <w:rPr>
          <w:lang w:val="en-US"/>
        </w:rPr>
      </w:pPr>
    </w:p>
    <w:p w14:paraId="440A91C8" w14:textId="67AC4FD7" w:rsidR="00207375" w:rsidRDefault="00207375" w:rsidP="00207375">
      <w:pPr>
        <w:rPr>
          <w:lang w:val="en-US"/>
        </w:rPr>
      </w:pPr>
      <w:r w:rsidRPr="003C7AB3">
        <w:rPr>
          <w:b/>
          <w:bCs/>
          <w:u w:val="single"/>
          <w:lang w:val="en-US"/>
        </w:rPr>
        <w:t>Proposal 1</w:t>
      </w:r>
      <w:r w:rsidRPr="00F42C56">
        <w:rPr>
          <w:lang w:val="en-US"/>
        </w:rPr>
        <w:t xml:space="preserve"> With realistic antenna array size assumption, necessity of near-field model should be confirmed.</w:t>
      </w:r>
    </w:p>
    <w:p w14:paraId="672B545D" w14:textId="77777777" w:rsidR="006160A9" w:rsidRDefault="006160A9" w:rsidP="00F42C56">
      <w:pPr>
        <w:rPr>
          <w:lang w:val="en-US"/>
        </w:rPr>
      </w:pPr>
    </w:p>
    <w:p w14:paraId="57E95473" w14:textId="77777777" w:rsidR="00D62B56" w:rsidRDefault="00D62B56" w:rsidP="00F42C56">
      <w:pPr>
        <w:rPr>
          <w:lang w:val="en-US"/>
        </w:rPr>
      </w:pPr>
    </w:p>
    <w:p w14:paraId="33585916" w14:textId="6FC0AD18" w:rsidR="00313E03" w:rsidRDefault="00F13BB9" w:rsidP="003B440F">
      <w:pPr>
        <w:ind w:firstLineChars="50" w:firstLine="105"/>
        <w:rPr>
          <w:lang w:val="en-US"/>
        </w:rPr>
      </w:pPr>
      <w:r>
        <w:rPr>
          <w:lang w:val="en-US"/>
        </w:rPr>
        <w:t xml:space="preserve">In qualitative thinking, </w:t>
      </w:r>
      <w:r w:rsidR="00F6737D">
        <w:rPr>
          <w:lang w:val="en-US"/>
        </w:rPr>
        <w:t>near-field</w:t>
      </w:r>
      <w:r w:rsidR="00D62B56" w:rsidRPr="00D62B56">
        <w:rPr>
          <w:rFonts w:hint="eastAsia"/>
          <w:lang w:val="en-US"/>
        </w:rPr>
        <w:t xml:space="preserve"> model </w:t>
      </w:r>
      <w:r w:rsidR="000A3F1C">
        <w:rPr>
          <w:lang w:val="en-US"/>
        </w:rPr>
        <w:t>propagation</w:t>
      </w:r>
      <w:r w:rsidR="00D62B56" w:rsidRPr="00D62B56">
        <w:rPr>
          <w:rFonts w:hint="eastAsia"/>
          <w:lang w:val="en-US"/>
        </w:rPr>
        <w:t xml:space="preserve"> becomes asymptotic to </w:t>
      </w:r>
      <w:r w:rsidR="00F6737D">
        <w:rPr>
          <w:lang w:val="en-US"/>
        </w:rPr>
        <w:t>f</w:t>
      </w:r>
      <w:r w:rsidR="00D62B56" w:rsidRPr="00D62B56">
        <w:rPr>
          <w:rFonts w:hint="eastAsia"/>
          <w:lang w:val="en-US"/>
        </w:rPr>
        <w:t xml:space="preserve">ar-field model as the distance between Tx and Rx increases. Therefore, it is difficult to define clear range where </w:t>
      </w:r>
      <w:r w:rsidR="00F6737D">
        <w:rPr>
          <w:lang w:val="en-US"/>
        </w:rPr>
        <w:t xml:space="preserve">near-field </w:t>
      </w:r>
      <w:r w:rsidR="00D62B56" w:rsidRPr="00D62B56">
        <w:rPr>
          <w:rFonts w:hint="eastAsia"/>
          <w:lang w:val="en-US"/>
        </w:rPr>
        <w:t>model applies</w:t>
      </w:r>
      <w:r w:rsidR="00EB0334">
        <w:rPr>
          <w:lang w:val="en-US"/>
        </w:rPr>
        <w:t xml:space="preserve"> to</w:t>
      </w:r>
      <w:r w:rsidR="00D62B56" w:rsidRPr="00D62B56">
        <w:rPr>
          <w:rFonts w:hint="eastAsia"/>
          <w:lang w:val="en-US"/>
        </w:rPr>
        <w:t xml:space="preserve">. </w:t>
      </w:r>
      <w:r w:rsidR="002E0D0C">
        <w:rPr>
          <w:lang w:val="en-US"/>
        </w:rPr>
        <w:t>Instead</w:t>
      </w:r>
      <w:r w:rsidR="00D62B56" w:rsidRPr="00D62B56">
        <w:rPr>
          <w:rFonts w:hint="eastAsia"/>
          <w:lang w:val="en-US"/>
        </w:rPr>
        <w:t xml:space="preserve">, </w:t>
      </w:r>
      <w:r w:rsidR="008C0EC4">
        <w:rPr>
          <w:lang w:val="en-US"/>
        </w:rPr>
        <w:t xml:space="preserve">it </w:t>
      </w:r>
      <w:r w:rsidR="003C4B50">
        <w:rPr>
          <w:lang w:val="en-US"/>
        </w:rPr>
        <w:t>could be</w:t>
      </w:r>
      <w:r w:rsidR="008C0EC4">
        <w:rPr>
          <w:lang w:val="en-US"/>
        </w:rPr>
        <w:t xml:space="preserve"> useful for future study </w:t>
      </w:r>
      <w:r w:rsidR="00D62B56" w:rsidRPr="00D62B56">
        <w:rPr>
          <w:rFonts w:hint="eastAsia"/>
          <w:lang w:val="en-US"/>
        </w:rPr>
        <w:t xml:space="preserve">to clarify the scenario where </w:t>
      </w:r>
      <w:r w:rsidR="00210CB3">
        <w:rPr>
          <w:lang w:val="en-US"/>
        </w:rPr>
        <w:t>near-field</w:t>
      </w:r>
      <w:r w:rsidR="00D62B56" w:rsidRPr="00D62B56">
        <w:rPr>
          <w:rFonts w:hint="eastAsia"/>
          <w:lang w:val="en-US"/>
        </w:rPr>
        <w:t xml:space="preserve"> model impact is not negligible when compared with the case with</w:t>
      </w:r>
      <w:r w:rsidR="009806E6">
        <w:rPr>
          <w:lang w:val="en-US"/>
        </w:rPr>
        <w:t xml:space="preserve"> only</w:t>
      </w:r>
      <w:r w:rsidR="00D62B56" w:rsidRPr="00D62B56">
        <w:rPr>
          <w:rFonts w:hint="eastAsia"/>
          <w:lang w:val="en-US"/>
        </w:rPr>
        <w:t xml:space="preserve"> </w:t>
      </w:r>
      <w:r w:rsidR="009806E6">
        <w:rPr>
          <w:lang w:val="en-US"/>
        </w:rPr>
        <w:t>f</w:t>
      </w:r>
      <w:r w:rsidR="00D62B56" w:rsidRPr="00D62B56">
        <w:rPr>
          <w:rFonts w:hint="eastAsia"/>
          <w:lang w:val="en-US"/>
        </w:rPr>
        <w:t>ar-field model</w:t>
      </w:r>
      <w:r w:rsidR="009806E6">
        <w:rPr>
          <w:lang w:val="en-US"/>
        </w:rPr>
        <w:t>,</w:t>
      </w:r>
      <w:r w:rsidR="00D62B56" w:rsidRPr="00D62B56">
        <w:rPr>
          <w:rFonts w:hint="eastAsia"/>
          <w:lang w:val="en-US"/>
        </w:rPr>
        <w:t xml:space="preserve"> throughout the SI discussion.</w:t>
      </w:r>
      <w:r w:rsidR="00313E03">
        <w:rPr>
          <w:lang w:val="en-US"/>
        </w:rPr>
        <w:t xml:space="preserve"> </w:t>
      </w:r>
      <w:r w:rsidR="00313E03">
        <w:rPr>
          <w:rFonts w:hint="eastAsia"/>
          <w:lang w:val="en-US"/>
        </w:rPr>
        <w:t>T</w:t>
      </w:r>
      <w:r w:rsidR="00313E03">
        <w:rPr>
          <w:lang w:val="en-US"/>
        </w:rPr>
        <w:t>hus, in the study item, application condition of near-field model should be clarified e.g., in terms of deployment scenario (frequency, antenna array assumption, cell size).</w:t>
      </w:r>
    </w:p>
    <w:p w14:paraId="4827C1B7" w14:textId="5F5E66AD" w:rsidR="00D62B56" w:rsidRPr="00D62B56" w:rsidRDefault="00D62B56" w:rsidP="00D62B56">
      <w:pPr>
        <w:rPr>
          <w:lang w:val="en-US"/>
        </w:rPr>
      </w:pPr>
    </w:p>
    <w:p w14:paraId="383F5B27" w14:textId="36B6CEDC" w:rsidR="00D62B56" w:rsidRPr="00D62B56" w:rsidRDefault="00D62B56" w:rsidP="00D62B56">
      <w:pPr>
        <w:rPr>
          <w:lang w:val="en-US"/>
        </w:rPr>
      </w:pPr>
      <w:r w:rsidRPr="00D62B56">
        <w:rPr>
          <w:rFonts w:hint="eastAsia"/>
          <w:b/>
          <w:bCs/>
          <w:u w:val="single"/>
          <w:lang w:val="en-US"/>
        </w:rPr>
        <w:t>Proposal 2</w:t>
      </w:r>
      <w:r w:rsidRPr="00D62B56">
        <w:rPr>
          <w:rFonts w:hint="eastAsia"/>
          <w:lang w:val="en-US"/>
        </w:rPr>
        <w:t xml:space="preserve"> Applicability of the </w:t>
      </w:r>
      <w:r w:rsidR="0050294A">
        <w:rPr>
          <w:lang w:val="en-US"/>
        </w:rPr>
        <w:t>near-field</w:t>
      </w:r>
      <w:r w:rsidRPr="00D62B56">
        <w:rPr>
          <w:rFonts w:hint="eastAsia"/>
          <w:lang w:val="en-US"/>
        </w:rPr>
        <w:t xml:space="preserve"> model should be clarified </w:t>
      </w:r>
      <w:r w:rsidR="0074308D">
        <w:rPr>
          <w:lang w:val="en-US"/>
        </w:rPr>
        <w:t>in terms of</w:t>
      </w:r>
      <w:r w:rsidR="00290E6D">
        <w:rPr>
          <w:lang w:val="en-US"/>
        </w:rPr>
        <w:t xml:space="preserve"> </w:t>
      </w:r>
      <w:r w:rsidR="00137134">
        <w:rPr>
          <w:lang w:val="en-US"/>
        </w:rPr>
        <w:t>applicable</w:t>
      </w:r>
      <w:r w:rsidR="0074308D">
        <w:rPr>
          <w:lang w:val="en-US"/>
        </w:rPr>
        <w:t xml:space="preserve"> deployment scenarios </w:t>
      </w:r>
      <w:r w:rsidRPr="00D62B56">
        <w:rPr>
          <w:rFonts w:hint="eastAsia"/>
          <w:lang w:val="en-US"/>
        </w:rPr>
        <w:t>for future utilization of the model</w:t>
      </w:r>
      <w:r w:rsidR="0074308D">
        <w:rPr>
          <w:lang w:val="en-US"/>
        </w:rPr>
        <w:t>.</w:t>
      </w:r>
    </w:p>
    <w:p w14:paraId="64E7EBB8" w14:textId="62532C8B" w:rsidR="00D62B56" w:rsidRPr="00137134" w:rsidRDefault="00290E6D" w:rsidP="00290E6D">
      <w:pPr>
        <w:tabs>
          <w:tab w:val="left" w:pos="6933"/>
        </w:tabs>
        <w:rPr>
          <w:lang w:val="en-US"/>
        </w:rPr>
      </w:pPr>
      <w:r>
        <w:rPr>
          <w:lang w:val="en-US"/>
        </w:rPr>
        <w:tab/>
      </w:r>
    </w:p>
    <w:p w14:paraId="6AB719AD" w14:textId="77777777" w:rsidR="001310EA" w:rsidRDefault="001310EA" w:rsidP="00F42C56">
      <w:pPr>
        <w:rPr>
          <w:lang w:val="en-US"/>
        </w:rPr>
      </w:pPr>
    </w:p>
    <w:p w14:paraId="6239028C" w14:textId="520DDA20" w:rsidR="00EE545D" w:rsidRDefault="006D3651" w:rsidP="00F42C56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r w:rsidR="00EA112C">
        <w:rPr>
          <w:lang w:val="en-US"/>
        </w:rPr>
        <w:t>RAN1#117 meeting</w:t>
      </w:r>
      <w:r>
        <w:rPr>
          <w:lang w:val="en-US"/>
        </w:rPr>
        <w:t xml:space="preserve">, RAN1 has reached the following agreement on </w:t>
      </w:r>
      <w:r w:rsidR="00331B64">
        <w:rPr>
          <w:lang w:val="en-US"/>
        </w:rPr>
        <w:t>detail of the channel modeling.</w:t>
      </w:r>
    </w:p>
    <w:p w14:paraId="4AD5EDBC" w14:textId="4B2CCBA5" w:rsidR="00331B64" w:rsidRDefault="006D1AB2" w:rsidP="00F42C56">
      <w:pPr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>----------------</w:t>
      </w:r>
    </w:p>
    <w:p w14:paraId="4EE302F7" w14:textId="7A7B1F09" w:rsidR="00AD527B" w:rsidRPr="00AD527B" w:rsidRDefault="00AD527B" w:rsidP="00AD527B">
      <w:pPr>
        <w:rPr>
          <w:lang w:val="en-US"/>
        </w:rPr>
      </w:pPr>
      <w:r w:rsidRPr="00AD527B">
        <w:rPr>
          <w:b/>
          <w:bCs/>
          <w:highlight w:val="green"/>
        </w:rPr>
        <w:t xml:space="preserve">Agreement </w:t>
      </w:r>
    </w:p>
    <w:p w14:paraId="75F5A581" w14:textId="77777777" w:rsidR="00AD527B" w:rsidRPr="00AD527B" w:rsidRDefault="00AD527B" w:rsidP="00AD527B">
      <w:pPr>
        <w:rPr>
          <w:lang w:val="en-US"/>
        </w:rPr>
      </w:pPr>
      <w:r w:rsidRPr="00AD527B">
        <w:t xml:space="preserve">For near-field channel, if necessary, to model the following antenna element-wise channel parameters of non-direct path between TRP and UE, </w:t>
      </w:r>
    </w:p>
    <w:p w14:paraId="6BDB35A7" w14:textId="77777777" w:rsidR="00AD527B" w:rsidRPr="00AD527B" w:rsidRDefault="00AD527B" w:rsidP="00AD527B">
      <w:pPr>
        <w:numPr>
          <w:ilvl w:val="0"/>
          <w:numId w:val="20"/>
        </w:numPr>
        <w:rPr>
          <w:lang w:val="en-US"/>
        </w:rPr>
      </w:pPr>
      <w:r w:rsidRPr="00AD527B">
        <w:t xml:space="preserve">Angular domain parameters (i.e., </w:t>
      </w:r>
      <w:proofErr w:type="spellStart"/>
      <w:r w:rsidRPr="00AD527B">
        <w:t>AoA</w:t>
      </w:r>
      <w:proofErr w:type="spellEnd"/>
      <w:r w:rsidRPr="00AD527B">
        <w:t xml:space="preserve">, </w:t>
      </w:r>
      <w:proofErr w:type="spellStart"/>
      <w:r w:rsidRPr="00AD527B">
        <w:t>AoD</w:t>
      </w:r>
      <w:proofErr w:type="spellEnd"/>
      <w:r w:rsidRPr="00AD527B">
        <w:t xml:space="preserve">, </w:t>
      </w:r>
      <w:proofErr w:type="spellStart"/>
      <w:r w:rsidRPr="00AD527B">
        <w:t>ZoA</w:t>
      </w:r>
      <w:proofErr w:type="spellEnd"/>
      <w:r w:rsidRPr="00AD527B">
        <w:t xml:space="preserve">, </w:t>
      </w:r>
      <w:proofErr w:type="spellStart"/>
      <w:r w:rsidRPr="00AD527B">
        <w:t>ZoD</w:t>
      </w:r>
      <w:proofErr w:type="spellEnd"/>
      <w:r w:rsidRPr="00AD527B">
        <w:t>), Delay, phase, Doppler shift, Amplitude</w:t>
      </w:r>
    </w:p>
    <w:p w14:paraId="53A6482B" w14:textId="77777777" w:rsidR="00AD527B" w:rsidRPr="00AD527B" w:rsidRDefault="00AD527B" w:rsidP="00AD527B">
      <w:pPr>
        <w:numPr>
          <w:ilvl w:val="0"/>
          <w:numId w:val="20"/>
        </w:numPr>
        <w:rPr>
          <w:lang w:val="en-US"/>
        </w:rPr>
      </w:pPr>
      <w:r w:rsidRPr="00AD527B">
        <w:t>FFS: Impacts on the polarization</w:t>
      </w:r>
    </w:p>
    <w:p w14:paraId="2D2B873E" w14:textId="77777777" w:rsidR="00AD527B" w:rsidRPr="00AD527B" w:rsidRDefault="00AD527B" w:rsidP="00AD527B">
      <w:pPr>
        <w:rPr>
          <w:lang w:val="en-US"/>
        </w:rPr>
      </w:pPr>
      <w:r w:rsidRPr="00AD527B">
        <w:t>The following options are considered:</w:t>
      </w:r>
    </w:p>
    <w:p w14:paraId="79F02565" w14:textId="77777777" w:rsidR="00AD527B" w:rsidRPr="00AD527B" w:rsidRDefault="00AD527B" w:rsidP="00AD527B">
      <w:pPr>
        <w:numPr>
          <w:ilvl w:val="0"/>
          <w:numId w:val="21"/>
        </w:numPr>
        <w:rPr>
          <w:lang w:val="en-US"/>
        </w:rPr>
      </w:pPr>
      <w:r w:rsidRPr="00AD527B">
        <w:t>Option-1: The cluster location-based approach, wherein the cluster location is obtained with following alternatives:</w:t>
      </w:r>
    </w:p>
    <w:p w14:paraId="0CD785A9" w14:textId="77777777" w:rsidR="00AD527B" w:rsidRPr="00AD527B" w:rsidRDefault="00AD527B" w:rsidP="00AD527B">
      <w:pPr>
        <w:numPr>
          <w:ilvl w:val="1"/>
          <w:numId w:val="21"/>
        </w:numPr>
        <w:rPr>
          <w:lang w:val="en-US"/>
        </w:rPr>
      </w:pPr>
      <w:r w:rsidRPr="00AD527B">
        <w:t>Alt-1: cluster location is derived based on at least the distance between the BS/UE and clusters.</w:t>
      </w:r>
    </w:p>
    <w:p w14:paraId="432F6283" w14:textId="77777777" w:rsidR="00AD527B" w:rsidRPr="00AD527B" w:rsidRDefault="00AD527B" w:rsidP="00AD527B">
      <w:pPr>
        <w:numPr>
          <w:ilvl w:val="1"/>
          <w:numId w:val="21"/>
        </w:numPr>
        <w:tabs>
          <w:tab w:val="clear" w:pos="1440"/>
        </w:tabs>
        <w:rPr>
          <w:lang w:val="en-US"/>
        </w:rPr>
      </w:pPr>
      <w:r w:rsidRPr="00AD527B">
        <w:t xml:space="preserve">FFS: How to obtain the distance. </w:t>
      </w:r>
    </w:p>
    <w:p w14:paraId="0BE30553" w14:textId="77777777" w:rsidR="00AD527B" w:rsidRPr="00AD527B" w:rsidRDefault="00AD527B" w:rsidP="00AD527B">
      <w:pPr>
        <w:numPr>
          <w:ilvl w:val="1"/>
          <w:numId w:val="21"/>
        </w:numPr>
        <w:tabs>
          <w:tab w:val="clear" w:pos="1440"/>
        </w:tabs>
        <w:rPr>
          <w:lang w:val="en-US"/>
        </w:rPr>
      </w:pPr>
      <w:r w:rsidRPr="00AD527B">
        <w:t>FFS: Other parameters.</w:t>
      </w:r>
    </w:p>
    <w:p w14:paraId="1F4FEA71" w14:textId="77777777" w:rsidR="00AD527B" w:rsidRPr="00AD527B" w:rsidRDefault="00AD527B" w:rsidP="00AD527B">
      <w:pPr>
        <w:numPr>
          <w:ilvl w:val="1"/>
          <w:numId w:val="21"/>
        </w:numPr>
        <w:rPr>
          <w:lang w:val="en-US"/>
        </w:rPr>
      </w:pPr>
      <w:r w:rsidRPr="00AD527B">
        <w:t>Alt-2: cluster location is directly dropped and generated.</w:t>
      </w:r>
    </w:p>
    <w:p w14:paraId="57E1A7BF" w14:textId="77777777" w:rsidR="00AD527B" w:rsidRPr="00AD527B" w:rsidRDefault="00AD527B" w:rsidP="00AD527B">
      <w:pPr>
        <w:numPr>
          <w:ilvl w:val="0"/>
          <w:numId w:val="21"/>
        </w:numPr>
        <w:rPr>
          <w:lang w:val="en-US"/>
        </w:rPr>
      </w:pPr>
      <w:r w:rsidRPr="00AD527B">
        <w:t>Option-2: The parameter-based approach with following detailed alternatives:</w:t>
      </w:r>
    </w:p>
    <w:p w14:paraId="06ED3B28" w14:textId="77777777" w:rsidR="00AD527B" w:rsidRPr="00AD527B" w:rsidRDefault="00AD527B" w:rsidP="00AD527B">
      <w:pPr>
        <w:numPr>
          <w:ilvl w:val="1"/>
          <w:numId w:val="21"/>
        </w:numPr>
        <w:rPr>
          <w:lang w:val="en-US"/>
        </w:rPr>
      </w:pPr>
      <w:r w:rsidRPr="00AD527B">
        <w:t xml:space="preserve">Alt-1: Introduce the model of variation rate of parameter over antenna elements. </w:t>
      </w:r>
    </w:p>
    <w:p w14:paraId="56032F2B" w14:textId="77777777" w:rsidR="00AD527B" w:rsidRPr="00AD527B" w:rsidRDefault="00AD527B" w:rsidP="00AD527B">
      <w:pPr>
        <w:numPr>
          <w:ilvl w:val="1"/>
          <w:numId w:val="21"/>
        </w:numPr>
        <w:rPr>
          <w:lang w:val="en-US"/>
        </w:rPr>
      </w:pPr>
      <w:r w:rsidRPr="00AD527B">
        <w:t>Alt-2: Modelling the variation by taking the existing spatial consistency procedure of TR 38.901 as baseline.</w:t>
      </w:r>
    </w:p>
    <w:p w14:paraId="533562F4" w14:textId="77777777" w:rsidR="00AD527B" w:rsidRPr="00AD527B" w:rsidRDefault="00AD527B" w:rsidP="00AD527B">
      <w:pPr>
        <w:numPr>
          <w:ilvl w:val="0"/>
          <w:numId w:val="21"/>
        </w:numPr>
        <w:rPr>
          <w:lang w:val="en-US"/>
        </w:rPr>
      </w:pPr>
      <w:r w:rsidRPr="00AD527B">
        <w:t>Option-3: The curvature-based approach.</w:t>
      </w:r>
    </w:p>
    <w:p w14:paraId="7B3E822C" w14:textId="68070F46" w:rsidR="00AD527B" w:rsidRDefault="006D1AB2" w:rsidP="00F42C56">
      <w:pPr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>-----------------------</w:t>
      </w:r>
    </w:p>
    <w:p w14:paraId="4A072365" w14:textId="77777777" w:rsidR="00AD527B" w:rsidRDefault="00AD527B" w:rsidP="00F42C56">
      <w:pPr>
        <w:rPr>
          <w:lang w:val="en-US"/>
        </w:rPr>
      </w:pPr>
    </w:p>
    <w:p w14:paraId="7CDD0061" w14:textId="1BCB85A3" w:rsidR="001310EA" w:rsidRPr="001310EA" w:rsidRDefault="00401C5C" w:rsidP="00354179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the agreement above, several approaches to model the </w:t>
      </w:r>
      <w:r w:rsidR="00ED2042">
        <w:rPr>
          <w:lang w:val="en-US"/>
        </w:rPr>
        <w:t xml:space="preserve">near-field effect were </w:t>
      </w:r>
      <w:r w:rsidR="006343D4">
        <w:rPr>
          <w:lang w:val="en-US"/>
        </w:rPr>
        <w:t xml:space="preserve">agreed as candidates. </w:t>
      </w:r>
      <w:r w:rsidR="007F1208">
        <w:rPr>
          <w:lang w:val="en-US"/>
        </w:rPr>
        <w:t xml:space="preserve">To have common understanding among companies in future study </w:t>
      </w:r>
      <w:r w:rsidR="006D1AB2">
        <w:rPr>
          <w:lang w:val="en-US"/>
        </w:rPr>
        <w:t>about</w:t>
      </w:r>
      <w:r w:rsidR="007F1208">
        <w:rPr>
          <w:lang w:val="en-US"/>
        </w:rPr>
        <w:t xml:space="preserve"> the </w:t>
      </w:r>
      <w:r w:rsidR="006D1AB2">
        <w:rPr>
          <w:lang w:val="en-US"/>
        </w:rPr>
        <w:t xml:space="preserve">near-field </w:t>
      </w:r>
      <w:r w:rsidR="007F1208">
        <w:rPr>
          <w:lang w:val="en-US"/>
        </w:rPr>
        <w:t xml:space="preserve">channel modeling, </w:t>
      </w:r>
      <w:r w:rsidR="000E2A10">
        <w:rPr>
          <w:lang w:val="en-US"/>
        </w:rPr>
        <w:t>single option should be selected from the candidates.</w:t>
      </w:r>
      <w:r w:rsidR="00354179">
        <w:rPr>
          <w:lang w:val="en-US"/>
        </w:rPr>
        <w:t xml:space="preserve"> In our understanding, </w:t>
      </w:r>
      <w:r w:rsidR="000D3308">
        <w:rPr>
          <w:lang w:val="en-US"/>
        </w:rPr>
        <w:t xml:space="preserve">at least, Option-1 can provide </w:t>
      </w:r>
      <w:r w:rsidR="005E409F">
        <w:rPr>
          <w:lang w:val="en-US"/>
        </w:rPr>
        <w:t>stable baseline for discussion since</w:t>
      </w:r>
      <w:r w:rsidR="001310EA" w:rsidRPr="001310EA">
        <w:rPr>
          <w:rFonts w:hint="eastAsia"/>
          <w:lang w:val="en-US"/>
        </w:rPr>
        <w:t xml:space="preserve"> </w:t>
      </w:r>
      <w:r w:rsidR="005E409F">
        <w:rPr>
          <w:lang w:val="en-US"/>
        </w:rPr>
        <w:t xml:space="preserve">it is </w:t>
      </w:r>
      <w:r w:rsidR="00A52A35">
        <w:rPr>
          <w:lang w:val="en-US"/>
        </w:rPr>
        <w:t>straightforward extension of the current existing model in TR 38.901</w:t>
      </w:r>
      <w:r w:rsidR="00F31F43">
        <w:rPr>
          <w:lang w:val="en-US"/>
        </w:rPr>
        <w:t xml:space="preserve"> to consider change in scattering condition depending on the distance between Tx and Rx. </w:t>
      </w:r>
      <w:r w:rsidR="005D1C3D">
        <w:rPr>
          <w:lang w:val="en-US"/>
        </w:rPr>
        <w:t>For other options, it is not clear whether the modeling can sufficiently reflect</w:t>
      </w:r>
      <w:r w:rsidR="00CB42D4">
        <w:rPr>
          <w:lang w:val="en-US"/>
        </w:rPr>
        <w:t xml:space="preserve"> effect of near field</w:t>
      </w:r>
      <w:r w:rsidR="000F3CB2">
        <w:rPr>
          <w:rFonts w:hint="eastAsia"/>
          <w:lang w:val="en-US"/>
        </w:rPr>
        <w:t>.</w:t>
      </w:r>
    </w:p>
    <w:p w14:paraId="3EAE7224" w14:textId="73E872DE" w:rsidR="001310EA" w:rsidRPr="001310EA" w:rsidRDefault="000F3CB2" w:rsidP="000F3CB2">
      <w:pPr>
        <w:rPr>
          <w:lang w:val="en-US"/>
        </w:rPr>
      </w:pPr>
      <w:r>
        <w:rPr>
          <w:lang w:val="en-US"/>
        </w:rPr>
        <w:br/>
      </w:r>
      <w:r w:rsidRPr="000F3CB2">
        <w:rPr>
          <w:b/>
          <w:bCs/>
          <w:u w:val="single"/>
          <w:lang w:val="en-US"/>
        </w:rPr>
        <w:t>Proposal 3</w:t>
      </w:r>
      <w:r>
        <w:rPr>
          <w:lang w:val="en-US"/>
        </w:rPr>
        <w:t xml:space="preserve"> For near-field channel modeling, a</w:t>
      </w:r>
      <w:r w:rsidR="001310EA" w:rsidRPr="001310EA">
        <w:rPr>
          <w:rFonts w:hint="eastAsia"/>
          <w:lang w:val="en-US"/>
        </w:rPr>
        <w:t xml:space="preserve">t least study Option-1 </w:t>
      </w:r>
      <w:r>
        <w:rPr>
          <w:lang w:val="en-US"/>
        </w:rPr>
        <w:t xml:space="preserve">(Cluster </w:t>
      </w:r>
      <w:r w:rsidR="00147EA9">
        <w:rPr>
          <w:lang w:val="en-US"/>
        </w:rPr>
        <w:t>location-based</w:t>
      </w:r>
      <w:r>
        <w:rPr>
          <w:lang w:val="en-US"/>
        </w:rPr>
        <w:t xml:space="preserve"> approach) </w:t>
      </w:r>
      <w:r w:rsidR="001310EA" w:rsidRPr="001310EA">
        <w:rPr>
          <w:rFonts w:hint="eastAsia"/>
          <w:lang w:val="en-US"/>
        </w:rPr>
        <w:t xml:space="preserve">further. </w:t>
      </w:r>
    </w:p>
    <w:p w14:paraId="5DF75A20" w14:textId="77777777" w:rsidR="001310EA" w:rsidRPr="001310EA" w:rsidRDefault="001310EA" w:rsidP="00F42C56">
      <w:pPr>
        <w:rPr>
          <w:lang w:val="en-US"/>
        </w:rPr>
      </w:pPr>
    </w:p>
    <w:p w14:paraId="208D5736" w14:textId="12AF93BB" w:rsidR="00331ACB" w:rsidRDefault="00C176BC" w:rsidP="00331ACB">
      <w:pPr>
        <w:pStyle w:val="2"/>
      </w:pPr>
      <w:r>
        <w:rPr>
          <w:rFonts w:hint="eastAsia"/>
        </w:rPr>
        <w:t>2</w:t>
      </w:r>
      <w:r>
        <w:t>.2 Spatial non-</w:t>
      </w:r>
      <w:r w:rsidR="0050076C">
        <w:t>stationarity</w:t>
      </w:r>
    </w:p>
    <w:p w14:paraId="7D54A717" w14:textId="0E78839E" w:rsidR="00331ACB" w:rsidRDefault="00331ACB" w:rsidP="009C19F9">
      <w:pPr>
        <w:ind w:firstLineChars="50" w:firstLine="105"/>
      </w:pPr>
      <w:r>
        <w:rPr>
          <w:rFonts w:hint="eastAsia"/>
        </w:rPr>
        <w:t>I</w:t>
      </w:r>
      <w:r>
        <w:t>n the RAN1</w:t>
      </w:r>
      <w:r w:rsidR="00C67C66">
        <w:t>#117</w:t>
      </w:r>
      <w:r>
        <w:t xml:space="preserve"> meeting, regarding the spatial non-stationarity, </w:t>
      </w:r>
      <w:r w:rsidR="00E138FF">
        <w:t>the following agreement to summarize companies understanding was made.</w:t>
      </w:r>
    </w:p>
    <w:p w14:paraId="7AD2C150" w14:textId="77777777" w:rsidR="00E138FF" w:rsidRDefault="00E138FF" w:rsidP="00331ACB"/>
    <w:p w14:paraId="2E033EB9" w14:textId="5142214C" w:rsidR="00E138FF" w:rsidRDefault="00E138FF" w:rsidP="00331ACB">
      <w:r>
        <w:rPr>
          <w:rFonts w:hint="eastAsia"/>
        </w:rPr>
        <w:t>-</w:t>
      </w:r>
      <w:r>
        <w:t>-----</w:t>
      </w:r>
    </w:p>
    <w:p w14:paraId="7DBACBFE" w14:textId="77777777" w:rsidR="00331ACB" w:rsidRPr="00331ACB" w:rsidRDefault="00331ACB" w:rsidP="00331ACB">
      <w:pPr>
        <w:widowControl/>
        <w:spacing w:before="120" w:after="120"/>
        <w:jc w:val="left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331ACB">
        <w:rPr>
          <w:rFonts w:eastAsia="DengXian" w:cs="Times New Roman"/>
          <w:color w:val="000000"/>
          <w:kern w:val="24"/>
          <w:szCs w:val="21"/>
          <w:highlight w:val="green"/>
        </w:rPr>
        <w:t>Agreement</w:t>
      </w:r>
    </w:p>
    <w:p w14:paraId="0230CC08" w14:textId="77777777" w:rsidR="00331ACB" w:rsidRPr="00331ACB" w:rsidRDefault="00331ACB" w:rsidP="00331ACB">
      <w:pPr>
        <w:widowControl/>
        <w:spacing w:before="120" w:after="120"/>
        <w:jc w:val="left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331ACB">
        <w:rPr>
          <w:rFonts w:eastAsia="Batang" w:cs="Times New Roman"/>
          <w:color w:val="000000"/>
          <w:kern w:val="24"/>
          <w:szCs w:val="21"/>
        </w:rPr>
        <w:t>For the modelling of spatial non-stationarity, if necessary, if visible probability</w:t>
      </w:r>
      <w:r w:rsidRPr="00331ACB">
        <w:rPr>
          <w:rFonts w:eastAsia="DengXian" w:cs="Times New Roman"/>
          <w:color w:val="000000"/>
          <w:kern w:val="24"/>
          <w:szCs w:val="21"/>
        </w:rPr>
        <w:t xml:space="preserve"> </w:t>
      </w:r>
      <w:r w:rsidRPr="00331ACB">
        <w:rPr>
          <w:rFonts w:eastAsia="Batang" w:cs="Times New Roman"/>
          <w:color w:val="000000"/>
          <w:kern w:val="24"/>
          <w:szCs w:val="21"/>
        </w:rPr>
        <w:t>(VP) or visibility region</w:t>
      </w:r>
      <w:r w:rsidRPr="00331ACB">
        <w:rPr>
          <w:rFonts w:eastAsia="DengXian" w:cs="Times New Roman"/>
          <w:color w:val="000000"/>
          <w:kern w:val="24"/>
          <w:szCs w:val="21"/>
        </w:rPr>
        <w:t xml:space="preserve"> </w:t>
      </w:r>
      <w:r w:rsidRPr="00331ACB">
        <w:rPr>
          <w:rFonts w:eastAsia="Batang" w:cs="Times New Roman"/>
          <w:color w:val="000000"/>
          <w:kern w:val="24"/>
          <w:szCs w:val="21"/>
        </w:rPr>
        <w:t>(VR) is adopted, at least the following aspects should be considered for definition of VR/VP:</w:t>
      </w:r>
    </w:p>
    <w:p w14:paraId="25101305" w14:textId="77777777" w:rsidR="00331ACB" w:rsidRPr="00331ACB" w:rsidRDefault="00331ACB" w:rsidP="00331ACB">
      <w:pPr>
        <w:widowControl/>
        <w:numPr>
          <w:ilvl w:val="0"/>
          <w:numId w:val="24"/>
        </w:numPr>
        <w:ind w:left="1267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331ACB">
        <w:rPr>
          <w:rFonts w:eastAsia="Batang" w:cs="Times New Roman"/>
          <w:color w:val="000000"/>
          <w:kern w:val="24"/>
          <w:szCs w:val="21"/>
        </w:rPr>
        <w:t>Granularity of visible probability or visibility region (e.g., per cluster or per ray)</w:t>
      </w:r>
    </w:p>
    <w:p w14:paraId="74B65E90" w14:textId="77777777" w:rsidR="00331ACB" w:rsidRPr="00331ACB" w:rsidRDefault="00331ACB" w:rsidP="00331ACB">
      <w:pPr>
        <w:widowControl/>
        <w:numPr>
          <w:ilvl w:val="0"/>
          <w:numId w:val="24"/>
        </w:numPr>
        <w:ind w:left="1267"/>
        <w:rPr>
          <w:rFonts w:ascii="ＭＳ Ｐゴシック" w:eastAsia="ＭＳ Ｐゴシック" w:hAnsi="ＭＳ Ｐゴシック" w:cs="ＭＳ Ｐゴシック"/>
          <w:kern w:val="0"/>
          <w:szCs w:val="21"/>
          <w:lang w:val="en-US"/>
        </w:rPr>
      </w:pPr>
      <w:r w:rsidRPr="00331ACB">
        <w:rPr>
          <w:rFonts w:eastAsia="Batang" w:cs="Times New Roman"/>
          <w:color w:val="000000"/>
          <w:kern w:val="24"/>
          <w:szCs w:val="21"/>
        </w:rPr>
        <w:t>Determination of visible probability (e.g., distribution) or visibility region (e.g., size, location)</w:t>
      </w:r>
    </w:p>
    <w:p w14:paraId="40553040" w14:textId="6D1551A5" w:rsidR="00331ACB" w:rsidRPr="00331ACB" w:rsidRDefault="00E138FF" w:rsidP="00331ACB">
      <w:pPr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>------</w:t>
      </w:r>
    </w:p>
    <w:p w14:paraId="7D58CC25" w14:textId="77777777" w:rsidR="00331ACB" w:rsidRDefault="00331ACB" w:rsidP="00331ACB"/>
    <w:p w14:paraId="4A78EE79" w14:textId="3F9E67D7" w:rsidR="00E138FF" w:rsidRPr="00331ACB" w:rsidRDefault="008B57A2" w:rsidP="00331ACB">
      <w:r>
        <w:rPr>
          <w:rFonts w:hint="eastAsia"/>
        </w:rPr>
        <w:t>I</w:t>
      </w:r>
      <w:r>
        <w:t xml:space="preserve">n our understanding, these two </w:t>
      </w:r>
      <w:r w:rsidR="00C16C6F">
        <w:t xml:space="preserve">schemes </w:t>
      </w:r>
      <w:r w:rsidR="00985998">
        <w:t xml:space="preserve">(VP and VR) </w:t>
      </w:r>
      <w:r w:rsidR="00C16C6F">
        <w:t>look</w:t>
      </w:r>
      <w:r w:rsidR="00AA36DA">
        <w:t xml:space="preserve"> at</w:t>
      </w:r>
      <w:r w:rsidR="00C16C6F">
        <w:t xml:space="preserve"> the same aspect from different </w:t>
      </w:r>
      <w:r w:rsidR="00985998">
        <w:t xml:space="preserve">direction. In that sense, it is preferable to </w:t>
      </w:r>
      <w:r w:rsidR="00DE5CDB">
        <w:t>converge to one criteri</w:t>
      </w:r>
      <w:r w:rsidR="001F32B3">
        <w:t>on</w:t>
      </w:r>
      <w:r w:rsidR="00DE5CDB">
        <w:t>.</w:t>
      </w:r>
    </w:p>
    <w:p w14:paraId="5AA684DC" w14:textId="77777777" w:rsidR="00331ACB" w:rsidRDefault="00331ACB" w:rsidP="008F6906">
      <w:pPr>
        <w:rPr>
          <w:lang w:val="en-US"/>
        </w:rPr>
      </w:pPr>
    </w:p>
    <w:p w14:paraId="7B210777" w14:textId="5046A104" w:rsidR="00DE5CDB" w:rsidRDefault="00DE5CDB" w:rsidP="008F6906">
      <w:pPr>
        <w:rPr>
          <w:lang w:val="en-US"/>
        </w:rPr>
      </w:pPr>
      <w:r w:rsidRPr="001F32B3">
        <w:rPr>
          <w:rFonts w:hint="eastAsia"/>
          <w:b/>
          <w:bCs/>
          <w:u w:val="single"/>
          <w:lang w:val="en-US"/>
        </w:rPr>
        <w:t>P</w:t>
      </w:r>
      <w:r w:rsidRPr="001F32B3">
        <w:rPr>
          <w:b/>
          <w:bCs/>
          <w:u w:val="single"/>
          <w:lang w:val="en-US"/>
        </w:rPr>
        <w:t>roposal 4</w:t>
      </w:r>
      <w:r w:rsidR="001F32B3">
        <w:rPr>
          <w:lang w:val="en-US"/>
        </w:rPr>
        <w:t xml:space="preserve"> </w:t>
      </w:r>
      <w:r w:rsidR="00AD689F">
        <w:rPr>
          <w:lang w:val="en-US"/>
        </w:rPr>
        <w:t xml:space="preserve">If </w:t>
      </w:r>
      <w:r w:rsidR="00B41E77">
        <w:rPr>
          <w:lang w:val="en-US"/>
        </w:rPr>
        <w:t>visibility</w:t>
      </w:r>
      <w:r w:rsidR="00AD689F">
        <w:rPr>
          <w:lang w:val="en-US"/>
        </w:rPr>
        <w:t xml:space="preserve"> is agreed </w:t>
      </w:r>
      <w:r w:rsidR="00391C56">
        <w:rPr>
          <w:lang w:val="en-US"/>
        </w:rPr>
        <w:t>as a part of spatial non-stationarity modeling</w:t>
      </w:r>
      <w:r w:rsidR="00AD689F">
        <w:rPr>
          <w:lang w:val="en-US"/>
        </w:rPr>
        <w:t>, s</w:t>
      </w:r>
      <w:r w:rsidR="001F32B3">
        <w:rPr>
          <w:lang w:val="en-US"/>
        </w:rPr>
        <w:t xml:space="preserve">elect one </w:t>
      </w:r>
      <w:r w:rsidR="00823148">
        <w:rPr>
          <w:lang w:val="en-US"/>
        </w:rPr>
        <w:t>approach from candidate schemes</w:t>
      </w:r>
      <w:r w:rsidR="001F32B3">
        <w:rPr>
          <w:lang w:val="en-US"/>
        </w:rPr>
        <w:t>.</w:t>
      </w:r>
    </w:p>
    <w:p w14:paraId="63DF154B" w14:textId="77777777" w:rsidR="002D65D7" w:rsidRDefault="002D65D7" w:rsidP="002D65D7">
      <w:pPr>
        <w:rPr>
          <w:lang w:val="en-US"/>
        </w:rPr>
      </w:pPr>
    </w:p>
    <w:p w14:paraId="21843273" w14:textId="2A8A48DA" w:rsidR="002D65D7" w:rsidRDefault="002D65D7" w:rsidP="002D65D7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or blockage characterization, RAN1 has made the following agreement</w:t>
      </w:r>
      <w:r w:rsidR="00B05100">
        <w:rPr>
          <w:lang w:val="en-US"/>
        </w:rPr>
        <w:t>:</w:t>
      </w:r>
    </w:p>
    <w:p w14:paraId="6D95178A" w14:textId="77777777" w:rsidR="00B05100" w:rsidRDefault="00B05100" w:rsidP="002D65D7">
      <w:pPr>
        <w:rPr>
          <w:lang w:val="en-US"/>
        </w:rPr>
      </w:pPr>
    </w:p>
    <w:p w14:paraId="132168E0" w14:textId="401F4CF7" w:rsidR="00652FB0" w:rsidRDefault="00652FB0" w:rsidP="002D65D7">
      <w:pPr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>----------</w:t>
      </w:r>
    </w:p>
    <w:p w14:paraId="35094A20" w14:textId="0CEE254F" w:rsidR="005F2BC2" w:rsidRDefault="005F2BC2" w:rsidP="002D65D7">
      <w:pPr>
        <w:rPr>
          <w:lang w:val="en-US"/>
        </w:rPr>
      </w:pPr>
      <w:r w:rsidRPr="005F2BC2">
        <w:rPr>
          <w:rFonts w:hint="eastAsia"/>
          <w:highlight w:val="green"/>
          <w:lang w:val="en-US"/>
        </w:rPr>
        <w:t>A</w:t>
      </w:r>
      <w:r w:rsidRPr="005F2BC2">
        <w:rPr>
          <w:highlight w:val="green"/>
          <w:lang w:val="en-US"/>
        </w:rPr>
        <w:t>greement</w:t>
      </w:r>
    </w:p>
    <w:p w14:paraId="67010783" w14:textId="77777777" w:rsidR="005F2BC2" w:rsidRPr="005F2BC2" w:rsidRDefault="005F2BC2" w:rsidP="005F2BC2">
      <w:pPr>
        <w:rPr>
          <w:lang w:val="en-US"/>
        </w:rPr>
      </w:pPr>
      <w:r w:rsidRPr="005F2BC2">
        <w:rPr>
          <w:rFonts w:hint="eastAsia"/>
          <w:lang w:val="en-US"/>
        </w:rPr>
        <w:t xml:space="preserve">If physical blocker-based approach is adopted, the following aspects should be </w:t>
      </w:r>
      <w:proofErr w:type="gramStart"/>
      <w:r w:rsidRPr="005F2BC2">
        <w:rPr>
          <w:rFonts w:hint="eastAsia"/>
          <w:lang w:val="en-US"/>
        </w:rPr>
        <w:t>considered</w:t>
      </w:r>
      <w:proofErr w:type="gramEnd"/>
    </w:p>
    <w:p w14:paraId="2D8A2B98" w14:textId="77777777" w:rsidR="005F2BC2" w:rsidRPr="005F2BC2" w:rsidRDefault="005F2BC2" w:rsidP="005F2BC2">
      <w:pPr>
        <w:numPr>
          <w:ilvl w:val="0"/>
          <w:numId w:val="25"/>
        </w:numPr>
        <w:rPr>
          <w:lang w:val="en-US"/>
        </w:rPr>
      </w:pPr>
      <w:r w:rsidRPr="005F2BC2">
        <w:rPr>
          <w:rFonts w:hint="eastAsia"/>
          <w:lang w:val="en-US"/>
        </w:rPr>
        <w:t>Blocker size/type</w:t>
      </w:r>
    </w:p>
    <w:p w14:paraId="28B73B7D" w14:textId="77777777" w:rsidR="005F2BC2" w:rsidRPr="005F2BC2" w:rsidRDefault="005F2BC2" w:rsidP="005F2BC2">
      <w:pPr>
        <w:numPr>
          <w:ilvl w:val="1"/>
          <w:numId w:val="25"/>
        </w:numPr>
        <w:rPr>
          <w:lang w:val="en-US"/>
        </w:rPr>
      </w:pPr>
      <w:r w:rsidRPr="005F2BC2">
        <w:rPr>
          <w:rFonts w:hint="eastAsia"/>
          <w:lang w:val="en-US"/>
        </w:rPr>
        <w:t>FFS additional blocker size/type compared to TR 38.901</w:t>
      </w:r>
    </w:p>
    <w:p w14:paraId="1871F903" w14:textId="77777777" w:rsidR="005F2BC2" w:rsidRPr="005F2BC2" w:rsidRDefault="005F2BC2" w:rsidP="005F2BC2">
      <w:pPr>
        <w:numPr>
          <w:ilvl w:val="1"/>
          <w:numId w:val="25"/>
        </w:numPr>
        <w:rPr>
          <w:lang w:val="en-US"/>
        </w:rPr>
      </w:pPr>
      <w:r w:rsidRPr="005F2BC2">
        <w:rPr>
          <w:rFonts w:hint="eastAsia"/>
          <w:lang w:val="en-US"/>
        </w:rPr>
        <w:t>FFS: Different blocker sizes/types are considered to emulate the antenna element-wise blockage effect at the BS and UE side</w:t>
      </w:r>
    </w:p>
    <w:p w14:paraId="101ACD22" w14:textId="70B7C2C3" w:rsidR="005F2BC2" w:rsidRDefault="00652FB0" w:rsidP="002D65D7">
      <w:pPr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>--------</w:t>
      </w:r>
    </w:p>
    <w:p w14:paraId="0C26D76B" w14:textId="77777777" w:rsidR="00652FB0" w:rsidRDefault="00652FB0" w:rsidP="002D65D7">
      <w:pPr>
        <w:rPr>
          <w:lang w:val="en-US"/>
        </w:rPr>
      </w:pPr>
    </w:p>
    <w:p w14:paraId="5B472500" w14:textId="77777777" w:rsidR="00652FB0" w:rsidRDefault="00652FB0" w:rsidP="002D65D7">
      <w:pPr>
        <w:rPr>
          <w:lang w:val="en-US"/>
        </w:rPr>
      </w:pPr>
    </w:p>
    <w:p w14:paraId="473CDF65" w14:textId="10E89DAA" w:rsidR="005F2BC2" w:rsidRDefault="00291B51" w:rsidP="002D65D7">
      <w:pPr>
        <w:rPr>
          <w:lang w:val="en-US"/>
        </w:rPr>
      </w:pPr>
      <w:r>
        <w:rPr>
          <w:lang w:val="en-US"/>
        </w:rPr>
        <w:t xml:space="preserve">There is an FSS </w:t>
      </w:r>
      <w:r w:rsidR="002A6D7C">
        <w:rPr>
          <w:lang w:val="en-US"/>
        </w:rPr>
        <w:t xml:space="preserve">whether to apply the blocker definition in TR 38.901. </w:t>
      </w:r>
      <w:r w:rsidR="005F2BC2">
        <w:rPr>
          <w:rFonts w:hint="eastAsia"/>
          <w:lang w:val="en-US"/>
        </w:rPr>
        <w:t>I</w:t>
      </w:r>
      <w:r w:rsidR="005F2BC2">
        <w:rPr>
          <w:lang w:val="en-US"/>
        </w:rPr>
        <w:t xml:space="preserve">n </w:t>
      </w:r>
      <w:r w:rsidR="002A6D7C">
        <w:rPr>
          <w:lang w:val="en-US"/>
        </w:rPr>
        <w:t xml:space="preserve">the </w:t>
      </w:r>
      <w:r w:rsidR="005F2BC2">
        <w:rPr>
          <w:lang w:val="en-US"/>
        </w:rPr>
        <w:t xml:space="preserve">TR, blocker </w:t>
      </w:r>
      <w:r w:rsidR="00652FB0">
        <w:rPr>
          <w:lang w:val="en-US"/>
        </w:rPr>
        <w:t>types are defined as the following table:</w:t>
      </w:r>
    </w:p>
    <w:p w14:paraId="62244E1E" w14:textId="566FFFAB" w:rsidR="00652FB0" w:rsidRPr="005F2BC2" w:rsidRDefault="00BE42B8" w:rsidP="002D65D7">
      <w:pPr>
        <w:rPr>
          <w:lang w:val="en-US"/>
        </w:rPr>
      </w:pPr>
      <w:r w:rsidRPr="00BE42B8">
        <w:rPr>
          <w:noProof/>
        </w:rPr>
        <w:drawing>
          <wp:inline distT="0" distB="0" distL="0" distR="0" wp14:anchorId="21B02188" wp14:editId="1804B16C">
            <wp:extent cx="6122035" cy="1183640"/>
            <wp:effectExtent l="0" t="0" r="0" b="0"/>
            <wp:docPr id="4" name="図 3">
              <a:extLst xmlns:a="http://schemas.openxmlformats.org/drawingml/2006/main">
                <a:ext uri="{FF2B5EF4-FFF2-40B4-BE49-F238E27FC236}">
                  <a16:creationId xmlns:a16="http://schemas.microsoft.com/office/drawing/2014/main" id="{DBEAFCE0-0BAB-F97A-2B7A-203DD1E832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図 3">
                      <a:extLst>
                        <a:ext uri="{FF2B5EF4-FFF2-40B4-BE49-F238E27FC236}">
                          <a16:creationId xmlns:a16="http://schemas.microsoft.com/office/drawing/2014/main" id="{DBEAFCE0-0BAB-F97A-2B7A-203DD1E832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C586B" w14:textId="77777777" w:rsidR="002D65D7" w:rsidRDefault="002D65D7" w:rsidP="00BE42B8">
      <w:pPr>
        <w:rPr>
          <w:lang w:val="en-US"/>
        </w:rPr>
      </w:pPr>
    </w:p>
    <w:p w14:paraId="01444087" w14:textId="5B40167B" w:rsidR="00BE42B8" w:rsidRDefault="00E33D84" w:rsidP="00BE42B8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our understanding, in terms of the types of blockers, </w:t>
      </w:r>
      <w:r w:rsidR="008727CB">
        <w:rPr>
          <w:lang w:val="en-US"/>
        </w:rPr>
        <w:t xml:space="preserve">there is no necessity to add new one to support new use cases at this moment. </w:t>
      </w:r>
      <w:r w:rsidR="00754D04">
        <w:rPr>
          <w:lang w:val="en-US"/>
        </w:rPr>
        <w:t xml:space="preserve">Also, blocker dimension and mobility pattern </w:t>
      </w:r>
      <w:r w:rsidR="00437648">
        <w:rPr>
          <w:lang w:val="en-US"/>
        </w:rPr>
        <w:t xml:space="preserve">could be reused because </w:t>
      </w:r>
      <w:r w:rsidR="00BD7089">
        <w:rPr>
          <w:lang w:val="en-US"/>
        </w:rPr>
        <w:t xml:space="preserve">these parameters are decided so that the assumption </w:t>
      </w:r>
      <w:r w:rsidR="008C1A67">
        <w:rPr>
          <w:lang w:val="en-US"/>
        </w:rPr>
        <w:t>could</w:t>
      </w:r>
      <w:r w:rsidR="00F837F0">
        <w:rPr>
          <w:lang w:val="en-US"/>
        </w:rPr>
        <w:t xml:space="preserve"> be realistic. Thus, the table 7.6.4.2-5</w:t>
      </w:r>
      <w:r w:rsidR="006F42AD">
        <w:rPr>
          <w:lang w:val="en-US"/>
        </w:rPr>
        <w:t xml:space="preserve"> can be assumed as the baseline for the discussion.</w:t>
      </w:r>
      <w:r w:rsidR="003743BC">
        <w:rPr>
          <w:lang w:val="en-US"/>
        </w:rPr>
        <w:t xml:space="preserve"> RAN1 can discuss necessity to further add additional parameters to characterize spatial non-stationarity, if necessary.</w:t>
      </w:r>
    </w:p>
    <w:p w14:paraId="17698519" w14:textId="77777777" w:rsidR="00BE42B8" w:rsidRDefault="00BE42B8" w:rsidP="00BE42B8">
      <w:pPr>
        <w:rPr>
          <w:lang w:val="en-US"/>
        </w:rPr>
      </w:pPr>
    </w:p>
    <w:p w14:paraId="0474FD74" w14:textId="5DDAA95B" w:rsidR="005F47DF" w:rsidRPr="005F47DF" w:rsidRDefault="005F47DF" w:rsidP="00C144A2">
      <w:pPr>
        <w:rPr>
          <w:lang w:val="en-US"/>
        </w:rPr>
      </w:pPr>
      <w:r w:rsidRPr="005F47DF">
        <w:rPr>
          <w:rFonts w:hint="eastAsia"/>
          <w:b/>
          <w:bCs/>
          <w:u w:val="single"/>
          <w:lang w:val="en-US"/>
        </w:rPr>
        <w:t>Proposal</w:t>
      </w:r>
      <w:r w:rsidR="00C144A2" w:rsidRPr="00C144A2">
        <w:rPr>
          <w:b/>
          <w:bCs/>
          <w:u w:val="single"/>
          <w:lang w:val="en-US"/>
        </w:rPr>
        <w:t xml:space="preserve"> 5</w:t>
      </w:r>
      <w:r w:rsidRPr="005F47DF">
        <w:rPr>
          <w:rFonts w:hint="eastAsia"/>
          <w:lang w:val="en-US"/>
        </w:rPr>
        <w:t xml:space="preserve"> Regarding blocker size/type definition for spatial non-stationarity, Table 7.6.4.2-5 in TR 38.901 can be reused as the baseline</w:t>
      </w:r>
      <w:r w:rsidR="00845094">
        <w:rPr>
          <w:lang w:val="en-US"/>
        </w:rPr>
        <w:t xml:space="preserve"> if it is agreed to specify</w:t>
      </w:r>
      <w:r w:rsidRPr="005F47DF">
        <w:rPr>
          <w:rFonts w:hint="eastAsia"/>
          <w:lang w:val="en-US"/>
        </w:rPr>
        <w:t>.</w:t>
      </w:r>
    </w:p>
    <w:p w14:paraId="55254CD6" w14:textId="77777777" w:rsidR="00D02036" w:rsidRPr="00B662EF" w:rsidRDefault="00D02036" w:rsidP="00D02036">
      <w:pPr>
        <w:rPr>
          <w:lang w:val="en-US"/>
        </w:rPr>
      </w:pPr>
    </w:p>
    <w:p w14:paraId="4CE794B4" w14:textId="0B94DB1D" w:rsidR="00D02036" w:rsidRPr="00F81E86" w:rsidRDefault="00D02036" w:rsidP="00070323">
      <w:pPr>
        <w:pStyle w:val="1"/>
      </w:pPr>
      <w:r>
        <w:rPr>
          <w:rFonts w:hint="eastAsia"/>
        </w:rPr>
        <w:t>C</w:t>
      </w:r>
      <w:r>
        <w:t>onclusion</w:t>
      </w:r>
    </w:p>
    <w:p w14:paraId="61CBBC46" w14:textId="6002BE64" w:rsidR="00B662EF" w:rsidRDefault="00DC6A72" w:rsidP="00145D5A">
      <w:r>
        <w:t xml:space="preserve"> In this contribution, discussion on necessity of </w:t>
      </w:r>
      <w:r w:rsidR="00FA6977">
        <w:t xml:space="preserve">near-field model and spatial non-stationarity was provided. The following </w:t>
      </w:r>
      <w:r w:rsidR="00145D5A">
        <w:t>observation and proposals were made.</w:t>
      </w:r>
    </w:p>
    <w:p w14:paraId="362085DE" w14:textId="30E1CEEA" w:rsidR="00145D5A" w:rsidRDefault="00145D5A" w:rsidP="00145D5A">
      <w:pPr>
        <w:rPr>
          <w:lang w:val="en-US"/>
        </w:rPr>
      </w:pPr>
      <w:r>
        <w:br/>
      </w:r>
      <w:r w:rsidRPr="00987B50">
        <w:rPr>
          <w:rFonts w:hint="eastAsia"/>
          <w:b/>
          <w:bCs/>
          <w:u w:val="single"/>
          <w:lang w:val="en-US"/>
        </w:rPr>
        <w:t>O</w:t>
      </w:r>
      <w:r w:rsidRPr="00987B50">
        <w:rPr>
          <w:b/>
          <w:bCs/>
          <w:u w:val="single"/>
          <w:lang w:val="en-US"/>
        </w:rPr>
        <w:t>bservation 1</w:t>
      </w:r>
      <w:r>
        <w:rPr>
          <w:lang w:val="en-US"/>
        </w:rPr>
        <w:t xml:space="preserve"> Depending on the assumed antenna array size and frequency, the applicability of the near-field model changes.</w:t>
      </w:r>
    </w:p>
    <w:p w14:paraId="4A677770" w14:textId="77777777" w:rsidR="003734BE" w:rsidRDefault="003734BE" w:rsidP="003734BE">
      <w:pPr>
        <w:rPr>
          <w:lang w:val="en-US"/>
        </w:rPr>
      </w:pPr>
      <w:r w:rsidRPr="003C7AB3">
        <w:rPr>
          <w:b/>
          <w:bCs/>
          <w:u w:val="single"/>
          <w:lang w:val="en-US"/>
        </w:rPr>
        <w:t>Proposal 1</w:t>
      </w:r>
      <w:r w:rsidRPr="00F42C56">
        <w:rPr>
          <w:lang w:val="en-US"/>
        </w:rPr>
        <w:t xml:space="preserve"> With realistic antenna array size assumption, necessity of near-field model should be confirmed.</w:t>
      </w:r>
    </w:p>
    <w:p w14:paraId="4CC60E85" w14:textId="3D90BD5A" w:rsidR="003734BE" w:rsidRPr="00D62B56" w:rsidRDefault="003734BE" w:rsidP="003734BE">
      <w:pPr>
        <w:rPr>
          <w:lang w:val="en-US"/>
        </w:rPr>
      </w:pPr>
      <w:r w:rsidRPr="00D62B56">
        <w:rPr>
          <w:rFonts w:hint="eastAsia"/>
          <w:b/>
          <w:bCs/>
          <w:u w:val="single"/>
          <w:lang w:val="en-US"/>
        </w:rPr>
        <w:t>Proposal 2</w:t>
      </w:r>
      <w:r w:rsidRPr="00D62B56">
        <w:rPr>
          <w:rFonts w:hint="eastAsia"/>
          <w:lang w:val="en-US"/>
        </w:rPr>
        <w:t xml:space="preserve"> Applicability of the NF model should be clarified </w:t>
      </w:r>
      <w:r>
        <w:rPr>
          <w:lang w:val="en-US"/>
        </w:rPr>
        <w:t xml:space="preserve">in terms of examples of applicable deployment scenarios </w:t>
      </w:r>
      <w:r w:rsidRPr="00D62B56">
        <w:rPr>
          <w:rFonts w:hint="eastAsia"/>
          <w:lang w:val="en-US"/>
        </w:rPr>
        <w:t>for future utilization of the model</w:t>
      </w:r>
      <w:r>
        <w:rPr>
          <w:lang w:val="en-US"/>
        </w:rPr>
        <w:t>.</w:t>
      </w:r>
    </w:p>
    <w:p w14:paraId="283B6C80" w14:textId="26E694DA" w:rsidR="00F81E86" w:rsidRDefault="003734BE" w:rsidP="00532D1A">
      <w:pPr>
        <w:rPr>
          <w:lang w:val="en-US"/>
        </w:rPr>
      </w:pPr>
      <w:r w:rsidRPr="000F3CB2">
        <w:rPr>
          <w:b/>
          <w:bCs/>
          <w:u w:val="single"/>
          <w:lang w:val="en-US"/>
        </w:rPr>
        <w:t>Proposal 3</w:t>
      </w:r>
      <w:r>
        <w:rPr>
          <w:lang w:val="en-US"/>
        </w:rPr>
        <w:t xml:space="preserve"> For near-field channel modeling, a</w:t>
      </w:r>
      <w:r w:rsidRPr="001310EA">
        <w:rPr>
          <w:rFonts w:hint="eastAsia"/>
          <w:lang w:val="en-US"/>
        </w:rPr>
        <w:t xml:space="preserve">t least study Option-1 </w:t>
      </w:r>
      <w:r>
        <w:rPr>
          <w:lang w:val="en-US"/>
        </w:rPr>
        <w:t xml:space="preserve">(Cluster location-based approach) </w:t>
      </w:r>
      <w:r w:rsidRPr="001310EA">
        <w:rPr>
          <w:rFonts w:hint="eastAsia"/>
          <w:lang w:val="en-US"/>
        </w:rPr>
        <w:t>further.</w:t>
      </w:r>
    </w:p>
    <w:p w14:paraId="1567E985" w14:textId="77777777" w:rsidR="00535EA3" w:rsidRDefault="00535EA3" w:rsidP="00535EA3">
      <w:pPr>
        <w:rPr>
          <w:lang w:val="en-US"/>
        </w:rPr>
      </w:pPr>
      <w:r w:rsidRPr="001F32B3">
        <w:rPr>
          <w:rFonts w:hint="eastAsia"/>
          <w:b/>
          <w:bCs/>
          <w:u w:val="single"/>
          <w:lang w:val="en-US"/>
        </w:rPr>
        <w:t>P</w:t>
      </w:r>
      <w:r w:rsidRPr="001F32B3">
        <w:rPr>
          <w:b/>
          <w:bCs/>
          <w:u w:val="single"/>
          <w:lang w:val="en-US"/>
        </w:rPr>
        <w:t>roposal 4</w:t>
      </w:r>
      <w:r>
        <w:rPr>
          <w:lang w:val="en-US"/>
        </w:rPr>
        <w:t xml:space="preserve"> If visibility is agreed as a part of spatial non-stationarity modeling, select one approach from candidate schemes.</w:t>
      </w:r>
    </w:p>
    <w:p w14:paraId="0C3F45B4" w14:textId="77777777" w:rsidR="00845094" w:rsidRPr="005F47DF" w:rsidRDefault="00845094" w:rsidP="00845094">
      <w:pPr>
        <w:rPr>
          <w:lang w:val="en-US"/>
        </w:rPr>
      </w:pPr>
      <w:r w:rsidRPr="005F47DF">
        <w:rPr>
          <w:rFonts w:hint="eastAsia"/>
          <w:b/>
          <w:bCs/>
          <w:u w:val="single"/>
          <w:lang w:val="en-US"/>
        </w:rPr>
        <w:t>Proposal</w:t>
      </w:r>
      <w:r w:rsidRPr="00C144A2">
        <w:rPr>
          <w:b/>
          <w:bCs/>
          <w:u w:val="single"/>
          <w:lang w:val="en-US"/>
        </w:rPr>
        <w:t xml:space="preserve"> 5</w:t>
      </w:r>
      <w:r w:rsidRPr="005F47DF">
        <w:rPr>
          <w:rFonts w:hint="eastAsia"/>
          <w:lang w:val="en-US"/>
        </w:rPr>
        <w:t xml:space="preserve"> Regarding blocker size/type definition for spatial non-stationarity, Table 7.6.4.2-5 in TR 38.901 can be reused as the baseline</w:t>
      </w:r>
      <w:r>
        <w:rPr>
          <w:lang w:val="en-US"/>
        </w:rPr>
        <w:t xml:space="preserve"> if it is agreed to specify</w:t>
      </w:r>
      <w:r w:rsidRPr="005F47DF">
        <w:rPr>
          <w:rFonts w:hint="eastAsia"/>
          <w:lang w:val="en-US"/>
        </w:rPr>
        <w:t>.</w:t>
      </w:r>
    </w:p>
    <w:p w14:paraId="1B413843" w14:textId="77777777" w:rsidR="00535EA3" w:rsidRPr="00845094" w:rsidRDefault="00535EA3" w:rsidP="00532D1A">
      <w:pPr>
        <w:rPr>
          <w:lang w:val="en-US"/>
        </w:rPr>
      </w:pPr>
    </w:p>
    <w:p w14:paraId="43D99B42" w14:textId="4F4234F7" w:rsidR="00F81E86" w:rsidRPr="00F81E86" w:rsidRDefault="00F81E86" w:rsidP="00AB16E1">
      <w:pPr>
        <w:pStyle w:val="1"/>
      </w:pPr>
      <w:r w:rsidRPr="00F81E86">
        <w:rPr>
          <w:rFonts w:hint="eastAsia"/>
        </w:rPr>
        <w:t>R</w:t>
      </w:r>
      <w:r w:rsidRPr="00F81E86">
        <w:t>eference</w:t>
      </w:r>
    </w:p>
    <w:p w14:paraId="0E2616DC" w14:textId="26870AA3" w:rsidR="00F81E86" w:rsidRDefault="00F81E86" w:rsidP="00532D1A">
      <w:r w:rsidRPr="00F81E86">
        <w:rPr>
          <w:rFonts w:hint="eastAsia"/>
        </w:rPr>
        <w:t>[</w:t>
      </w:r>
      <w:r w:rsidRPr="00F81E86">
        <w:t xml:space="preserve">1] </w:t>
      </w:r>
      <w:r w:rsidR="004531FF" w:rsidRPr="004531FF">
        <w:t>RP-234018</w:t>
      </w:r>
      <w:r w:rsidR="004531FF">
        <w:t>, Study item description</w:t>
      </w:r>
      <w:r w:rsidR="0006616D">
        <w:t>: Study on Channel Modelling Enhancements for 7-24 GHz for NR</w:t>
      </w:r>
    </w:p>
    <w:p w14:paraId="63372D30" w14:textId="4264773A" w:rsidR="0006616D" w:rsidRPr="0006616D" w:rsidRDefault="0006616D" w:rsidP="00532D1A">
      <w:r>
        <w:t xml:space="preserve">[2] </w:t>
      </w:r>
      <w:r w:rsidR="00547C8A" w:rsidRPr="00547C8A">
        <w:t>R1-240248</w:t>
      </w:r>
      <w:r w:rsidR="00547C8A">
        <w:t xml:space="preserve">, </w:t>
      </w:r>
      <w:r>
        <w:t>Samsung</w:t>
      </w:r>
      <w:r w:rsidR="00547C8A">
        <w:t>,</w:t>
      </w:r>
      <w:r>
        <w:t xml:space="preserve"> </w:t>
      </w:r>
      <w:r w:rsidR="00556EA0">
        <w:t>R</w:t>
      </w:r>
      <w:r w:rsidR="00D77705">
        <w:t>AN1#116bis</w:t>
      </w:r>
    </w:p>
    <w:p w14:paraId="3F685180" w14:textId="77777777" w:rsidR="007E4D34" w:rsidRPr="00600D1B" w:rsidRDefault="007E4D34" w:rsidP="00532D1A"/>
    <w:p w14:paraId="303873F9" w14:textId="77777777" w:rsidR="00CE4995" w:rsidRDefault="00CE4995" w:rsidP="00532D1A"/>
    <w:p w14:paraId="1638D50A" w14:textId="77777777" w:rsidR="003E3844" w:rsidRPr="003E3844" w:rsidRDefault="003E3844" w:rsidP="00532D1A"/>
    <w:sectPr w:rsidR="003E3844" w:rsidRPr="003E3844" w:rsidSect="00C069E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F6AEB" w14:textId="77777777" w:rsidR="00DB3641" w:rsidRDefault="00DB3641" w:rsidP="00532D1A">
      <w:r>
        <w:separator/>
      </w:r>
    </w:p>
  </w:endnote>
  <w:endnote w:type="continuationSeparator" w:id="0">
    <w:p w14:paraId="346E5DDA" w14:textId="77777777" w:rsidR="00DB3641" w:rsidRDefault="00DB3641" w:rsidP="00532D1A">
      <w:r>
        <w:continuationSeparator/>
      </w:r>
    </w:p>
  </w:endnote>
  <w:endnote w:type="continuationNotice" w:id="1">
    <w:p w14:paraId="452F7ABC" w14:textId="77777777" w:rsidR="00DB3641" w:rsidRDefault="00DB36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9F1B5" w14:textId="77777777" w:rsidR="00DB3641" w:rsidRDefault="00DB3641" w:rsidP="00532D1A">
      <w:r>
        <w:separator/>
      </w:r>
    </w:p>
  </w:footnote>
  <w:footnote w:type="continuationSeparator" w:id="0">
    <w:p w14:paraId="6CD4F4DF" w14:textId="77777777" w:rsidR="00DB3641" w:rsidRDefault="00DB3641" w:rsidP="00532D1A">
      <w:r>
        <w:continuationSeparator/>
      </w:r>
    </w:p>
  </w:footnote>
  <w:footnote w:type="continuationNotice" w:id="1">
    <w:p w14:paraId="14CFB274" w14:textId="77777777" w:rsidR="00DB3641" w:rsidRDefault="00DB36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6D39"/>
    <w:multiLevelType w:val="hybridMultilevel"/>
    <w:tmpl w:val="F500A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47F04"/>
    <w:multiLevelType w:val="hybridMultilevel"/>
    <w:tmpl w:val="33CA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4441C"/>
    <w:multiLevelType w:val="hybridMultilevel"/>
    <w:tmpl w:val="4C20F9AC"/>
    <w:lvl w:ilvl="0" w:tplc="DF7C3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A6F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026A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F846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50C1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A22A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7EF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2C21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C7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7E104E7"/>
    <w:multiLevelType w:val="hybridMultilevel"/>
    <w:tmpl w:val="BB1A8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83AF7"/>
    <w:multiLevelType w:val="hybridMultilevel"/>
    <w:tmpl w:val="C18A4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D73AA"/>
    <w:multiLevelType w:val="hybridMultilevel"/>
    <w:tmpl w:val="01D47B30"/>
    <w:lvl w:ilvl="0" w:tplc="5756FA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0DDC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E8C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FCAC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0CDC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0A64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62F7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80DB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EE804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241BB"/>
    <w:multiLevelType w:val="hybridMultilevel"/>
    <w:tmpl w:val="AA9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B5D5C45"/>
    <w:multiLevelType w:val="hybridMultilevel"/>
    <w:tmpl w:val="2644407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0FA2B2F"/>
    <w:multiLevelType w:val="hybridMultilevel"/>
    <w:tmpl w:val="34A8693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171708B"/>
    <w:multiLevelType w:val="multilevel"/>
    <w:tmpl w:val="41781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EF70D8"/>
    <w:multiLevelType w:val="hybridMultilevel"/>
    <w:tmpl w:val="9A927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07711"/>
    <w:multiLevelType w:val="hybridMultilevel"/>
    <w:tmpl w:val="1C52F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A36FC"/>
    <w:multiLevelType w:val="hybridMultilevel"/>
    <w:tmpl w:val="34A06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848C9"/>
    <w:multiLevelType w:val="hybridMultilevel"/>
    <w:tmpl w:val="52923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500223C"/>
    <w:multiLevelType w:val="hybridMultilevel"/>
    <w:tmpl w:val="FEEEA846"/>
    <w:lvl w:ilvl="0" w:tplc="36A85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000B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0211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CACF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DADD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DCC1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4E7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FED4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026A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DD04ECB"/>
    <w:multiLevelType w:val="hybridMultilevel"/>
    <w:tmpl w:val="2A9CF17C"/>
    <w:lvl w:ilvl="0" w:tplc="EC7CE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8C9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D80E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81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C33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9262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1AF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B4D0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4A4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07D55E9"/>
    <w:multiLevelType w:val="multilevel"/>
    <w:tmpl w:val="4CD8639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7863E48"/>
    <w:multiLevelType w:val="hybridMultilevel"/>
    <w:tmpl w:val="FD2E99F8"/>
    <w:lvl w:ilvl="0" w:tplc="3FB43D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FC01E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0CAEF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8077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867B2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7829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9EB1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587F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8E60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66DBF"/>
    <w:multiLevelType w:val="hybridMultilevel"/>
    <w:tmpl w:val="34A8693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9633743"/>
    <w:multiLevelType w:val="hybridMultilevel"/>
    <w:tmpl w:val="B7B8B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A4628"/>
    <w:multiLevelType w:val="hybridMultilevel"/>
    <w:tmpl w:val="0DFCC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454"/>
    <w:multiLevelType w:val="hybridMultilevel"/>
    <w:tmpl w:val="A8DEFF48"/>
    <w:lvl w:ilvl="0" w:tplc="FD426A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6C4C2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C06A08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3A75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8AC5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380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F6F7D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BCFA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806B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129ED"/>
    <w:multiLevelType w:val="hybridMultilevel"/>
    <w:tmpl w:val="5C662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504B3"/>
    <w:multiLevelType w:val="hybridMultilevel"/>
    <w:tmpl w:val="09545CB0"/>
    <w:lvl w:ilvl="0" w:tplc="4BCE79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2E05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940C6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C281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FEEA4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265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6EAF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B85FD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DC004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287498">
    <w:abstractNumId w:val="10"/>
  </w:num>
  <w:num w:numId="2" w16cid:durableId="2136869905">
    <w:abstractNumId w:val="20"/>
  </w:num>
  <w:num w:numId="3" w16cid:durableId="546769709">
    <w:abstractNumId w:val="0"/>
  </w:num>
  <w:num w:numId="4" w16cid:durableId="1598446367">
    <w:abstractNumId w:val="21"/>
  </w:num>
  <w:num w:numId="5" w16cid:durableId="952132827">
    <w:abstractNumId w:val="13"/>
  </w:num>
  <w:num w:numId="6" w16cid:durableId="186721962">
    <w:abstractNumId w:val="11"/>
  </w:num>
  <w:num w:numId="7" w16cid:durableId="2045708152">
    <w:abstractNumId w:val="17"/>
  </w:num>
  <w:num w:numId="8" w16cid:durableId="1343359394">
    <w:abstractNumId w:val="8"/>
  </w:num>
  <w:num w:numId="9" w16cid:durableId="1542127649">
    <w:abstractNumId w:val="7"/>
  </w:num>
  <w:num w:numId="10" w16cid:durableId="602759493">
    <w:abstractNumId w:val="19"/>
  </w:num>
  <w:num w:numId="11" w16cid:durableId="1817792971">
    <w:abstractNumId w:val="9"/>
  </w:num>
  <w:num w:numId="12" w16cid:durableId="681976964">
    <w:abstractNumId w:val="14"/>
  </w:num>
  <w:num w:numId="13" w16cid:durableId="363947063">
    <w:abstractNumId w:val="23"/>
  </w:num>
  <w:num w:numId="14" w16cid:durableId="1669358195">
    <w:abstractNumId w:val="6"/>
  </w:num>
  <w:num w:numId="15" w16cid:durableId="2092896208">
    <w:abstractNumId w:val="4"/>
  </w:num>
  <w:num w:numId="16" w16cid:durableId="1373193579">
    <w:abstractNumId w:val="12"/>
  </w:num>
  <w:num w:numId="17" w16cid:durableId="1924562741">
    <w:abstractNumId w:val="3"/>
  </w:num>
  <w:num w:numId="18" w16cid:durableId="48068114">
    <w:abstractNumId w:val="1"/>
  </w:num>
  <w:num w:numId="19" w16cid:durableId="252590608">
    <w:abstractNumId w:val="24"/>
  </w:num>
  <w:num w:numId="20" w16cid:durableId="2045254479">
    <w:abstractNumId w:val="16"/>
  </w:num>
  <w:num w:numId="21" w16cid:durableId="1303123665">
    <w:abstractNumId w:val="15"/>
  </w:num>
  <w:num w:numId="22" w16cid:durableId="1937669413">
    <w:abstractNumId w:val="5"/>
  </w:num>
  <w:num w:numId="23" w16cid:durableId="266234121">
    <w:abstractNumId w:val="2"/>
  </w:num>
  <w:num w:numId="24" w16cid:durableId="1273829328">
    <w:abstractNumId w:val="18"/>
  </w:num>
  <w:num w:numId="25" w16cid:durableId="20087452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E86"/>
    <w:rsid w:val="00000B38"/>
    <w:rsid w:val="0000234B"/>
    <w:rsid w:val="00002DEF"/>
    <w:rsid w:val="000039C7"/>
    <w:rsid w:val="00005D67"/>
    <w:rsid w:val="000138CB"/>
    <w:rsid w:val="00016FF8"/>
    <w:rsid w:val="000237F4"/>
    <w:rsid w:val="00023E6E"/>
    <w:rsid w:val="000245DC"/>
    <w:rsid w:val="00024E2A"/>
    <w:rsid w:val="00026056"/>
    <w:rsid w:val="00027307"/>
    <w:rsid w:val="00030354"/>
    <w:rsid w:val="00035229"/>
    <w:rsid w:val="00042EB3"/>
    <w:rsid w:val="00052410"/>
    <w:rsid w:val="00052CD3"/>
    <w:rsid w:val="00053516"/>
    <w:rsid w:val="000538ED"/>
    <w:rsid w:val="00053A82"/>
    <w:rsid w:val="00061FF4"/>
    <w:rsid w:val="0006212F"/>
    <w:rsid w:val="00062394"/>
    <w:rsid w:val="0006304B"/>
    <w:rsid w:val="000649AD"/>
    <w:rsid w:val="0006588D"/>
    <w:rsid w:val="0006591F"/>
    <w:rsid w:val="0006616D"/>
    <w:rsid w:val="00066A94"/>
    <w:rsid w:val="00070323"/>
    <w:rsid w:val="00071EA7"/>
    <w:rsid w:val="000776D4"/>
    <w:rsid w:val="000825A4"/>
    <w:rsid w:val="00084726"/>
    <w:rsid w:val="000920BA"/>
    <w:rsid w:val="00094A15"/>
    <w:rsid w:val="000A3F1C"/>
    <w:rsid w:val="000A3FC5"/>
    <w:rsid w:val="000A4AB2"/>
    <w:rsid w:val="000A7744"/>
    <w:rsid w:val="000B2085"/>
    <w:rsid w:val="000B65C4"/>
    <w:rsid w:val="000C2F64"/>
    <w:rsid w:val="000C4A25"/>
    <w:rsid w:val="000D0169"/>
    <w:rsid w:val="000D15B4"/>
    <w:rsid w:val="000D3308"/>
    <w:rsid w:val="000E2A10"/>
    <w:rsid w:val="000F058B"/>
    <w:rsid w:val="000F1407"/>
    <w:rsid w:val="000F39B5"/>
    <w:rsid w:val="000F3CB2"/>
    <w:rsid w:val="00104232"/>
    <w:rsid w:val="001046E9"/>
    <w:rsid w:val="0010626A"/>
    <w:rsid w:val="00110544"/>
    <w:rsid w:val="001114A1"/>
    <w:rsid w:val="00112787"/>
    <w:rsid w:val="00115726"/>
    <w:rsid w:val="00124783"/>
    <w:rsid w:val="0012788E"/>
    <w:rsid w:val="001310EA"/>
    <w:rsid w:val="00132441"/>
    <w:rsid w:val="0013281E"/>
    <w:rsid w:val="00134CB4"/>
    <w:rsid w:val="00137134"/>
    <w:rsid w:val="00140C17"/>
    <w:rsid w:val="00144CBB"/>
    <w:rsid w:val="00145D5A"/>
    <w:rsid w:val="00147EA9"/>
    <w:rsid w:val="00161262"/>
    <w:rsid w:val="00166102"/>
    <w:rsid w:val="001662C9"/>
    <w:rsid w:val="00167258"/>
    <w:rsid w:val="0017016C"/>
    <w:rsid w:val="00176103"/>
    <w:rsid w:val="001839A2"/>
    <w:rsid w:val="00185E41"/>
    <w:rsid w:val="00187A3A"/>
    <w:rsid w:val="00190A2A"/>
    <w:rsid w:val="001A0B82"/>
    <w:rsid w:val="001A16BC"/>
    <w:rsid w:val="001A6A5C"/>
    <w:rsid w:val="001A6C3E"/>
    <w:rsid w:val="001A78A1"/>
    <w:rsid w:val="001B2978"/>
    <w:rsid w:val="001C0497"/>
    <w:rsid w:val="001C2B1B"/>
    <w:rsid w:val="001C7680"/>
    <w:rsid w:val="001C76BB"/>
    <w:rsid w:val="001D1120"/>
    <w:rsid w:val="001D1B68"/>
    <w:rsid w:val="001D4567"/>
    <w:rsid w:val="001D4FCB"/>
    <w:rsid w:val="001D5666"/>
    <w:rsid w:val="001E4515"/>
    <w:rsid w:val="001E5C1F"/>
    <w:rsid w:val="001F071F"/>
    <w:rsid w:val="001F1A6D"/>
    <w:rsid w:val="001F32B3"/>
    <w:rsid w:val="001F38AD"/>
    <w:rsid w:val="001F3A20"/>
    <w:rsid w:val="001F7138"/>
    <w:rsid w:val="00203438"/>
    <w:rsid w:val="002065FB"/>
    <w:rsid w:val="00207375"/>
    <w:rsid w:val="00210532"/>
    <w:rsid w:val="002109A2"/>
    <w:rsid w:val="00210CB3"/>
    <w:rsid w:val="0022336E"/>
    <w:rsid w:val="00237348"/>
    <w:rsid w:val="00241504"/>
    <w:rsid w:val="00243E83"/>
    <w:rsid w:val="00246AD2"/>
    <w:rsid w:val="00247222"/>
    <w:rsid w:val="00247D27"/>
    <w:rsid w:val="00251101"/>
    <w:rsid w:val="002557C6"/>
    <w:rsid w:val="00255EDC"/>
    <w:rsid w:val="0025725B"/>
    <w:rsid w:val="00257C63"/>
    <w:rsid w:val="00261D3F"/>
    <w:rsid w:val="00267363"/>
    <w:rsid w:val="00273910"/>
    <w:rsid w:val="00276453"/>
    <w:rsid w:val="002844F4"/>
    <w:rsid w:val="00290E6D"/>
    <w:rsid w:val="00291B51"/>
    <w:rsid w:val="002939F5"/>
    <w:rsid w:val="00296187"/>
    <w:rsid w:val="00296AC1"/>
    <w:rsid w:val="002A2655"/>
    <w:rsid w:val="002A49E0"/>
    <w:rsid w:val="002A4DCE"/>
    <w:rsid w:val="002A53DF"/>
    <w:rsid w:val="002A6D7C"/>
    <w:rsid w:val="002B3195"/>
    <w:rsid w:val="002C2065"/>
    <w:rsid w:val="002C4B7E"/>
    <w:rsid w:val="002C761A"/>
    <w:rsid w:val="002D2A70"/>
    <w:rsid w:val="002D304C"/>
    <w:rsid w:val="002D3B1B"/>
    <w:rsid w:val="002D4445"/>
    <w:rsid w:val="002D6235"/>
    <w:rsid w:val="002D65D7"/>
    <w:rsid w:val="002D73E9"/>
    <w:rsid w:val="002E0852"/>
    <w:rsid w:val="002E0D0C"/>
    <w:rsid w:val="002E205E"/>
    <w:rsid w:val="002E73D8"/>
    <w:rsid w:val="002F3650"/>
    <w:rsid w:val="00300B5E"/>
    <w:rsid w:val="00301D8C"/>
    <w:rsid w:val="0030374A"/>
    <w:rsid w:val="003040F6"/>
    <w:rsid w:val="00307090"/>
    <w:rsid w:val="003075EF"/>
    <w:rsid w:val="00307837"/>
    <w:rsid w:val="00313E03"/>
    <w:rsid w:val="00314149"/>
    <w:rsid w:val="00315261"/>
    <w:rsid w:val="00320F80"/>
    <w:rsid w:val="0032704E"/>
    <w:rsid w:val="00331ACB"/>
    <w:rsid w:val="00331B64"/>
    <w:rsid w:val="003334A6"/>
    <w:rsid w:val="00334970"/>
    <w:rsid w:val="00336ABD"/>
    <w:rsid w:val="00337089"/>
    <w:rsid w:val="003440F4"/>
    <w:rsid w:val="00344A4E"/>
    <w:rsid w:val="00345768"/>
    <w:rsid w:val="00354179"/>
    <w:rsid w:val="00354430"/>
    <w:rsid w:val="00354962"/>
    <w:rsid w:val="00361A6D"/>
    <w:rsid w:val="0036246F"/>
    <w:rsid w:val="003631FF"/>
    <w:rsid w:val="00363D7C"/>
    <w:rsid w:val="00363E2C"/>
    <w:rsid w:val="0036548C"/>
    <w:rsid w:val="00365C0C"/>
    <w:rsid w:val="003671D2"/>
    <w:rsid w:val="00370844"/>
    <w:rsid w:val="00370866"/>
    <w:rsid w:val="00370E2C"/>
    <w:rsid w:val="003711D5"/>
    <w:rsid w:val="00371E79"/>
    <w:rsid w:val="003734BE"/>
    <w:rsid w:val="003743BC"/>
    <w:rsid w:val="00377673"/>
    <w:rsid w:val="00377DA2"/>
    <w:rsid w:val="00377F20"/>
    <w:rsid w:val="0038017F"/>
    <w:rsid w:val="00382A8E"/>
    <w:rsid w:val="0039008C"/>
    <w:rsid w:val="00391C56"/>
    <w:rsid w:val="00391D6A"/>
    <w:rsid w:val="00396284"/>
    <w:rsid w:val="00397363"/>
    <w:rsid w:val="003A32C1"/>
    <w:rsid w:val="003A62A4"/>
    <w:rsid w:val="003B00E6"/>
    <w:rsid w:val="003B28CE"/>
    <w:rsid w:val="003B2C19"/>
    <w:rsid w:val="003B440F"/>
    <w:rsid w:val="003B5E52"/>
    <w:rsid w:val="003B5FF5"/>
    <w:rsid w:val="003C131E"/>
    <w:rsid w:val="003C4B50"/>
    <w:rsid w:val="003C7AB3"/>
    <w:rsid w:val="003D12F8"/>
    <w:rsid w:val="003D202F"/>
    <w:rsid w:val="003D2A54"/>
    <w:rsid w:val="003D4FE9"/>
    <w:rsid w:val="003D50FB"/>
    <w:rsid w:val="003E0C47"/>
    <w:rsid w:val="003E2203"/>
    <w:rsid w:val="003E3844"/>
    <w:rsid w:val="003F58A1"/>
    <w:rsid w:val="00401C5C"/>
    <w:rsid w:val="00404E97"/>
    <w:rsid w:val="00407D4E"/>
    <w:rsid w:val="004147CA"/>
    <w:rsid w:val="00415CD8"/>
    <w:rsid w:val="00415D34"/>
    <w:rsid w:val="00421DE1"/>
    <w:rsid w:val="00422293"/>
    <w:rsid w:val="0042381F"/>
    <w:rsid w:val="00426E35"/>
    <w:rsid w:val="00430185"/>
    <w:rsid w:val="00431279"/>
    <w:rsid w:val="00432B8B"/>
    <w:rsid w:val="0043313B"/>
    <w:rsid w:val="004336E0"/>
    <w:rsid w:val="00437648"/>
    <w:rsid w:val="0044410B"/>
    <w:rsid w:val="004531FF"/>
    <w:rsid w:val="00453503"/>
    <w:rsid w:val="004624A7"/>
    <w:rsid w:val="00465376"/>
    <w:rsid w:val="00465390"/>
    <w:rsid w:val="0046581C"/>
    <w:rsid w:val="00466F0A"/>
    <w:rsid w:val="00467C6A"/>
    <w:rsid w:val="00467E98"/>
    <w:rsid w:val="00476294"/>
    <w:rsid w:val="00480AEE"/>
    <w:rsid w:val="00481793"/>
    <w:rsid w:val="00482B19"/>
    <w:rsid w:val="004858B7"/>
    <w:rsid w:val="00491439"/>
    <w:rsid w:val="004944E2"/>
    <w:rsid w:val="00496BB0"/>
    <w:rsid w:val="004A2B7B"/>
    <w:rsid w:val="004B65C1"/>
    <w:rsid w:val="004B6D4F"/>
    <w:rsid w:val="004B71FC"/>
    <w:rsid w:val="004C21C9"/>
    <w:rsid w:val="004D0C02"/>
    <w:rsid w:val="004D5D9E"/>
    <w:rsid w:val="004E0BA3"/>
    <w:rsid w:val="004E1D5C"/>
    <w:rsid w:val="004E6764"/>
    <w:rsid w:val="004F421F"/>
    <w:rsid w:val="004F53AE"/>
    <w:rsid w:val="0050076C"/>
    <w:rsid w:val="0050294A"/>
    <w:rsid w:val="00502BDD"/>
    <w:rsid w:val="00503BC6"/>
    <w:rsid w:val="00504CA2"/>
    <w:rsid w:val="0051146A"/>
    <w:rsid w:val="00514BFA"/>
    <w:rsid w:val="0051531E"/>
    <w:rsid w:val="00516225"/>
    <w:rsid w:val="00516DF4"/>
    <w:rsid w:val="00517C3B"/>
    <w:rsid w:val="005207C4"/>
    <w:rsid w:val="00523D92"/>
    <w:rsid w:val="005276C7"/>
    <w:rsid w:val="005277E2"/>
    <w:rsid w:val="00530378"/>
    <w:rsid w:val="0053121D"/>
    <w:rsid w:val="00532D1A"/>
    <w:rsid w:val="00535EA3"/>
    <w:rsid w:val="005373AA"/>
    <w:rsid w:val="00544346"/>
    <w:rsid w:val="00545275"/>
    <w:rsid w:val="00546535"/>
    <w:rsid w:val="00546810"/>
    <w:rsid w:val="00546D03"/>
    <w:rsid w:val="00547C8A"/>
    <w:rsid w:val="005533F3"/>
    <w:rsid w:val="0055369B"/>
    <w:rsid w:val="00553E43"/>
    <w:rsid w:val="00556427"/>
    <w:rsid w:val="00556EA0"/>
    <w:rsid w:val="005612D8"/>
    <w:rsid w:val="00563A21"/>
    <w:rsid w:val="0056462C"/>
    <w:rsid w:val="00564A41"/>
    <w:rsid w:val="0057193D"/>
    <w:rsid w:val="00576A24"/>
    <w:rsid w:val="00582A3D"/>
    <w:rsid w:val="005966DB"/>
    <w:rsid w:val="005A1F69"/>
    <w:rsid w:val="005A3EBC"/>
    <w:rsid w:val="005A5F39"/>
    <w:rsid w:val="005B2EEF"/>
    <w:rsid w:val="005B69A0"/>
    <w:rsid w:val="005B7169"/>
    <w:rsid w:val="005C047E"/>
    <w:rsid w:val="005C4507"/>
    <w:rsid w:val="005C57C2"/>
    <w:rsid w:val="005C78C8"/>
    <w:rsid w:val="005D1C3D"/>
    <w:rsid w:val="005D6751"/>
    <w:rsid w:val="005D7998"/>
    <w:rsid w:val="005E409F"/>
    <w:rsid w:val="005F2BC2"/>
    <w:rsid w:val="005F3772"/>
    <w:rsid w:val="005F47DF"/>
    <w:rsid w:val="005F5812"/>
    <w:rsid w:val="00600D1B"/>
    <w:rsid w:val="0060592D"/>
    <w:rsid w:val="006075CD"/>
    <w:rsid w:val="0061600B"/>
    <w:rsid w:val="006160A9"/>
    <w:rsid w:val="006208E8"/>
    <w:rsid w:val="0062661D"/>
    <w:rsid w:val="00627002"/>
    <w:rsid w:val="006343D4"/>
    <w:rsid w:val="006404BD"/>
    <w:rsid w:val="00652FB0"/>
    <w:rsid w:val="00657D7F"/>
    <w:rsid w:val="00662457"/>
    <w:rsid w:val="00665CB0"/>
    <w:rsid w:val="00666533"/>
    <w:rsid w:val="00677710"/>
    <w:rsid w:val="006814E6"/>
    <w:rsid w:val="006826C4"/>
    <w:rsid w:val="00682F8F"/>
    <w:rsid w:val="00686200"/>
    <w:rsid w:val="00690592"/>
    <w:rsid w:val="00690627"/>
    <w:rsid w:val="006A04B9"/>
    <w:rsid w:val="006A1B2F"/>
    <w:rsid w:val="006A730F"/>
    <w:rsid w:val="006A7732"/>
    <w:rsid w:val="006A79B6"/>
    <w:rsid w:val="006B0E31"/>
    <w:rsid w:val="006B4322"/>
    <w:rsid w:val="006B7C4F"/>
    <w:rsid w:val="006C30B4"/>
    <w:rsid w:val="006D1AB2"/>
    <w:rsid w:val="006D3651"/>
    <w:rsid w:val="006D40F8"/>
    <w:rsid w:val="006D421A"/>
    <w:rsid w:val="006E2C53"/>
    <w:rsid w:val="006F104E"/>
    <w:rsid w:val="006F1886"/>
    <w:rsid w:val="006F3875"/>
    <w:rsid w:val="006F42AD"/>
    <w:rsid w:val="006F4411"/>
    <w:rsid w:val="006F4BD1"/>
    <w:rsid w:val="006F61D7"/>
    <w:rsid w:val="006F7CDC"/>
    <w:rsid w:val="00700677"/>
    <w:rsid w:val="00702462"/>
    <w:rsid w:val="00705E99"/>
    <w:rsid w:val="00707D30"/>
    <w:rsid w:val="00707F84"/>
    <w:rsid w:val="00716DA0"/>
    <w:rsid w:val="0071760A"/>
    <w:rsid w:val="00725592"/>
    <w:rsid w:val="00734A84"/>
    <w:rsid w:val="007351DC"/>
    <w:rsid w:val="00735E43"/>
    <w:rsid w:val="0074308D"/>
    <w:rsid w:val="0074387E"/>
    <w:rsid w:val="00744125"/>
    <w:rsid w:val="00746971"/>
    <w:rsid w:val="0075245F"/>
    <w:rsid w:val="00752CE6"/>
    <w:rsid w:val="00754D04"/>
    <w:rsid w:val="00754F0F"/>
    <w:rsid w:val="00755F9B"/>
    <w:rsid w:val="007604BC"/>
    <w:rsid w:val="007617D8"/>
    <w:rsid w:val="00762A4B"/>
    <w:rsid w:val="00764D67"/>
    <w:rsid w:val="00766C13"/>
    <w:rsid w:val="00774C28"/>
    <w:rsid w:val="007779C1"/>
    <w:rsid w:val="00782C6C"/>
    <w:rsid w:val="00786416"/>
    <w:rsid w:val="00786A57"/>
    <w:rsid w:val="00790E4E"/>
    <w:rsid w:val="00791016"/>
    <w:rsid w:val="007960A9"/>
    <w:rsid w:val="00797C5B"/>
    <w:rsid w:val="00797D48"/>
    <w:rsid w:val="007A1F69"/>
    <w:rsid w:val="007A3BFA"/>
    <w:rsid w:val="007B014B"/>
    <w:rsid w:val="007B0F00"/>
    <w:rsid w:val="007B224C"/>
    <w:rsid w:val="007C1443"/>
    <w:rsid w:val="007D5203"/>
    <w:rsid w:val="007D5FCD"/>
    <w:rsid w:val="007D620D"/>
    <w:rsid w:val="007D7D31"/>
    <w:rsid w:val="007E1544"/>
    <w:rsid w:val="007E4D34"/>
    <w:rsid w:val="007E7FF7"/>
    <w:rsid w:val="007F1208"/>
    <w:rsid w:val="007F3309"/>
    <w:rsid w:val="007F76B3"/>
    <w:rsid w:val="007F7E51"/>
    <w:rsid w:val="008003D5"/>
    <w:rsid w:val="00806E3D"/>
    <w:rsid w:val="008121FD"/>
    <w:rsid w:val="008137CB"/>
    <w:rsid w:val="00815039"/>
    <w:rsid w:val="008174D3"/>
    <w:rsid w:val="00820A1A"/>
    <w:rsid w:val="00820BF8"/>
    <w:rsid w:val="00821483"/>
    <w:rsid w:val="008224C4"/>
    <w:rsid w:val="00823148"/>
    <w:rsid w:val="0082676B"/>
    <w:rsid w:val="00832F94"/>
    <w:rsid w:val="008336AC"/>
    <w:rsid w:val="00833A7C"/>
    <w:rsid w:val="00837920"/>
    <w:rsid w:val="00840101"/>
    <w:rsid w:val="00840F20"/>
    <w:rsid w:val="00842B7E"/>
    <w:rsid w:val="00843245"/>
    <w:rsid w:val="00845094"/>
    <w:rsid w:val="00845BC0"/>
    <w:rsid w:val="00846233"/>
    <w:rsid w:val="008526E7"/>
    <w:rsid w:val="00853B62"/>
    <w:rsid w:val="00854745"/>
    <w:rsid w:val="008604D3"/>
    <w:rsid w:val="00860CB9"/>
    <w:rsid w:val="008646D9"/>
    <w:rsid w:val="00865AC4"/>
    <w:rsid w:val="00867A71"/>
    <w:rsid w:val="00871C96"/>
    <w:rsid w:val="008727CB"/>
    <w:rsid w:val="00876A04"/>
    <w:rsid w:val="0088232D"/>
    <w:rsid w:val="00885B08"/>
    <w:rsid w:val="0089011D"/>
    <w:rsid w:val="008933FC"/>
    <w:rsid w:val="0089387B"/>
    <w:rsid w:val="008A1F0B"/>
    <w:rsid w:val="008A215A"/>
    <w:rsid w:val="008A41A4"/>
    <w:rsid w:val="008A432B"/>
    <w:rsid w:val="008B0225"/>
    <w:rsid w:val="008B1DA6"/>
    <w:rsid w:val="008B57A2"/>
    <w:rsid w:val="008B7809"/>
    <w:rsid w:val="008C0EC4"/>
    <w:rsid w:val="008C1A67"/>
    <w:rsid w:val="008C7AC0"/>
    <w:rsid w:val="008D1128"/>
    <w:rsid w:val="008D4259"/>
    <w:rsid w:val="008E1BB3"/>
    <w:rsid w:val="008E538A"/>
    <w:rsid w:val="008E7FAF"/>
    <w:rsid w:val="008F6906"/>
    <w:rsid w:val="008F6A9E"/>
    <w:rsid w:val="00907DDA"/>
    <w:rsid w:val="00910612"/>
    <w:rsid w:val="0091119E"/>
    <w:rsid w:val="00915FD7"/>
    <w:rsid w:val="00921BB5"/>
    <w:rsid w:val="00927449"/>
    <w:rsid w:val="00933A96"/>
    <w:rsid w:val="00933AB7"/>
    <w:rsid w:val="0095016B"/>
    <w:rsid w:val="00950B74"/>
    <w:rsid w:val="00951229"/>
    <w:rsid w:val="009519B5"/>
    <w:rsid w:val="009548D5"/>
    <w:rsid w:val="00956F6C"/>
    <w:rsid w:val="009575EA"/>
    <w:rsid w:val="00962161"/>
    <w:rsid w:val="009625C9"/>
    <w:rsid w:val="00970559"/>
    <w:rsid w:val="00974B00"/>
    <w:rsid w:val="0097718E"/>
    <w:rsid w:val="0098049B"/>
    <w:rsid w:val="009806E6"/>
    <w:rsid w:val="009817A2"/>
    <w:rsid w:val="009849F9"/>
    <w:rsid w:val="00985998"/>
    <w:rsid w:val="00986C2A"/>
    <w:rsid w:val="00987B50"/>
    <w:rsid w:val="00987FED"/>
    <w:rsid w:val="00991F2B"/>
    <w:rsid w:val="00992742"/>
    <w:rsid w:val="00993DDA"/>
    <w:rsid w:val="00994E46"/>
    <w:rsid w:val="009966A6"/>
    <w:rsid w:val="00997A71"/>
    <w:rsid w:val="009A12FF"/>
    <w:rsid w:val="009A190E"/>
    <w:rsid w:val="009A236E"/>
    <w:rsid w:val="009A429E"/>
    <w:rsid w:val="009B099D"/>
    <w:rsid w:val="009B2FE7"/>
    <w:rsid w:val="009B41DE"/>
    <w:rsid w:val="009C0A5C"/>
    <w:rsid w:val="009C19F9"/>
    <w:rsid w:val="009C356E"/>
    <w:rsid w:val="009C54A4"/>
    <w:rsid w:val="009D0E64"/>
    <w:rsid w:val="009D712D"/>
    <w:rsid w:val="009E11E5"/>
    <w:rsid w:val="009E2239"/>
    <w:rsid w:val="009E51D3"/>
    <w:rsid w:val="009F6255"/>
    <w:rsid w:val="009F7CA9"/>
    <w:rsid w:val="00A025ED"/>
    <w:rsid w:val="00A04A6E"/>
    <w:rsid w:val="00A0563A"/>
    <w:rsid w:val="00A06370"/>
    <w:rsid w:val="00A152C9"/>
    <w:rsid w:val="00A15594"/>
    <w:rsid w:val="00A15F13"/>
    <w:rsid w:val="00A17BBA"/>
    <w:rsid w:val="00A2196F"/>
    <w:rsid w:val="00A21F77"/>
    <w:rsid w:val="00A221ED"/>
    <w:rsid w:val="00A30B5D"/>
    <w:rsid w:val="00A31923"/>
    <w:rsid w:val="00A31FD5"/>
    <w:rsid w:val="00A34086"/>
    <w:rsid w:val="00A356D2"/>
    <w:rsid w:val="00A444AF"/>
    <w:rsid w:val="00A50F62"/>
    <w:rsid w:val="00A52A35"/>
    <w:rsid w:val="00A535A2"/>
    <w:rsid w:val="00A54E9E"/>
    <w:rsid w:val="00A55354"/>
    <w:rsid w:val="00A55E18"/>
    <w:rsid w:val="00A564AD"/>
    <w:rsid w:val="00A63335"/>
    <w:rsid w:val="00A6371E"/>
    <w:rsid w:val="00A63C6C"/>
    <w:rsid w:val="00A66E7D"/>
    <w:rsid w:val="00A6720B"/>
    <w:rsid w:val="00A67F52"/>
    <w:rsid w:val="00A71468"/>
    <w:rsid w:val="00A74A47"/>
    <w:rsid w:val="00A80726"/>
    <w:rsid w:val="00A81160"/>
    <w:rsid w:val="00A82C87"/>
    <w:rsid w:val="00A8341C"/>
    <w:rsid w:val="00A85EDB"/>
    <w:rsid w:val="00A864ED"/>
    <w:rsid w:val="00A872CD"/>
    <w:rsid w:val="00A90489"/>
    <w:rsid w:val="00A912D0"/>
    <w:rsid w:val="00A94760"/>
    <w:rsid w:val="00A94A76"/>
    <w:rsid w:val="00A94AC3"/>
    <w:rsid w:val="00A97A49"/>
    <w:rsid w:val="00AA2ECC"/>
    <w:rsid w:val="00AA36DA"/>
    <w:rsid w:val="00AA57B1"/>
    <w:rsid w:val="00AA6589"/>
    <w:rsid w:val="00AB1063"/>
    <w:rsid w:val="00AB16E1"/>
    <w:rsid w:val="00AB25E8"/>
    <w:rsid w:val="00AB3CFB"/>
    <w:rsid w:val="00AB6081"/>
    <w:rsid w:val="00AC40CD"/>
    <w:rsid w:val="00AC4964"/>
    <w:rsid w:val="00AC5706"/>
    <w:rsid w:val="00AC7397"/>
    <w:rsid w:val="00AC79AF"/>
    <w:rsid w:val="00AD11A6"/>
    <w:rsid w:val="00AD3E4B"/>
    <w:rsid w:val="00AD527B"/>
    <w:rsid w:val="00AD689F"/>
    <w:rsid w:val="00AD7EAD"/>
    <w:rsid w:val="00AE7D46"/>
    <w:rsid w:val="00AF0A91"/>
    <w:rsid w:val="00AF27C8"/>
    <w:rsid w:val="00AF35B6"/>
    <w:rsid w:val="00AF420B"/>
    <w:rsid w:val="00AF44E7"/>
    <w:rsid w:val="00AF4B5C"/>
    <w:rsid w:val="00B001B4"/>
    <w:rsid w:val="00B04067"/>
    <w:rsid w:val="00B04B63"/>
    <w:rsid w:val="00B05100"/>
    <w:rsid w:val="00B06E24"/>
    <w:rsid w:val="00B07419"/>
    <w:rsid w:val="00B162C2"/>
    <w:rsid w:val="00B200BA"/>
    <w:rsid w:val="00B21A1A"/>
    <w:rsid w:val="00B24674"/>
    <w:rsid w:val="00B32A45"/>
    <w:rsid w:val="00B32AE8"/>
    <w:rsid w:val="00B32B8C"/>
    <w:rsid w:val="00B33F61"/>
    <w:rsid w:val="00B357A5"/>
    <w:rsid w:val="00B376BF"/>
    <w:rsid w:val="00B41E77"/>
    <w:rsid w:val="00B424D4"/>
    <w:rsid w:val="00B45ADE"/>
    <w:rsid w:val="00B51F0A"/>
    <w:rsid w:val="00B55920"/>
    <w:rsid w:val="00B564A2"/>
    <w:rsid w:val="00B62116"/>
    <w:rsid w:val="00B637F3"/>
    <w:rsid w:val="00B662EF"/>
    <w:rsid w:val="00B71B16"/>
    <w:rsid w:val="00B8171D"/>
    <w:rsid w:val="00B829C9"/>
    <w:rsid w:val="00B94FC9"/>
    <w:rsid w:val="00B95D42"/>
    <w:rsid w:val="00BA0BC1"/>
    <w:rsid w:val="00BA2A47"/>
    <w:rsid w:val="00BA2A5F"/>
    <w:rsid w:val="00BA3106"/>
    <w:rsid w:val="00BC2E74"/>
    <w:rsid w:val="00BC40BD"/>
    <w:rsid w:val="00BD2B63"/>
    <w:rsid w:val="00BD35D1"/>
    <w:rsid w:val="00BD7089"/>
    <w:rsid w:val="00BE08AA"/>
    <w:rsid w:val="00BE0D6F"/>
    <w:rsid w:val="00BE42B8"/>
    <w:rsid w:val="00BF0044"/>
    <w:rsid w:val="00BF6841"/>
    <w:rsid w:val="00C00AF7"/>
    <w:rsid w:val="00C01142"/>
    <w:rsid w:val="00C02604"/>
    <w:rsid w:val="00C03C81"/>
    <w:rsid w:val="00C041AC"/>
    <w:rsid w:val="00C06972"/>
    <w:rsid w:val="00C069E4"/>
    <w:rsid w:val="00C07891"/>
    <w:rsid w:val="00C144A2"/>
    <w:rsid w:val="00C148A6"/>
    <w:rsid w:val="00C16067"/>
    <w:rsid w:val="00C16AD4"/>
    <w:rsid w:val="00C16C6F"/>
    <w:rsid w:val="00C1752F"/>
    <w:rsid w:val="00C176BC"/>
    <w:rsid w:val="00C21B1F"/>
    <w:rsid w:val="00C30EFF"/>
    <w:rsid w:val="00C32D72"/>
    <w:rsid w:val="00C33135"/>
    <w:rsid w:val="00C4673A"/>
    <w:rsid w:val="00C5382C"/>
    <w:rsid w:val="00C54364"/>
    <w:rsid w:val="00C564F2"/>
    <w:rsid w:val="00C603B2"/>
    <w:rsid w:val="00C64C02"/>
    <w:rsid w:val="00C67782"/>
    <w:rsid w:val="00C67C66"/>
    <w:rsid w:val="00C70BC1"/>
    <w:rsid w:val="00C70ECD"/>
    <w:rsid w:val="00C70ED2"/>
    <w:rsid w:val="00C762DF"/>
    <w:rsid w:val="00C83661"/>
    <w:rsid w:val="00C910FA"/>
    <w:rsid w:val="00C927B0"/>
    <w:rsid w:val="00C92B8B"/>
    <w:rsid w:val="00C936CB"/>
    <w:rsid w:val="00C96B35"/>
    <w:rsid w:val="00C978E8"/>
    <w:rsid w:val="00CA0D88"/>
    <w:rsid w:val="00CA34E0"/>
    <w:rsid w:val="00CA7BFD"/>
    <w:rsid w:val="00CA7CE3"/>
    <w:rsid w:val="00CB3DFA"/>
    <w:rsid w:val="00CB42D4"/>
    <w:rsid w:val="00CB76AD"/>
    <w:rsid w:val="00CC351E"/>
    <w:rsid w:val="00CC553F"/>
    <w:rsid w:val="00CD178C"/>
    <w:rsid w:val="00CD3806"/>
    <w:rsid w:val="00CD3BC1"/>
    <w:rsid w:val="00CE411F"/>
    <w:rsid w:val="00CE4995"/>
    <w:rsid w:val="00CE67B2"/>
    <w:rsid w:val="00CF65E6"/>
    <w:rsid w:val="00D01190"/>
    <w:rsid w:val="00D02036"/>
    <w:rsid w:val="00D11361"/>
    <w:rsid w:val="00D14770"/>
    <w:rsid w:val="00D172C6"/>
    <w:rsid w:val="00D226F1"/>
    <w:rsid w:val="00D31D16"/>
    <w:rsid w:val="00D3424C"/>
    <w:rsid w:val="00D35CC2"/>
    <w:rsid w:val="00D35EDB"/>
    <w:rsid w:val="00D409FE"/>
    <w:rsid w:val="00D44B7C"/>
    <w:rsid w:val="00D45041"/>
    <w:rsid w:val="00D527B5"/>
    <w:rsid w:val="00D52F41"/>
    <w:rsid w:val="00D54A07"/>
    <w:rsid w:val="00D5609F"/>
    <w:rsid w:val="00D60506"/>
    <w:rsid w:val="00D60EDC"/>
    <w:rsid w:val="00D62B56"/>
    <w:rsid w:val="00D64428"/>
    <w:rsid w:val="00D6721E"/>
    <w:rsid w:val="00D67FA6"/>
    <w:rsid w:val="00D7190D"/>
    <w:rsid w:val="00D77339"/>
    <w:rsid w:val="00D77705"/>
    <w:rsid w:val="00D80B2C"/>
    <w:rsid w:val="00D84B4A"/>
    <w:rsid w:val="00D94E74"/>
    <w:rsid w:val="00DA7000"/>
    <w:rsid w:val="00DB33E8"/>
    <w:rsid w:val="00DB3641"/>
    <w:rsid w:val="00DB6B3E"/>
    <w:rsid w:val="00DB7C37"/>
    <w:rsid w:val="00DC08C8"/>
    <w:rsid w:val="00DC4739"/>
    <w:rsid w:val="00DC6A72"/>
    <w:rsid w:val="00DD377B"/>
    <w:rsid w:val="00DD6461"/>
    <w:rsid w:val="00DD6F72"/>
    <w:rsid w:val="00DD72CA"/>
    <w:rsid w:val="00DE13A3"/>
    <w:rsid w:val="00DE328F"/>
    <w:rsid w:val="00DE54E9"/>
    <w:rsid w:val="00DE5CDB"/>
    <w:rsid w:val="00DE6781"/>
    <w:rsid w:val="00DF30E6"/>
    <w:rsid w:val="00DF496A"/>
    <w:rsid w:val="00DF5FDA"/>
    <w:rsid w:val="00E0325E"/>
    <w:rsid w:val="00E04E6C"/>
    <w:rsid w:val="00E04FE6"/>
    <w:rsid w:val="00E0711A"/>
    <w:rsid w:val="00E138FF"/>
    <w:rsid w:val="00E2147E"/>
    <w:rsid w:val="00E2734F"/>
    <w:rsid w:val="00E30738"/>
    <w:rsid w:val="00E33D84"/>
    <w:rsid w:val="00E36119"/>
    <w:rsid w:val="00E3663E"/>
    <w:rsid w:val="00E3786D"/>
    <w:rsid w:val="00E40B86"/>
    <w:rsid w:val="00E4163D"/>
    <w:rsid w:val="00E43209"/>
    <w:rsid w:val="00E436EE"/>
    <w:rsid w:val="00E47A32"/>
    <w:rsid w:val="00E517E1"/>
    <w:rsid w:val="00E62B2B"/>
    <w:rsid w:val="00E65192"/>
    <w:rsid w:val="00E664A6"/>
    <w:rsid w:val="00E67F71"/>
    <w:rsid w:val="00E7011F"/>
    <w:rsid w:val="00E77F80"/>
    <w:rsid w:val="00E80ADB"/>
    <w:rsid w:val="00E82AB5"/>
    <w:rsid w:val="00E837FB"/>
    <w:rsid w:val="00E905A9"/>
    <w:rsid w:val="00E91616"/>
    <w:rsid w:val="00E9713B"/>
    <w:rsid w:val="00EA112C"/>
    <w:rsid w:val="00EA12EC"/>
    <w:rsid w:val="00EA16FB"/>
    <w:rsid w:val="00EA2C83"/>
    <w:rsid w:val="00EA4E0B"/>
    <w:rsid w:val="00EB006A"/>
    <w:rsid w:val="00EB0334"/>
    <w:rsid w:val="00EB0C95"/>
    <w:rsid w:val="00EB19E7"/>
    <w:rsid w:val="00EB3678"/>
    <w:rsid w:val="00EB3ECD"/>
    <w:rsid w:val="00EB57D1"/>
    <w:rsid w:val="00EB5D61"/>
    <w:rsid w:val="00EB667F"/>
    <w:rsid w:val="00EC427A"/>
    <w:rsid w:val="00EC5E93"/>
    <w:rsid w:val="00ED0CBE"/>
    <w:rsid w:val="00ED2042"/>
    <w:rsid w:val="00ED2097"/>
    <w:rsid w:val="00ED21C9"/>
    <w:rsid w:val="00ED2504"/>
    <w:rsid w:val="00ED3FC3"/>
    <w:rsid w:val="00EE193E"/>
    <w:rsid w:val="00EE28D7"/>
    <w:rsid w:val="00EE36A1"/>
    <w:rsid w:val="00EE448D"/>
    <w:rsid w:val="00EE545D"/>
    <w:rsid w:val="00EF3AB9"/>
    <w:rsid w:val="00EF4425"/>
    <w:rsid w:val="00EF5736"/>
    <w:rsid w:val="00EF7674"/>
    <w:rsid w:val="00F01DC0"/>
    <w:rsid w:val="00F02A35"/>
    <w:rsid w:val="00F120E2"/>
    <w:rsid w:val="00F13BB9"/>
    <w:rsid w:val="00F16127"/>
    <w:rsid w:val="00F2089C"/>
    <w:rsid w:val="00F21499"/>
    <w:rsid w:val="00F24F0A"/>
    <w:rsid w:val="00F2747C"/>
    <w:rsid w:val="00F301C6"/>
    <w:rsid w:val="00F3078A"/>
    <w:rsid w:val="00F31F43"/>
    <w:rsid w:val="00F32284"/>
    <w:rsid w:val="00F3550B"/>
    <w:rsid w:val="00F37F90"/>
    <w:rsid w:val="00F42C56"/>
    <w:rsid w:val="00F43C0B"/>
    <w:rsid w:val="00F452B5"/>
    <w:rsid w:val="00F51748"/>
    <w:rsid w:val="00F52467"/>
    <w:rsid w:val="00F54A95"/>
    <w:rsid w:val="00F5724A"/>
    <w:rsid w:val="00F60973"/>
    <w:rsid w:val="00F63140"/>
    <w:rsid w:val="00F6737D"/>
    <w:rsid w:val="00F73C7A"/>
    <w:rsid w:val="00F73CCA"/>
    <w:rsid w:val="00F73DDE"/>
    <w:rsid w:val="00F77C0C"/>
    <w:rsid w:val="00F80354"/>
    <w:rsid w:val="00F8105E"/>
    <w:rsid w:val="00F816CA"/>
    <w:rsid w:val="00F81E86"/>
    <w:rsid w:val="00F837F0"/>
    <w:rsid w:val="00F847AB"/>
    <w:rsid w:val="00F90976"/>
    <w:rsid w:val="00F91551"/>
    <w:rsid w:val="00F9634B"/>
    <w:rsid w:val="00F97770"/>
    <w:rsid w:val="00FA3C46"/>
    <w:rsid w:val="00FA5C17"/>
    <w:rsid w:val="00FA6977"/>
    <w:rsid w:val="00FA7BB5"/>
    <w:rsid w:val="00FB28B8"/>
    <w:rsid w:val="00FB49F2"/>
    <w:rsid w:val="00FC2918"/>
    <w:rsid w:val="00FC421C"/>
    <w:rsid w:val="00FC67A5"/>
    <w:rsid w:val="00FD14A2"/>
    <w:rsid w:val="00FD4569"/>
    <w:rsid w:val="00FD624A"/>
    <w:rsid w:val="00FD712D"/>
    <w:rsid w:val="00FE0722"/>
    <w:rsid w:val="00FE29E6"/>
    <w:rsid w:val="00FE7809"/>
    <w:rsid w:val="00FF1AC8"/>
    <w:rsid w:val="00FF3E52"/>
    <w:rsid w:val="00FF40DE"/>
    <w:rsid w:val="00FF6DAB"/>
    <w:rsid w:val="0421FBE4"/>
    <w:rsid w:val="07B64EA3"/>
    <w:rsid w:val="0A753040"/>
    <w:rsid w:val="0B87FF92"/>
    <w:rsid w:val="12464090"/>
    <w:rsid w:val="133762C5"/>
    <w:rsid w:val="171A47A4"/>
    <w:rsid w:val="21D5151F"/>
    <w:rsid w:val="26718784"/>
    <w:rsid w:val="27B251A3"/>
    <w:rsid w:val="2959BC32"/>
    <w:rsid w:val="2A58E674"/>
    <w:rsid w:val="2B410146"/>
    <w:rsid w:val="2D201FAF"/>
    <w:rsid w:val="2EB2DEA0"/>
    <w:rsid w:val="304D0043"/>
    <w:rsid w:val="3627C8BB"/>
    <w:rsid w:val="38510779"/>
    <w:rsid w:val="3AF27857"/>
    <w:rsid w:val="3F778D2C"/>
    <w:rsid w:val="40DB9B24"/>
    <w:rsid w:val="41960EE2"/>
    <w:rsid w:val="4604D963"/>
    <w:rsid w:val="48948E36"/>
    <w:rsid w:val="4AE5139C"/>
    <w:rsid w:val="4D462ABC"/>
    <w:rsid w:val="4F3EC28F"/>
    <w:rsid w:val="554815EE"/>
    <w:rsid w:val="55C49885"/>
    <w:rsid w:val="56EC7F9C"/>
    <w:rsid w:val="56FB2B51"/>
    <w:rsid w:val="608ECFF6"/>
    <w:rsid w:val="61B0A783"/>
    <w:rsid w:val="61BCA21F"/>
    <w:rsid w:val="632E12F7"/>
    <w:rsid w:val="667E201B"/>
    <w:rsid w:val="67966A58"/>
    <w:rsid w:val="6B7D76A8"/>
    <w:rsid w:val="71BEFEB8"/>
    <w:rsid w:val="7386D7EF"/>
    <w:rsid w:val="73F2BF68"/>
    <w:rsid w:val="756D05EA"/>
    <w:rsid w:val="7627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7C88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D1A"/>
    <w:pPr>
      <w:widowControl w:val="0"/>
      <w:jc w:val="both"/>
    </w:pPr>
    <w:rPr>
      <w:rFonts w:ascii="Times" w:hAnsi="Times" w:cs="Times"/>
      <w:kern w:val="2"/>
      <w:sz w:val="21"/>
      <w:szCs w:val="22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6F104E"/>
    <w:pPr>
      <w:keepNext/>
      <w:numPr>
        <w:numId w:val="7"/>
      </w:numPr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0866"/>
    <w:pPr>
      <w:keepNext/>
      <w:numPr>
        <w:ilvl w:val="1"/>
      </w:numPr>
      <w:tabs>
        <w:tab w:val="num" w:pos="576"/>
      </w:tabs>
      <w:spacing w:before="240" w:after="60"/>
      <w:ind w:left="576" w:hanging="576"/>
      <w:jc w:val="left"/>
      <w:outlineLvl w:val="1"/>
    </w:pPr>
    <w:rPr>
      <w:rFonts w:ascii="Arial" w:hAnsi="Arial"/>
      <w:b/>
      <w:bCs/>
      <w:i/>
      <w:iCs/>
      <w:kern w:val="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8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C08C8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C08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C08C8"/>
    <w:rPr>
      <w:kern w:val="2"/>
      <w:sz w:val="21"/>
      <w:szCs w:val="22"/>
    </w:rPr>
  </w:style>
  <w:style w:type="paragraph" w:styleId="a7">
    <w:name w:val="Revision"/>
    <w:hidden/>
    <w:uiPriority w:val="99"/>
    <w:semiHidden/>
    <w:rsid w:val="00A80726"/>
    <w:rPr>
      <w:kern w:val="2"/>
      <w:sz w:val="21"/>
      <w:szCs w:val="22"/>
    </w:rPr>
  </w:style>
  <w:style w:type="character" w:customStyle="1" w:styleId="20">
    <w:name w:val="見出し 2 (文字)"/>
    <w:basedOn w:val="a0"/>
    <w:link w:val="2"/>
    <w:uiPriority w:val="9"/>
    <w:rsid w:val="00370866"/>
    <w:rPr>
      <w:rFonts w:ascii="Arial" w:hAnsi="Arial"/>
      <w:b/>
      <w:bCs/>
      <w:i/>
      <w:iCs/>
      <w:sz w:val="24"/>
      <w:szCs w:val="28"/>
      <w:lang w:val="en-GB"/>
    </w:rPr>
  </w:style>
  <w:style w:type="paragraph" w:styleId="a8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a"/>
    <w:link w:val="a9"/>
    <w:uiPriority w:val="34"/>
    <w:qFormat/>
    <w:rsid w:val="0071760A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6F104E"/>
    <w:rPr>
      <w:rFonts w:ascii="Arial" w:eastAsiaTheme="majorEastAsia" w:hAnsi="Arial" w:cs="Arial"/>
      <w:b/>
      <w:bCs/>
      <w:kern w:val="2"/>
      <w:sz w:val="28"/>
      <w:szCs w:val="28"/>
      <w:lang w:val="en-GB"/>
    </w:rPr>
  </w:style>
  <w:style w:type="paragraph" w:styleId="aa">
    <w:name w:val="Title"/>
    <w:basedOn w:val="a"/>
    <w:next w:val="a"/>
    <w:link w:val="ab"/>
    <w:uiPriority w:val="10"/>
    <w:qFormat/>
    <w:rsid w:val="006F104E"/>
    <w:pPr>
      <w:spacing w:before="240" w:after="120"/>
      <w:jc w:val="left"/>
      <w:outlineLvl w:val="0"/>
    </w:pPr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b">
    <w:name w:val="表題 (文字)"/>
    <w:basedOn w:val="a0"/>
    <w:link w:val="aa"/>
    <w:uiPriority w:val="10"/>
    <w:rsid w:val="006F104E"/>
    <w:rPr>
      <w:rFonts w:ascii="Arial" w:eastAsiaTheme="majorEastAsia" w:hAnsi="Arial" w:cs="Arial"/>
      <w:b/>
      <w:bCs/>
      <w:kern w:val="2"/>
      <w:sz w:val="28"/>
      <w:szCs w:val="2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665CB0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665CB0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665CB0"/>
    <w:rPr>
      <w:rFonts w:ascii="Times" w:hAnsi="Times" w:cs="Times"/>
      <w:kern w:val="2"/>
      <w:sz w:val="21"/>
      <w:szCs w:val="22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65CB0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665CB0"/>
    <w:rPr>
      <w:rFonts w:ascii="Times" w:hAnsi="Times" w:cs="Times"/>
      <w:b/>
      <w:bCs/>
      <w:kern w:val="2"/>
      <w:sz w:val="21"/>
      <w:szCs w:val="22"/>
      <w:lang w:val="en-GB"/>
    </w:rPr>
  </w:style>
  <w:style w:type="character" w:customStyle="1" w:styleId="a9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8"/>
    <w:uiPriority w:val="34"/>
    <w:qFormat/>
    <w:locked/>
    <w:rsid w:val="00FB28B8"/>
    <w:rPr>
      <w:rFonts w:ascii="Times" w:hAnsi="Times" w:cs="Times"/>
      <w:kern w:val="2"/>
      <w:sz w:val="21"/>
      <w:szCs w:val="22"/>
      <w:lang w:val="en-GB"/>
    </w:rPr>
  </w:style>
  <w:style w:type="table" w:styleId="af1">
    <w:name w:val="Table Grid"/>
    <w:basedOn w:val="a1"/>
    <w:uiPriority w:val="39"/>
    <w:rsid w:val="00A340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345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4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6095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950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822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411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64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459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7110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524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35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414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9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132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5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8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830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219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61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07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6775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96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0124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19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4777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2024-08-09T09:47:00Z</dcterms:created>
  <dcterms:modified xsi:type="dcterms:W3CDTF">2024-08-09T09:56:00Z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2024-05-10T09:39:45Z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fe55590d-7c7d-48b9-ac52-e9c614c58417</vt:lpwstr>
  </property>
  <property fmtid="{D5CDD505-2E9C-101B-9397-08002B2CF9AE}" pid="8" name="MSIP_Label_a7295cc1-d279-42ac-ab4d-3b0f4fece050_ContentBits">
    <vt:lpwstr>0</vt:lpwstr>
  </property>
</Properties>
</file>