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419DD3E5"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0042F9">
        <w:rPr>
          <w:rFonts w:ascii="Arial" w:eastAsia="Malgun Gothic" w:hAnsi="Arial" w:cs="Arial"/>
          <w:b/>
          <w:bCs/>
          <w:lang w:eastAsia="en-US"/>
        </w:rPr>
        <w:t>1</w:t>
      </w:r>
      <w:r w:rsidR="003C3EBE">
        <w:rPr>
          <w:rFonts w:ascii="Arial" w:eastAsia="Malgun Gothic" w:hAnsi="Arial" w:cs="Arial"/>
          <w:b/>
          <w:bCs/>
          <w:lang w:eastAsia="en-US"/>
        </w:rPr>
        <w:t>4</w:t>
      </w:r>
      <w:r w:rsidR="00E04FA5">
        <w:rPr>
          <w:rFonts w:ascii="Arial" w:eastAsiaTheme="minorEastAsia" w:hAnsi="Arial" w:cs="Arial" w:hint="eastAsia"/>
          <w:b/>
          <w:bCs/>
        </w:rPr>
        <w:t>b</w:t>
      </w:r>
      <w:r w:rsidR="00E04FA5">
        <w:rPr>
          <w:rFonts w:ascii="Arial" w:eastAsiaTheme="minorEastAsia" w:hAnsi="Arial" w:cs="Arial"/>
          <w:b/>
          <w:bCs/>
        </w:rPr>
        <w:t>is</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C642DB">
        <w:rPr>
          <w:rFonts w:ascii="Arial" w:eastAsia="ＭＳ 明朝" w:hAnsi="Arial" w:cs="Arial"/>
          <w:b/>
          <w:bCs/>
        </w:rPr>
        <w:t>3</w:t>
      </w:r>
      <w:r w:rsidR="000C6113">
        <w:rPr>
          <w:rFonts w:ascii="Arial" w:eastAsia="ＭＳ 明朝" w:hAnsi="Arial" w:cs="Arial"/>
          <w:b/>
          <w:bCs/>
        </w:rPr>
        <w:t>10045</w:t>
      </w:r>
    </w:p>
    <w:p w14:paraId="12626E7E" w14:textId="41C3D8D1" w:rsidR="000042F9" w:rsidRPr="00E04FA5" w:rsidRDefault="00E04FA5" w:rsidP="00B8583E">
      <w:pPr>
        <w:tabs>
          <w:tab w:val="center" w:pos="4536"/>
          <w:tab w:val="right" w:pos="9072"/>
        </w:tabs>
        <w:spacing w:line="276" w:lineRule="auto"/>
        <w:rPr>
          <w:rFonts w:ascii="Arial" w:eastAsia="Malgun Gothic" w:hAnsi="Arial" w:cs="Arial"/>
          <w:b/>
          <w:bCs/>
          <w:lang w:eastAsia="en-US"/>
        </w:rPr>
      </w:pPr>
      <w:r w:rsidRPr="00E04FA5">
        <w:rPr>
          <w:rFonts w:ascii="Arial" w:eastAsia="Malgun Gothic" w:hAnsi="Arial" w:cs="Arial"/>
          <w:b/>
          <w:bCs/>
        </w:rPr>
        <w:t>Xiamen, China, October 9th – October 13th, 2023</w:t>
      </w:r>
    </w:p>
    <w:p w14:paraId="2411BA6F" w14:textId="77777777" w:rsidR="00A13A3B" w:rsidRPr="00672CBF" w:rsidRDefault="00A13A3B" w:rsidP="00B8583E">
      <w:pPr>
        <w:tabs>
          <w:tab w:val="center" w:pos="4536"/>
          <w:tab w:val="right" w:pos="9072"/>
        </w:tabs>
        <w:spacing w:line="276" w:lineRule="auto"/>
        <w:rPr>
          <w:rFonts w:ascii="Arial" w:eastAsia="Malgun Gothic" w:hAnsi="Arial" w:cs="Arial"/>
          <w:b/>
          <w:bCs/>
          <w:szCs w:val="24"/>
          <w:lang w:eastAsia="en-US"/>
        </w:rPr>
      </w:pPr>
    </w:p>
    <w:p w14:paraId="0EC1EEE8" w14:textId="3AC4BC5D"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E04FA5">
        <w:rPr>
          <w:rFonts w:ascii="Arial" w:eastAsia="Malgun Gothic" w:hAnsi="Arial"/>
          <w:lang w:val="en-US" w:eastAsia="ko-KR"/>
        </w:rPr>
        <w:t>8</w:t>
      </w:r>
      <w:r>
        <w:rPr>
          <w:rFonts w:ascii="Arial" w:eastAsia="Malgun Gothic" w:hAnsi="Arial"/>
          <w:lang w:val="en-US" w:eastAsia="ko-KR"/>
        </w:rPr>
        <w:t>.</w:t>
      </w:r>
      <w:r w:rsidR="00CB75FD">
        <w:rPr>
          <w:rFonts w:ascii="Arial" w:eastAsia="Malgun Gothic" w:hAnsi="Arial"/>
          <w:lang w:val="en-US" w:eastAsia="ko-KR"/>
        </w:rPr>
        <w:t>1</w:t>
      </w:r>
      <w:r w:rsidR="00E04FA5">
        <w:rPr>
          <w:rFonts w:ascii="Arial" w:eastAsia="Malgun Gothic" w:hAnsi="Arial"/>
          <w:lang w:val="en-US" w:eastAsia="ko-KR"/>
        </w:rPr>
        <w:t>0.1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02EF840F" w:rsidR="00B8583E" w:rsidRPr="00E04FA5"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04FA5">
        <w:rPr>
          <w:rFonts w:ascii="Arial" w:eastAsia="Malgun Gothic" w:hAnsi="Arial"/>
          <w:lang w:val="en-US" w:eastAsia="en-US"/>
        </w:rPr>
        <w:t>Maintenance</w:t>
      </w:r>
      <w:r w:rsidR="000F2015" w:rsidRPr="00C268D2">
        <w:rPr>
          <w:rFonts w:ascii="Arial" w:eastAsia="Malgun Gothic" w:hAnsi="Arial"/>
          <w:lang w:val="en-US" w:eastAsia="en-US"/>
        </w:rPr>
        <w:t xml:space="preserve"> on </w:t>
      </w:r>
      <w:r w:rsidR="00E04FA5" w:rsidRPr="00E04FA5">
        <w:rPr>
          <w:rFonts w:ascii="Arial" w:eastAsia="Malgun Gothic" w:hAnsi="Arial"/>
          <w:lang w:val="en-US" w:eastAsia="en-US"/>
        </w:rPr>
        <w:t>NR PDCCH reception in symbols with LTE CRS R</w:t>
      </w:r>
      <w:r w:rsidR="00E04FA5">
        <w:rPr>
          <w:rFonts w:ascii="Arial" w:eastAsia="Malgun Gothic" w:hAnsi="Arial"/>
          <w:lang w:val="en-US" w:eastAsia="en-US"/>
        </w:rPr>
        <w:t>E</w:t>
      </w:r>
      <w:r w:rsidR="00E04FA5" w:rsidRPr="00E04FA5">
        <w:rPr>
          <w:rFonts w:ascii="Arial" w:eastAsia="Malgun Gothic" w:hAnsi="Arial"/>
          <w:lang w:val="en-US" w:eastAsia="en-US"/>
        </w:rPr>
        <w:t>s</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8355935" w14:textId="3F2C6990" w:rsidR="00B07935" w:rsidRPr="003E0E4E" w:rsidRDefault="00C268D2" w:rsidP="00B07935">
      <w:pPr>
        <w:spacing w:afterLines="50" w:after="120"/>
        <w:jc w:val="both"/>
        <w:rPr>
          <w:rFonts w:eastAsia="ＭＳ 明朝"/>
          <w:sz w:val="22"/>
          <w:szCs w:val="22"/>
          <w:lang w:val="en-US"/>
        </w:rPr>
      </w:pPr>
      <w:r>
        <w:rPr>
          <w:rFonts w:eastAsia="ＭＳ 明朝" w:hint="eastAsia"/>
          <w:sz w:val="22"/>
          <w:szCs w:val="22"/>
          <w:lang w:val="en-US"/>
        </w:rPr>
        <w:t xml:space="preserve">In this </w:t>
      </w:r>
      <w:r>
        <w:rPr>
          <w:rFonts w:eastAsia="ＭＳ 明朝"/>
          <w:sz w:val="22"/>
          <w:szCs w:val="22"/>
          <w:lang w:val="en-US"/>
        </w:rPr>
        <w:t xml:space="preserve">contribution, we discuss remaining issues on </w:t>
      </w:r>
      <w:r w:rsidR="00E04FA5">
        <w:rPr>
          <w:rFonts w:eastAsia="ＭＳ 明朝"/>
          <w:sz w:val="22"/>
          <w:szCs w:val="22"/>
          <w:lang w:val="en-US"/>
        </w:rPr>
        <w:t xml:space="preserve">NR PDCCH reception in symbols with LTE CRS REs in </w:t>
      </w:r>
      <w:r>
        <w:rPr>
          <w:rFonts w:eastAsia="ＭＳ 明朝"/>
          <w:sz w:val="22"/>
          <w:szCs w:val="22"/>
          <w:lang w:val="en-US"/>
        </w:rPr>
        <w:t xml:space="preserve">Rel-18 </w:t>
      </w:r>
      <w:proofErr w:type="spellStart"/>
      <w:r w:rsidR="00E04FA5">
        <w:rPr>
          <w:rFonts w:eastAsia="ＭＳ 明朝"/>
          <w:sz w:val="22"/>
          <w:szCs w:val="22"/>
          <w:lang w:val="en-US"/>
        </w:rPr>
        <w:t>eDSS</w:t>
      </w:r>
      <w:proofErr w:type="spellEnd"/>
      <w:r w:rsidRPr="002C2A83">
        <w:rPr>
          <w:rFonts w:eastAsia="ＭＳ 明朝"/>
          <w:sz w:val="22"/>
          <w:szCs w:val="22"/>
          <w:lang w:val="en-US"/>
        </w:rPr>
        <w:t>.</w:t>
      </w:r>
    </w:p>
    <w:p w14:paraId="303AC45D" w14:textId="77777777" w:rsidR="00344AD8" w:rsidRPr="004E2DE7" w:rsidRDefault="00344AD8" w:rsidP="00344AD8">
      <w:pPr>
        <w:spacing w:afterLines="50" w:after="120"/>
        <w:jc w:val="both"/>
        <w:rPr>
          <w:rFonts w:eastAsia="ＭＳ 明朝"/>
          <w:sz w:val="22"/>
          <w:szCs w:val="22"/>
          <w:lang w:val="en-US"/>
        </w:rPr>
      </w:pPr>
    </w:p>
    <w:p w14:paraId="0E6AE862" w14:textId="4CFFC453" w:rsidR="007D02E5" w:rsidRPr="00EE092A" w:rsidRDefault="00E04FA5">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Precoder granularity of “</w:t>
      </w:r>
      <w:proofErr w:type="spellStart"/>
      <w:r>
        <w:rPr>
          <w:rFonts w:eastAsia="ＭＳ 明朝"/>
          <w:b/>
          <w:bCs/>
          <w:szCs w:val="24"/>
          <w:lang w:val="en-US"/>
        </w:rPr>
        <w:t>allContiguousRBs</w:t>
      </w:r>
      <w:proofErr w:type="spellEnd"/>
      <w:r>
        <w:rPr>
          <w:rFonts w:eastAsia="ＭＳ 明朝"/>
          <w:b/>
          <w:bCs/>
          <w:szCs w:val="24"/>
          <w:lang w:val="en-US"/>
        </w:rPr>
        <w:t>”</w:t>
      </w:r>
    </w:p>
    <w:p w14:paraId="22A7BF98" w14:textId="1079389C" w:rsidR="00FC7B86" w:rsidRPr="005163F2" w:rsidRDefault="00E04FA5" w:rsidP="00FC7B86">
      <w:pPr>
        <w:spacing w:afterLines="50" w:after="120"/>
        <w:jc w:val="both"/>
        <w:rPr>
          <w:rFonts w:eastAsia="ＭＳ 明朝"/>
          <w:sz w:val="22"/>
          <w:szCs w:val="22"/>
          <w:lang w:val="en-US"/>
        </w:rPr>
      </w:pPr>
      <w:r w:rsidRPr="005163F2">
        <w:rPr>
          <w:rFonts w:eastAsia="ＭＳ 明朝"/>
          <w:sz w:val="22"/>
          <w:szCs w:val="22"/>
          <w:lang w:val="en-US"/>
        </w:rPr>
        <w:t>In previous RAN1 meetings, whether the precoder granularity of “</w:t>
      </w:r>
      <w:proofErr w:type="spellStart"/>
      <w:r w:rsidRPr="005163F2">
        <w:rPr>
          <w:rFonts w:eastAsia="ＭＳ 明朝"/>
          <w:sz w:val="22"/>
          <w:szCs w:val="22"/>
          <w:lang w:val="en-US"/>
        </w:rPr>
        <w:t>allContiguousRBs</w:t>
      </w:r>
      <w:proofErr w:type="spellEnd"/>
      <w:r w:rsidRPr="005163F2">
        <w:rPr>
          <w:rFonts w:eastAsia="ＭＳ 明朝"/>
          <w:sz w:val="22"/>
          <w:szCs w:val="22"/>
          <w:lang w:val="en-US"/>
        </w:rPr>
        <w:t xml:space="preserve">” is available for NR PDCCH </w:t>
      </w:r>
      <w:r w:rsidR="00AD7DA7">
        <w:rPr>
          <w:rFonts w:eastAsia="ＭＳ 明朝"/>
          <w:sz w:val="22"/>
          <w:szCs w:val="22"/>
          <w:lang w:val="en-US"/>
        </w:rPr>
        <w:t>rece</w:t>
      </w:r>
      <w:r w:rsidRPr="005163F2">
        <w:rPr>
          <w:rFonts w:eastAsia="ＭＳ 明朝"/>
          <w:sz w:val="22"/>
          <w:szCs w:val="22"/>
          <w:lang w:val="en-US"/>
        </w:rPr>
        <w:t>ption in symbols with LTE CRS REs has been discussed in UE feature sessions, and it was argued that it should be discussed in maintenance phase [1].</w:t>
      </w:r>
    </w:p>
    <w:tbl>
      <w:tblPr>
        <w:tblStyle w:val="afb"/>
        <w:tblW w:w="0" w:type="auto"/>
        <w:tblLook w:val="04A0" w:firstRow="1" w:lastRow="0" w:firstColumn="1" w:lastColumn="0" w:noHBand="0" w:noVBand="1"/>
      </w:tblPr>
      <w:tblGrid>
        <w:gridCol w:w="9962"/>
      </w:tblGrid>
      <w:tr w:rsidR="00E04FA5" w14:paraId="5377BC6E" w14:textId="77777777" w:rsidTr="00E04FA5">
        <w:tc>
          <w:tcPr>
            <w:tcW w:w="9962" w:type="dxa"/>
          </w:tcPr>
          <w:p w14:paraId="4702B7B8" w14:textId="77777777" w:rsidR="00E04FA5" w:rsidRPr="00E04FA5" w:rsidRDefault="00E04FA5" w:rsidP="00E04FA5">
            <w:pPr>
              <w:spacing w:afterLines="50" w:after="120"/>
              <w:jc w:val="both"/>
              <w:rPr>
                <w:rFonts w:eastAsia="ＭＳ 明朝"/>
                <w:b/>
                <w:bCs/>
                <w:sz w:val="21"/>
                <w:szCs w:val="21"/>
                <w:lang w:val="en-US"/>
              </w:rPr>
            </w:pPr>
            <w:r w:rsidRPr="00E04FA5">
              <w:rPr>
                <w:rFonts w:eastAsia="ＭＳ 明朝"/>
                <w:b/>
                <w:bCs/>
                <w:sz w:val="21"/>
                <w:szCs w:val="21"/>
                <w:highlight w:val="yellow"/>
                <w:lang w:val="en-US"/>
              </w:rPr>
              <w:t>Question 2-7:</w:t>
            </w:r>
          </w:p>
          <w:p w14:paraId="4E4EE1D6" w14:textId="77777777" w:rsidR="00E04FA5" w:rsidRPr="00E04FA5" w:rsidRDefault="00E04FA5">
            <w:pPr>
              <w:numPr>
                <w:ilvl w:val="0"/>
                <w:numId w:val="7"/>
              </w:numPr>
              <w:spacing w:afterLines="50" w:after="120"/>
              <w:jc w:val="both"/>
              <w:rPr>
                <w:rFonts w:eastAsia="ＭＳ 明朝"/>
                <w:sz w:val="21"/>
                <w:szCs w:val="21"/>
                <w:lang w:val="en-US"/>
              </w:rPr>
            </w:pPr>
            <w:r w:rsidRPr="00E04FA5">
              <w:rPr>
                <w:rFonts w:eastAsia="ＭＳ 明朝"/>
                <w:b/>
                <w:bCs/>
                <w:sz w:val="21"/>
                <w:szCs w:val="21"/>
                <w:lang w:val="en-US"/>
              </w:rPr>
              <w:t>For potential new FG on the precoder granularity of ‘</w:t>
            </w:r>
            <w:proofErr w:type="spellStart"/>
            <w:r w:rsidRPr="00E04FA5">
              <w:rPr>
                <w:rFonts w:eastAsia="ＭＳ 明朝"/>
                <w:b/>
                <w:bCs/>
                <w:sz w:val="21"/>
                <w:szCs w:val="21"/>
                <w:lang w:val="en-US"/>
              </w:rPr>
              <w:t>allContiguousRBs</w:t>
            </w:r>
            <w:proofErr w:type="spellEnd"/>
            <w:r w:rsidRPr="00E04FA5">
              <w:rPr>
                <w:rFonts w:eastAsia="ＭＳ 明朝"/>
                <w:b/>
                <w:bCs/>
                <w:sz w:val="21"/>
                <w:szCs w:val="21"/>
                <w:lang w:val="en-US"/>
              </w:rPr>
              <w:t>’, is it necessary to wait for maintenance discussion?</w:t>
            </w:r>
          </w:p>
          <w:p w14:paraId="433AC055" w14:textId="77777777" w:rsidR="00E04FA5" w:rsidRPr="00E04FA5" w:rsidRDefault="00E04FA5">
            <w:pPr>
              <w:numPr>
                <w:ilvl w:val="1"/>
                <w:numId w:val="7"/>
              </w:numPr>
              <w:spacing w:afterLines="50" w:after="120"/>
              <w:jc w:val="both"/>
              <w:rPr>
                <w:rFonts w:eastAsia="ＭＳ 明朝"/>
                <w:sz w:val="21"/>
                <w:szCs w:val="21"/>
                <w:lang w:val="en-US"/>
              </w:rPr>
            </w:pPr>
            <w:r w:rsidRPr="00E04FA5">
              <w:rPr>
                <w:rFonts w:eastAsia="ＭＳ 明朝"/>
                <w:sz w:val="21"/>
                <w:szCs w:val="21"/>
                <w:lang w:val="en-US"/>
              </w:rPr>
              <w:t>Alt.1: It is necessary to wait for the maintenance discussion.</w:t>
            </w:r>
          </w:p>
          <w:p w14:paraId="3FF164CE" w14:textId="77777777" w:rsidR="00E04FA5" w:rsidRPr="00E04FA5" w:rsidRDefault="00E04FA5">
            <w:pPr>
              <w:numPr>
                <w:ilvl w:val="2"/>
                <w:numId w:val="7"/>
              </w:numPr>
              <w:spacing w:afterLines="50" w:after="120"/>
              <w:jc w:val="both"/>
              <w:rPr>
                <w:rFonts w:eastAsia="ＭＳ 明朝"/>
                <w:sz w:val="21"/>
                <w:szCs w:val="21"/>
                <w:lang w:val="en-US"/>
              </w:rPr>
            </w:pPr>
            <w:r w:rsidRPr="00E04FA5">
              <w:rPr>
                <w:rFonts w:eastAsia="ＭＳ 明朝"/>
                <w:sz w:val="21"/>
                <w:szCs w:val="21"/>
                <w:lang w:val="en-US"/>
              </w:rPr>
              <w:t>Supported by: Samsung</w:t>
            </w:r>
          </w:p>
          <w:p w14:paraId="2AB50A34" w14:textId="77777777" w:rsidR="00E04FA5" w:rsidRPr="00E04FA5" w:rsidRDefault="00E04FA5">
            <w:pPr>
              <w:numPr>
                <w:ilvl w:val="1"/>
                <w:numId w:val="7"/>
              </w:numPr>
              <w:spacing w:afterLines="50" w:after="120"/>
              <w:jc w:val="both"/>
              <w:rPr>
                <w:rFonts w:eastAsia="ＭＳ 明朝"/>
                <w:sz w:val="21"/>
                <w:szCs w:val="21"/>
                <w:lang w:val="en-US"/>
              </w:rPr>
            </w:pPr>
            <w:r w:rsidRPr="00E04FA5">
              <w:rPr>
                <w:rFonts w:eastAsia="ＭＳ 明朝"/>
                <w:sz w:val="21"/>
                <w:szCs w:val="21"/>
                <w:lang w:val="en-US"/>
              </w:rPr>
              <w:t>Alt.2: It is not necessary to wait for the maintenance discussion.</w:t>
            </w:r>
          </w:p>
          <w:tbl>
            <w:tblPr>
              <w:tblStyle w:val="afb"/>
              <w:tblW w:w="5000" w:type="pct"/>
              <w:tblLook w:val="04A0" w:firstRow="1" w:lastRow="0" w:firstColumn="1" w:lastColumn="0" w:noHBand="0" w:noVBand="1"/>
            </w:tblPr>
            <w:tblGrid>
              <w:gridCol w:w="1196"/>
              <w:gridCol w:w="8540"/>
            </w:tblGrid>
            <w:tr w:rsidR="00E04FA5" w:rsidRPr="00E04FA5" w14:paraId="3F5E4C4A" w14:textId="77777777" w:rsidTr="00E04FA5">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553EC9"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Company</w:t>
                  </w:r>
                </w:p>
              </w:tc>
              <w:tc>
                <w:tcPr>
                  <w:tcW w:w="449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569351"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Comment</w:t>
                  </w:r>
                </w:p>
              </w:tc>
            </w:tr>
            <w:tr w:rsidR="00E04FA5" w:rsidRPr="00E04FA5" w14:paraId="0602100C"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1FA17FC3"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Qualcomm</w:t>
                  </w:r>
                </w:p>
              </w:tc>
              <w:tc>
                <w:tcPr>
                  <w:tcW w:w="4493" w:type="pct"/>
                  <w:tcBorders>
                    <w:top w:val="single" w:sz="4" w:space="0" w:color="auto"/>
                    <w:left w:val="single" w:sz="4" w:space="0" w:color="auto"/>
                    <w:bottom w:val="single" w:sz="4" w:space="0" w:color="auto"/>
                    <w:right w:val="single" w:sz="4" w:space="0" w:color="auto"/>
                  </w:tcBorders>
                  <w:hideMark/>
                </w:tcPr>
                <w:p w14:paraId="11AF1D41"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 xml:space="preserve">We agree with proponents that this should be beneficial for </w:t>
                  </w:r>
                  <w:proofErr w:type="gramStart"/>
                  <w:r w:rsidRPr="00E04FA5">
                    <w:rPr>
                      <w:rFonts w:eastAsia="ＭＳ 明朝"/>
                      <w:sz w:val="21"/>
                      <w:szCs w:val="21"/>
                      <w:lang w:val="en-US"/>
                    </w:rPr>
                    <w:t>low-bands</w:t>
                  </w:r>
                  <w:proofErr w:type="gramEnd"/>
                  <w:r w:rsidRPr="00E04FA5">
                    <w:rPr>
                      <w:rFonts w:eastAsia="ＭＳ 明朝"/>
                      <w:sz w:val="21"/>
                      <w:szCs w:val="21"/>
                      <w:lang w:val="en-US"/>
                    </w:rPr>
                    <w:t xml:space="preserve"> where DSS is operated and hence should be supported. We are OK with either agreeing this </w:t>
                  </w:r>
                  <w:proofErr w:type="gramStart"/>
                  <w:r w:rsidRPr="00E04FA5">
                    <w:rPr>
                      <w:rFonts w:eastAsia="ＭＳ 明朝"/>
                      <w:sz w:val="21"/>
                      <w:szCs w:val="21"/>
                      <w:lang w:val="en-US"/>
                    </w:rPr>
                    <w:t>here, or</w:t>
                  </w:r>
                  <w:proofErr w:type="gramEnd"/>
                  <w:r w:rsidRPr="00E04FA5">
                    <w:rPr>
                      <w:rFonts w:eastAsia="ＭＳ 明朝"/>
                      <w:sz w:val="21"/>
                      <w:szCs w:val="21"/>
                      <w:lang w:val="en-US"/>
                    </w:rPr>
                    <w:t xml:space="preserve"> discussing in maintenance later. </w:t>
                  </w:r>
                </w:p>
              </w:tc>
            </w:tr>
            <w:tr w:rsidR="00E04FA5" w:rsidRPr="00E04FA5" w14:paraId="7AE5E175"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182E5023"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 xml:space="preserve">Huawei, </w:t>
                  </w:r>
                  <w:proofErr w:type="spellStart"/>
                  <w:r w:rsidRPr="00E04FA5">
                    <w:rPr>
                      <w:rFonts w:eastAsia="ＭＳ 明朝"/>
                      <w:sz w:val="21"/>
                      <w:szCs w:val="21"/>
                      <w:lang w:val="en-US"/>
                    </w:rPr>
                    <w:t>HiSilicon</w:t>
                  </w:r>
                  <w:proofErr w:type="spellEnd"/>
                </w:p>
              </w:tc>
              <w:tc>
                <w:tcPr>
                  <w:tcW w:w="4493" w:type="pct"/>
                  <w:tcBorders>
                    <w:top w:val="single" w:sz="4" w:space="0" w:color="auto"/>
                    <w:left w:val="single" w:sz="4" w:space="0" w:color="auto"/>
                    <w:bottom w:val="single" w:sz="4" w:space="0" w:color="auto"/>
                    <w:right w:val="single" w:sz="4" w:space="0" w:color="auto"/>
                  </w:tcBorders>
                  <w:hideMark/>
                </w:tcPr>
                <w:p w14:paraId="43C515E6"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Either way is fine.</w:t>
                  </w:r>
                </w:p>
              </w:tc>
            </w:tr>
            <w:tr w:rsidR="00E04FA5" w:rsidRPr="00E04FA5" w14:paraId="17B7B4C4"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60073B97"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NTT DOCOMO</w:t>
                  </w:r>
                </w:p>
              </w:tc>
              <w:tc>
                <w:tcPr>
                  <w:tcW w:w="4493" w:type="pct"/>
                  <w:tcBorders>
                    <w:top w:val="single" w:sz="4" w:space="0" w:color="auto"/>
                    <w:left w:val="single" w:sz="4" w:space="0" w:color="auto"/>
                    <w:bottom w:val="single" w:sz="4" w:space="0" w:color="auto"/>
                    <w:right w:val="single" w:sz="4" w:space="0" w:color="auto"/>
                  </w:tcBorders>
                  <w:hideMark/>
                </w:tcPr>
                <w:p w14:paraId="1085F3E3"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As there is no restriction on the precoder granularity for PDCCH reception on symbols overlapping with LTE-CRS in any CR/agreement, we assume the precoder granularity of ‘</w:t>
                  </w:r>
                  <w:proofErr w:type="spellStart"/>
                  <w:r w:rsidRPr="00E04FA5">
                    <w:rPr>
                      <w:rFonts w:eastAsia="ＭＳ 明朝"/>
                      <w:sz w:val="21"/>
                      <w:szCs w:val="21"/>
                      <w:lang w:val="en-US"/>
                    </w:rPr>
                    <w:t>allContiguousRBs</w:t>
                  </w:r>
                  <w:proofErr w:type="spellEnd"/>
                  <w:r w:rsidRPr="00E04FA5">
                    <w:rPr>
                      <w:rFonts w:eastAsia="ＭＳ 明朝"/>
                      <w:sz w:val="21"/>
                      <w:szCs w:val="21"/>
                      <w:lang w:val="en-US"/>
                    </w:rPr>
                    <w:t>’ is available.</w:t>
                  </w:r>
                </w:p>
                <w:p w14:paraId="7DEA11BE"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Then, we think whether new FG is necessary or not can be discussed in UE feature session. But we are also ok to wait for the maintenance discussion if there is any company having different understanding/assumption.</w:t>
                  </w:r>
                </w:p>
              </w:tc>
            </w:tr>
            <w:tr w:rsidR="00E04FA5" w:rsidRPr="00E04FA5" w14:paraId="6E89FBF5"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7D9E77B9" w14:textId="77777777" w:rsidR="00E04FA5" w:rsidRPr="00E04FA5" w:rsidRDefault="00E04FA5" w:rsidP="00E04FA5">
                  <w:pPr>
                    <w:spacing w:afterLines="50" w:after="120"/>
                    <w:jc w:val="both"/>
                    <w:rPr>
                      <w:rFonts w:eastAsia="ＭＳ 明朝"/>
                      <w:sz w:val="21"/>
                      <w:szCs w:val="21"/>
                      <w:lang w:val="en-US"/>
                    </w:rPr>
                  </w:pPr>
                  <w:proofErr w:type="spellStart"/>
                  <w:r w:rsidRPr="00E04FA5">
                    <w:rPr>
                      <w:rFonts w:eastAsia="ＭＳ 明朝"/>
                      <w:sz w:val="21"/>
                      <w:szCs w:val="21"/>
                      <w:lang w:val="en-US"/>
                    </w:rPr>
                    <w:t>Spreadtrum</w:t>
                  </w:r>
                  <w:proofErr w:type="spellEnd"/>
                </w:p>
              </w:tc>
              <w:tc>
                <w:tcPr>
                  <w:tcW w:w="4493" w:type="pct"/>
                  <w:tcBorders>
                    <w:top w:val="single" w:sz="4" w:space="0" w:color="auto"/>
                    <w:left w:val="single" w:sz="4" w:space="0" w:color="auto"/>
                    <w:bottom w:val="single" w:sz="4" w:space="0" w:color="auto"/>
                    <w:right w:val="single" w:sz="4" w:space="0" w:color="auto"/>
                  </w:tcBorders>
                  <w:hideMark/>
                </w:tcPr>
                <w:p w14:paraId="43640113"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 xml:space="preserve">Whether or not to support </w:t>
                  </w:r>
                  <w:proofErr w:type="spellStart"/>
                  <w:r w:rsidRPr="00E04FA5">
                    <w:rPr>
                      <w:rFonts w:eastAsia="ＭＳ 明朝"/>
                      <w:sz w:val="21"/>
                      <w:szCs w:val="21"/>
                      <w:lang w:val="en-US"/>
                    </w:rPr>
                    <w:t>allContiguousRBs</w:t>
                  </w:r>
                  <w:proofErr w:type="spellEnd"/>
                  <w:r w:rsidRPr="00E04FA5">
                    <w:rPr>
                      <w:rFonts w:eastAsia="ＭＳ 明朝"/>
                      <w:sz w:val="21"/>
                      <w:szCs w:val="21"/>
                      <w:lang w:val="en-US"/>
                    </w:rPr>
                    <w:t xml:space="preserve"> can be discussed in this meeting. We are also OK to discuss it in maintenance.</w:t>
                  </w:r>
                </w:p>
              </w:tc>
            </w:tr>
            <w:tr w:rsidR="00E04FA5" w:rsidRPr="00E04FA5" w14:paraId="56190485"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3E93DFD6"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MediaTek</w:t>
                  </w:r>
                </w:p>
              </w:tc>
              <w:tc>
                <w:tcPr>
                  <w:tcW w:w="4493" w:type="pct"/>
                  <w:tcBorders>
                    <w:top w:val="single" w:sz="4" w:space="0" w:color="auto"/>
                    <w:left w:val="single" w:sz="4" w:space="0" w:color="auto"/>
                    <w:bottom w:val="single" w:sz="4" w:space="0" w:color="auto"/>
                    <w:right w:val="single" w:sz="4" w:space="0" w:color="auto"/>
                  </w:tcBorders>
                  <w:hideMark/>
                </w:tcPr>
                <w:p w14:paraId="49FEFC11"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We prefer to discuss this issue in maintenance stage.</w:t>
                  </w:r>
                </w:p>
              </w:tc>
            </w:tr>
            <w:tr w:rsidR="00E04FA5" w:rsidRPr="00E04FA5" w14:paraId="7BC14C1A"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18CF552F"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Ericsson1</w:t>
                  </w:r>
                </w:p>
              </w:tc>
              <w:tc>
                <w:tcPr>
                  <w:tcW w:w="4493" w:type="pct"/>
                  <w:tcBorders>
                    <w:top w:val="single" w:sz="4" w:space="0" w:color="auto"/>
                    <w:left w:val="single" w:sz="4" w:space="0" w:color="auto"/>
                    <w:bottom w:val="single" w:sz="4" w:space="0" w:color="auto"/>
                    <w:right w:val="single" w:sz="4" w:space="0" w:color="auto"/>
                  </w:tcBorders>
                  <w:hideMark/>
                </w:tcPr>
                <w:p w14:paraId="6503B102"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There is no restriction on precoder granularity of ‘</w:t>
                  </w:r>
                  <w:proofErr w:type="spellStart"/>
                  <w:r w:rsidRPr="00E04FA5">
                    <w:rPr>
                      <w:rFonts w:eastAsia="ＭＳ 明朝"/>
                      <w:sz w:val="21"/>
                      <w:szCs w:val="21"/>
                      <w:lang w:val="en-US"/>
                    </w:rPr>
                    <w:t>allContiguousRBs</w:t>
                  </w:r>
                  <w:proofErr w:type="spellEnd"/>
                  <w:r w:rsidRPr="00E04FA5">
                    <w:rPr>
                      <w:rFonts w:eastAsia="ＭＳ 明朝"/>
                      <w:sz w:val="21"/>
                      <w:szCs w:val="21"/>
                      <w:lang w:val="en-US"/>
                    </w:rPr>
                    <w:t>’ for PDCCH reception on symbols overlapping with LTE-CRS.</w:t>
                  </w:r>
                </w:p>
                <w:p w14:paraId="59AA77C3"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As for separate FG based on precoder granularity, our preference is to not have separate FG for it.</w:t>
                  </w:r>
                </w:p>
              </w:tc>
            </w:tr>
            <w:tr w:rsidR="00E04FA5" w:rsidRPr="00E04FA5" w14:paraId="2ECDFB9D"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41918099"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ZTE</w:t>
                  </w:r>
                </w:p>
              </w:tc>
              <w:tc>
                <w:tcPr>
                  <w:tcW w:w="4493" w:type="pct"/>
                  <w:tcBorders>
                    <w:top w:val="single" w:sz="4" w:space="0" w:color="auto"/>
                    <w:left w:val="single" w:sz="4" w:space="0" w:color="auto"/>
                    <w:bottom w:val="single" w:sz="4" w:space="0" w:color="auto"/>
                    <w:right w:val="single" w:sz="4" w:space="0" w:color="auto"/>
                  </w:tcBorders>
                  <w:hideMark/>
                </w:tcPr>
                <w:p w14:paraId="05FF50DE"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 xml:space="preserve">Similar view as Ericsson. </w:t>
                  </w:r>
                </w:p>
              </w:tc>
            </w:tr>
            <w:tr w:rsidR="00E04FA5" w:rsidRPr="00E04FA5" w14:paraId="4224125D"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2F3A7AE5"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lastRenderedPageBreak/>
                    <w:t>Samsung</w:t>
                  </w:r>
                </w:p>
              </w:tc>
              <w:tc>
                <w:tcPr>
                  <w:tcW w:w="4493" w:type="pct"/>
                  <w:tcBorders>
                    <w:top w:val="single" w:sz="4" w:space="0" w:color="auto"/>
                    <w:left w:val="single" w:sz="4" w:space="0" w:color="auto"/>
                    <w:bottom w:val="single" w:sz="4" w:space="0" w:color="auto"/>
                    <w:right w:val="single" w:sz="4" w:space="0" w:color="auto"/>
                  </w:tcBorders>
                  <w:hideMark/>
                </w:tcPr>
                <w:p w14:paraId="71897A41"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 xml:space="preserve">Prefer to discuss in maintenance. </w:t>
                  </w:r>
                </w:p>
              </w:tc>
            </w:tr>
            <w:tr w:rsidR="00E04FA5" w:rsidRPr="00E04FA5" w14:paraId="00E8E379"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7CE15246"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Xiaomi</w:t>
                  </w:r>
                </w:p>
              </w:tc>
              <w:tc>
                <w:tcPr>
                  <w:tcW w:w="4493" w:type="pct"/>
                  <w:tcBorders>
                    <w:top w:val="single" w:sz="4" w:space="0" w:color="auto"/>
                    <w:left w:val="single" w:sz="4" w:space="0" w:color="auto"/>
                    <w:bottom w:val="single" w:sz="4" w:space="0" w:color="auto"/>
                    <w:right w:val="single" w:sz="4" w:space="0" w:color="auto"/>
                  </w:tcBorders>
                  <w:hideMark/>
                </w:tcPr>
                <w:p w14:paraId="6B1E351F"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Either is fine to us.</w:t>
                  </w:r>
                </w:p>
              </w:tc>
            </w:tr>
            <w:tr w:rsidR="00E04FA5" w:rsidRPr="00E04FA5" w14:paraId="4135A134"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016B3A28"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Moderator</w:t>
                  </w:r>
                </w:p>
              </w:tc>
              <w:tc>
                <w:tcPr>
                  <w:tcW w:w="4493" w:type="pct"/>
                  <w:tcBorders>
                    <w:top w:val="single" w:sz="4" w:space="0" w:color="auto"/>
                    <w:left w:val="single" w:sz="4" w:space="0" w:color="auto"/>
                    <w:bottom w:val="single" w:sz="4" w:space="0" w:color="auto"/>
                    <w:right w:val="single" w:sz="4" w:space="0" w:color="auto"/>
                  </w:tcBorders>
                  <w:hideMark/>
                </w:tcPr>
                <w:p w14:paraId="09A2AF8E"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No further discussion is expected in this meeting, but companies are free to propose in future meetings if they think it is critical.</w:t>
                  </w:r>
                </w:p>
              </w:tc>
            </w:tr>
          </w:tbl>
          <w:p w14:paraId="557DBAE5" w14:textId="77777777" w:rsidR="00E04FA5" w:rsidRPr="00E04FA5" w:rsidRDefault="00E04FA5" w:rsidP="00FC7B86">
            <w:pPr>
              <w:spacing w:afterLines="50" w:after="120"/>
              <w:jc w:val="both"/>
              <w:rPr>
                <w:rFonts w:eastAsia="ＭＳ 明朝"/>
                <w:sz w:val="21"/>
                <w:szCs w:val="21"/>
                <w:lang w:val="en-US"/>
              </w:rPr>
            </w:pPr>
          </w:p>
        </w:tc>
      </w:tr>
    </w:tbl>
    <w:p w14:paraId="05C29686" w14:textId="77777777" w:rsidR="00E04FA5" w:rsidRDefault="00E04FA5" w:rsidP="00FC7B86">
      <w:pPr>
        <w:spacing w:afterLines="50" w:after="120"/>
        <w:jc w:val="both"/>
        <w:rPr>
          <w:rFonts w:eastAsia="ＭＳ 明朝"/>
          <w:sz w:val="21"/>
          <w:szCs w:val="21"/>
          <w:lang w:val="en-US"/>
        </w:rPr>
      </w:pPr>
    </w:p>
    <w:p w14:paraId="690AA011" w14:textId="660BA651" w:rsidR="003E1970" w:rsidRPr="005163F2" w:rsidRDefault="00E04FA5" w:rsidP="00FC7B86">
      <w:pPr>
        <w:spacing w:afterLines="50" w:after="120"/>
        <w:jc w:val="both"/>
        <w:rPr>
          <w:rFonts w:eastAsia="ＭＳ 明朝"/>
          <w:sz w:val="22"/>
          <w:szCs w:val="22"/>
          <w:lang w:val="en-US"/>
        </w:rPr>
      </w:pPr>
      <w:r w:rsidRPr="005163F2">
        <w:rPr>
          <w:rFonts w:eastAsia="ＭＳ 明朝"/>
          <w:sz w:val="22"/>
          <w:szCs w:val="22"/>
        </w:rPr>
        <w:t xml:space="preserve">Although there </w:t>
      </w:r>
      <w:r w:rsidR="003E1970" w:rsidRPr="005163F2">
        <w:rPr>
          <w:rFonts w:eastAsia="ＭＳ 明朝"/>
          <w:sz w:val="22"/>
          <w:szCs w:val="22"/>
        </w:rPr>
        <w:t>has been</w:t>
      </w:r>
      <w:r w:rsidRPr="005163F2">
        <w:rPr>
          <w:rFonts w:eastAsia="ＭＳ 明朝"/>
          <w:sz w:val="22"/>
          <w:szCs w:val="22"/>
        </w:rPr>
        <w:t xml:space="preserve"> no agreement on the applicable precoder granularity for NR PDCCH reception in symbols with LTE CRS REs</w:t>
      </w:r>
      <w:r w:rsidR="003E1970" w:rsidRPr="005163F2">
        <w:rPr>
          <w:rFonts w:eastAsia="ＭＳ 明朝"/>
          <w:sz w:val="22"/>
          <w:szCs w:val="22"/>
        </w:rPr>
        <w:t xml:space="preserve"> during Rel-18 </w:t>
      </w:r>
      <w:proofErr w:type="spellStart"/>
      <w:r w:rsidR="003E1970" w:rsidRPr="005163F2">
        <w:rPr>
          <w:rFonts w:eastAsia="ＭＳ 明朝"/>
          <w:sz w:val="22"/>
          <w:szCs w:val="22"/>
        </w:rPr>
        <w:t>eDSS</w:t>
      </w:r>
      <w:proofErr w:type="spellEnd"/>
      <w:r w:rsidR="003E1970" w:rsidRPr="005163F2">
        <w:rPr>
          <w:rFonts w:eastAsia="ＭＳ 明朝"/>
          <w:sz w:val="22"/>
          <w:szCs w:val="22"/>
        </w:rPr>
        <w:t xml:space="preserve"> WI</w:t>
      </w:r>
      <w:r w:rsidRPr="005163F2">
        <w:rPr>
          <w:rFonts w:eastAsia="ＭＳ 明朝"/>
          <w:sz w:val="22"/>
          <w:szCs w:val="22"/>
        </w:rPr>
        <w:t xml:space="preserve">, </w:t>
      </w:r>
      <w:r w:rsidR="003E1970" w:rsidRPr="005163F2">
        <w:rPr>
          <w:rFonts w:eastAsia="ＭＳ 明朝"/>
          <w:sz w:val="22"/>
          <w:szCs w:val="22"/>
        </w:rPr>
        <w:t xml:space="preserve">at least </w:t>
      </w:r>
      <w:r w:rsidRPr="005163F2">
        <w:rPr>
          <w:rFonts w:eastAsia="ＭＳ 明朝"/>
          <w:sz w:val="22"/>
          <w:szCs w:val="22"/>
        </w:rPr>
        <w:t>it should be clarified</w:t>
      </w:r>
      <w:r w:rsidR="003E1970" w:rsidRPr="005163F2">
        <w:rPr>
          <w:rFonts w:eastAsia="ＭＳ 明朝"/>
          <w:sz w:val="22"/>
          <w:szCs w:val="22"/>
        </w:rPr>
        <w:t xml:space="preserve"> whether there is any restriction on the applicable precoder granularity</w:t>
      </w:r>
      <w:r w:rsidRPr="005163F2">
        <w:rPr>
          <w:rFonts w:eastAsia="ＭＳ 明朝"/>
          <w:sz w:val="22"/>
          <w:szCs w:val="22"/>
        </w:rPr>
        <w:t xml:space="preserve">. We </w:t>
      </w:r>
      <w:r w:rsidR="003E1970" w:rsidRPr="005163F2">
        <w:rPr>
          <w:rFonts w:eastAsia="ＭＳ 明朝"/>
          <w:sz w:val="22"/>
          <w:szCs w:val="22"/>
        </w:rPr>
        <w:t xml:space="preserve">believe that </w:t>
      </w:r>
      <w:r w:rsidRPr="005163F2">
        <w:rPr>
          <w:rFonts w:eastAsia="ＭＳ 明朝"/>
          <w:sz w:val="22"/>
          <w:szCs w:val="22"/>
        </w:rPr>
        <w:t>both precoder granularities i.e., REG-bundle size and CORESET size</w:t>
      </w:r>
      <w:r w:rsidR="003E1970" w:rsidRPr="005163F2">
        <w:rPr>
          <w:rFonts w:eastAsia="ＭＳ 明朝"/>
          <w:sz w:val="22"/>
          <w:szCs w:val="22"/>
        </w:rPr>
        <w:t xml:space="preserve"> should be applicable to NR PDCCH reception in symbols with LTE CRS </w:t>
      </w:r>
      <w:proofErr w:type="spellStart"/>
      <w:r w:rsidR="003E1970" w:rsidRPr="005163F2">
        <w:rPr>
          <w:rFonts w:eastAsia="ＭＳ 明朝"/>
          <w:sz w:val="22"/>
          <w:szCs w:val="22"/>
        </w:rPr>
        <w:t>REs.</w:t>
      </w:r>
      <w:proofErr w:type="spellEnd"/>
      <w:r w:rsidR="003E1970" w:rsidRPr="005163F2">
        <w:rPr>
          <w:rFonts w:eastAsia="ＭＳ 明朝"/>
          <w:sz w:val="22"/>
          <w:szCs w:val="22"/>
        </w:rPr>
        <w:t xml:space="preserve"> There has been no </w:t>
      </w:r>
      <w:r w:rsidR="003E1970" w:rsidRPr="005163F2">
        <w:rPr>
          <w:rFonts w:eastAsia="ＭＳ 明朝"/>
          <w:sz w:val="22"/>
          <w:szCs w:val="22"/>
          <w:lang w:val="en-US"/>
        </w:rPr>
        <w:t>restriction on the precoder granularity for PDCCH reception on symbols overlapping with LTE-CRS in Rel-18 specifications, and hence no CR would be necessary but clarifying it in RAN1 is beneficial.</w:t>
      </w:r>
    </w:p>
    <w:p w14:paraId="255343D2" w14:textId="29B88EED" w:rsidR="003E1970" w:rsidRPr="005163F2" w:rsidRDefault="003E1970" w:rsidP="003E1970">
      <w:pPr>
        <w:spacing w:afterLines="50" w:after="120"/>
        <w:jc w:val="both"/>
        <w:rPr>
          <w:rFonts w:eastAsia="ＭＳ 明朝"/>
          <w:b/>
          <w:bCs/>
          <w:sz w:val="22"/>
          <w:szCs w:val="22"/>
          <w:lang w:val="en-US"/>
        </w:rPr>
      </w:pPr>
      <w:r w:rsidRPr="005163F2">
        <w:rPr>
          <w:rFonts w:eastAsia="ＭＳ 明朝"/>
          <w:b/>
          <w:bCs/>
          <w:sz w:val="22"/>
          <w:szCs w:val="22"/>
          <w:lang w:val="en-US"/>
        </w:rPr>
        <w:t xml:space="preserve">Proposal 1: It is clarified that there is no restriction on the applicable precoder granularity for NR PDCCH reception in symbols overlapping with LTE CRS </w:t>
      </w:r>
      <w:proofErr w:type="spellStart"/>
      <w:r w:rsidRPr="005163F2">
        <w:rPr>
          <w:rFonts w:eastAsia="ＭＳ 明朝"/>
          <w:b/>
          <w:bCs/>
          <w:sz w:val="22"/>
          <w:szCs w:val="22"/>
          <w:lang w:val="en-US"/>
        </w:rPr>
        <w:t>REs.</w:t>
      </w:r>
      <w:proofErr w:type="spellEnd"/>
    </w:p>
    <w:p w14:paraId="67F868C9" w14:textId="77777777" w:rsidR="003E1970" w:rsidRPr="005163F2" w:rsidRDefault="003E1970" w:rsidP="00FC7B86">
      <w:pPr>
        <w:spacing w:afterLines="50" w:after="120"/>
        <w:jc w:val="both"/>
        <w:rPr>
          <w:rFonts w:eastAsia="ＭＳ 明朝"/>
          <w:sz w:val="22"/>
          <w:szCs w:val="22"/>
          <w:lang w:val="en-US"/>
        </w:rPr>
      </w:pPr>
    </w:p>
    <w:p w14:paraId="6DB51620" w14:textId="28023E1A" w:rsidR="004B2C14" w:rsidRPr="005163F2" w:rsidRDefault="003E1970" w:rsidP="00FC7B86">
      <w:pPr>
        <w:spacing w:afterLines="50" w:after="120"/>
        <w:jc w:val="both"/>
        <w:rPr>
          <w:rFonts w:eastAsia="ＭＳ 明朝"/>
          <w:sz w:val="22"/>
          <w:szCs w:val="22"/>
        </w:rPr>
      </w:pPr>
      <w:r w:rsidRPr="005163F2">
        <w:rPr>
          <w:rFonts w:eastAsia="ＭＳ 明朝"/>
          <w:sz w:val="22"/>
          <w:szCs w:val="22"/>
        </w:rPr>
        <w:t>Then, as discussed in UE feature sessions of previous RAN1 meetings, one remaining issue is whether a new FG on support of the precoder granularity of “</w:t>
      </w:r>
      <w:proofErr w:type="spellStart"/>
      <w:r w:rsidRPr="005163F2">
        <w:rPr>
          <w:rFonts w:eastAsia="ＭＳ 明朝"/>
          <w:sz w:val="22"/>
          <w:szCs w:val="22"/>
        </w:rPr>
        <w:t>allContiguousRBs</w:t>
      </w:r>
      <w:proofErr w:type="spellEnd"/>
      <w:r w:rsidRPr="005163F2">
        <w:rPr>
          <w:rFonts w:eastAsia="ＭＳ 明朝"/>
          <w:sz w:val="22"/>
          <w:szCs w:val="22"/>
        </w:rPr>
        <w:t xml:space="preserve">” for NR PDCCH reception in symbols overlapping with LTE CRS REs is necessary or not. The </w:t>
      </w:r>
      <w:r w:rsidR="00E04FA5" w:rsidRPr="005163F2">
        <w:rPr>
          <w:rFonts w:eastAsia="ＭＳ 明朝"/>
          <w:sz w:val="22"/>
          <w:szCs w:val="22"/>
        </w:rPr>
        <w:t>precoder granularity of</w:t>
      </w:r>
      <w:r w:rsidRPr="005163F2">
        <w:rPr>
          <w:rFonts w:eastAsia="ＭＳ 明朝"/>
          <w:sz w:val="22"/>
          <w:szCs w:val="22"/>
        </w:rPr>
        <w:t xml:space="preserve"> “</w:t>
      </w:r>
      <w:proofErr w:type="spellStart"/>
      <w:r w:rsidRPr="005163F2">
        <w:rPr>
          <w:rFonts w:eastAsia="ＭＳ 明朝"/>
          <w:sz w:val="22"/>
          <w:szCs w:val="22"/>
        </w:rPr>
        <w:t>allContiguousRBs</w:t>
      </w:r>
      <w:proofErr w:type="spellEnd"/>
      <w:r w:rsidRPr="005163F2">
        <w:rPr>
          <w:rFonts w:eastAsia="ＭＳ 明朝"/>
          <w:sz w:val="22"/>
          <w:szCs w:val="22"/>
        </w:rPr>
        <w:t>”</w:t>
      </w:r>
      <w:r w:rsidR="00E04FA5" w:rsidRPr="005163F2">
        <w:rPr>
          <w:rFonts w:eastAsia="ＭＳ 明朝"/>
          <w:sz w:val="22"/>
          <w:szCs w:val="22"/>
        </w:rPr>
        <w:t xml:space="preserve"> is optional capability</w:t>
      </w:r>
      <w:r w:rsidRPr="005163F2">
        <w:rPr>
          <w:rFonts w:eastAsia="ＭＳ 明朝"/>
          <w:sz w:val="22"/>
          <w:szCs w:val="22"/>
        </w:rPr>
        <w:t xml:space="preserve"> in Rel-15</w:t>
      </w:r>
      <w:r w:rsidR="00E04FA5" w:rsidRPr="005163F2">
        <w:rPr>
          <w:rFonts w:eastAsia="ＭＳ 明朝"/>
          <w:sz w:val="22"/>
          <w:szCs w:val="22"/>
        </w:rPr>
        <w:t xml:space="preserve">, </w:t>
      </w:r>
      <w:r w:rsidR="004B2C14" w:rsidRPr="005163F2">
        <w:rPr>
          <w:rFonts w:eastAsia="ＭＳ 明朝"/>
          <w:sz w:val="22"/>
          <w:szCs w:val="22"/>
        </w:rPr>
        <w:t xml:space="preserve">and hence there are two possibilities below. </w:t>
      </w:r>
    </w:p>
    <w:p w14:paraId="4F6047BC" w14:textId="6EC8851A" w:rsidR="004B2C14" w:rsidRPr="005163F2" w:rsidRDefault="004B2C14">
      <w:pPr>
        <w:pStyle w:val="afd"/>
        <w:numPr>
          <w:ilvl w:val="0"/>
          <w:numId w:val="8"/>
        </w:numPr>
        <w:spacing w:afterLines="50" w:after="120"/>
        <w:ind w:leftChars="0"/>
        <w:jc w:val="both"/>
        <w:rPr>
          <w:rFonts w:eastAsia="ＭＳ 明朝"/>
          <w:sz w:val="22"/>
          <w:szCs w:val="22"/>
        </w:rPr>
      </w:pPr>
      <w:r w:rsidRPr="005163F2">
        <w:rPr>
          <w:rFonts w:eastAsia="ＭＳ 明朝" w:hint="eastAsia"/>
          <w:sz w:val="22"/>
          <w:szCs w:val="22"/>
        </w:rPr>
        <w:t>A</w:t>
      </w:r>
      <w:r w:rsidRPr="005163F2">
        <w:rPr>
          <w:rFonts w:eastAsia="ＭＳ 明朝"/>
          <w:sz w:val="22"/>
          <w:szCs w:val="22"/>
        </w:rPr>
        <w:t>lt.1: no new FG is introduced</w:t>
      </w:r>
    </w:p>
    <w:p w14:paraId="1DA717C8" w14:textId="62479203" w:rsidR="004B2C14" w:rsidRPr="005163F2" w:rsidRDefault="004B2C14">
      <w:pPr>
        <w:pStyle w:val="afd"/>
        <w:numPr>
          <w:ilvl w:val="1"/>
          <w:numId w:val="8"/>
        </w:numPr>
        <w:spacing w:afterLines="50" w:after="120"/>
        <w:ind w:leftChars="0"/>
        <w:jc w:val="both"/>
        <w:rPr>
          <w:rFonts w:eastAsia="ＭＳ 明朝"/>
          <w:sz w:val="22"/>
          <w:szCs w:val="22"/>
        </w:rPr>
      </w:pPr>
      <w:r w:rsidRPr="005163F2">
        <w:rPr>
          <w:rFonts w:eastAsia="ＭＳ 明朝" w:hint="eastAsia"/>
          <w:sz w:val="22"/>
          <w:szCs w:val="22"/>
        </w:rPr>
        <w:t>I</w:t>
      </w:r>
      <w:r w:rsidRPr="005163F2">
        <w:rPr>
          <w:rFonts w:eastAsia="ＭＳ 明朝"/>
          <w:sz w:val="22"/>
          <w:szCs w:val="22"/>
        </w:rPr>
        <w:t>f UE supports Rel-15 FG on “</w:t>
      </w:r>
      <w:proofErr w:type="spellStart"/>
      <w:r w:rsidRPr="005163F2">
        <w:rPr>
          <w:rFonts w:eastAsia="ＭＳ 明朝"/>
          <w:sz w:val="22"/>
          <w:szCs w:val="22"/>
        </w:rPr>
        <w:t>allContiguousRBs</w:t>
      </w:r>
      <w:proofErr w:type="spellEnd"/>
      <w:r w:rsidRPr="005163F2">
        <w:rPr>
          <w:rFonts w:eastAsia="ＭＳ 明朝"/>
          <w:sz w:val="22"/>
          <w:szCs w:val="22"/>
        </w:rPr>
        <w:t>” and Rel-18 FG on NR PDCCH reception in symbols overlapping with LTE CRS REs, the UE supports the precoder granularity of “</w:t>
      </w:r>
      <w:proofErr w:type="spellStart"/>
      <w:r w:rsidRPr="005163F2">
        <w:rPr>
          <w:rFonts w:eastAsia="ＭＳ 明朝"/>
          <w:sz w:val="22"/>
          <w:szCs w:val="22"/>
        </w:rPr>
        <w:t>allContiguousRBs</w:t>
      </w:r>
      <w:proofErr w:type="spellEnd"/>
      <w:r w:rsidRPr="005163F2">
        <w:rPr>
          <w:rFonts w:eastAsia="ＭＳ 明朝"/>
          <w:sz w:val="22"/>
          <w:szCs w:val="22"/>
        </w:rPr>
        <w:t xml:space="preserve">” for NR PDCCH reception in symbols overlapping with LTE CRS </w:t>
      </w:r>
      <w:proofErr w:type="spellStart"/>
      <w:r w:rsidRPr="005163F2">
        <w:rPr>
          <w:rFonts w:eastAsia="ＭＳ 明朝"/>
          <w:sz w:val="22"/>
          <w:szCs w:val="22"/>
        </w:rPr>
        <w:t>REs.</w:t>
      </w:r>
      <w:proofErr w:type="spellEnd"/>
    </w:p>
    <w:p w14:paraId="5134929E" w14:textId="6EB962FD" w:rsidR="004B2C14" w:rsidRPr="005163F2" w:rsidRDefault="004B2C14">
      <w:pPr>
        <w:pStyle w:val="afd"/>
        <w:numPr>
          <w:ilvl w:val="0"/>
          <w:numId w:val="8"/>
        </w:numPr>
        <w:spacing w:afterLines="50" w:after="120"/>
        <w:ind w:leftChars="0"/>
        <w:jc w:val="both"/>
        <w:rPr>
          <w:rFonts w:eastAsia="ＭＳ 明朝"/>
          <w:sz w:val="22"/>
          <w:szCs w:val="22"/>
        </w:rPr>
      </w:pPr>
      <w:r w:rsidRPr="005163F2">
        <w:rPr>
          <w:rFonts w:eastAsia="ＭＳ 明朝" w:hint="eastAsia"/>
          <w:sz w:val="22"/>
          <w:szCs w:val="22"/>
        </w:rPr>
        <w:t>A</w:t>
      </w:r>
      <w:r w:rsidRPr="005163F2">
        <w:rPr>
          <w:rFonts w:eastAsia="ＭＳ 明朝"/>
          <w:sz w:val="22"/>
          <w:szCs w:val="22"/>
        </w:rPr>
        <w:t>lt.2: new FG is introduced</w:t>
      </w:r>
    </w:p>
    <w:p w14:paraId="5917854F" w14:textId="330E8F07" w:rsidR="004B2C14" w:rsidRPr="005163F2" w:rsidRDefault="004B2C14">
      <w:pPr>
        <w:pStyle w:val="afd"/>
        <w:numPr>
          <w:ilvl w:val="1"/>
          <w:numId w:val="8"/>
        </w:numPr>
        <w:spacing w:afterLines="50" w:after="120"/>
        <w:ind w:leftChars="0"/>
        <w:jc w:val="both"/>
        <w:rPr>
          <w:rFonts w:eastAsia="ＭＳ 明朝"/>
          <w:sz w:val="22"/>
          <w:szCs w:val="22"/>
        </w:rPr>
      </w:pPr>
      <w:r w:rsidRPr="005163F2">
        <w:rPr>
          <w:rFonts w:eastAsia="ＭＳ 明朝" w:hint="eastAsia"/>
          <w:sz w:val="22"/>
          <w:szCs w:val="22"/>
        </w:rPr>
        <w:t>I</w:t>
      </w:r>
      <w:r w:rsidRPr="005163F2">
        <w:rPr>
          <w:rFonts w:eastAsia="ＭＳ 明朝"/>
          <w:sz w:val="22"/>
          <w:szCs w:val="22"/>
        </w:rPr>
        <w:t>f UE supports the new FG, the UE supports the precoder granularity of “</w:t>
      </w:r>
      <w:proofErr w:type="spellStart"/>
      <w:r w:rsidRPr="005163F2">
        <w:rPr>
          <w:rFonts w:eastAsia="ＭＳ 明朝"/>
          <w:sz w:val="22"/>
          <w:szCs w:val="22"/>
        </w:rPr>
        <w:t>allContiguousRBs</w:t>
      </w:r>
      <w:proofErr w:type="spellEnd"/>
      <w:r w:rsidRPr="005163F2">
        <w:rPr>
          <w:rFonts w:eastAsia="ＭＳ 明朝"/>
          <w:sz w:val="22"/>
          <w:szCs w:val="22"/>
        </w:rPr>
        <w:t xml:space="preserve">” for NR PDCCH reception in symbols overlapping with LTE CRS </w:t>
      </w:r>
      <w:proofErr w:type="spellStart"/>
      <w:r w:rsidRPr="005163F2">
        <w:rPr>
          <w:rFonts w:eastAsia="ＭＳ 明朝"/>
          <w:sz w:val="22"/>
          <w:szCs w:val="22"/>
        </w:rPr>
        <w:t>REs.</w:t>
      </w:r>
      <w:proofErr w:type="spellEnd"/>
    </w:p>
    <w:p w14:paraId="4FE5F5DC" w14:textId="2D435F7F" w:rsidR="00FC7B86" w:rsidRPr="005163F2" w:rsidRDefault="004B2C14" w:rsidP="00FC7B86">
      <w:pPr>
        <w:spacing w:afterLines="50" w:after="120"/>
        <w:jc w:val="both"/>
        <w:rPr>
          <w:rFonts w:eastAsia="ＭＳ 明朝"/>
          <w:sz w:val="22"/>
          <w:szCs w:val="22"/>
          <w:lang w:val="en-US"/>
        </w:rPr>
      </w:pPr>
      <w:r w:rsidRPr="005163F2">
        <w:rPr>
          <w:rFonts w:eastAsia="ＭＳ 明朝" w:hint="eastAsia"/>
          <w:sz w:val="22"/>
          <w:szCs w:val="22"/>
          <w:lang w:val="en-US"/>
        </w:rPr>
        <w:t>A</w:t>
      </w:r>
      <w:r w:rsidRPr="005163F2">
        <w:rPr>
          <w:rFonts w:eastAsia="ＭＳ 明朝"/>
          <w:sz w:val="22"/>
          <w:szCs w:val="22"/>
          <w:lang w:val="en-US"/>
        </w:rPr>
        <w:t xml:space="preserve">bove point should be discussed in </w:t>
      </w:r>
      <w:proofErr w:type="spellStart"/>
      <w:r w:rsidRPr="005163F2">
        <w:rPr>
          <w:rFonts w:eastAsia="ＭＳ 明朝"/>
          <w:sz w:val="22"/>
          <w:szCs w:val="22"/>
          <w:lang w:val="en-US"/>
        </w:rPr>
        <w:t>eDSS</w:t>
      </w:r>
      <w:proofErr w:type="spellEnd"/>
      <w:r w:rsidRPr="005163F2">
        <w:rPr>
          <w:rFonts w:eastAsia="ＭＳ 明朝"/>
          <w:sz w:val="22"/>
          <w:szCs w:val="22"/>
          <w:lang w:val="en-US"/>
        </w:rPr>
        <w:t xml:space="preserve"> UE feature session (AI 8.16.10) once RAN1 agrees on the Proposal 1 [2].</w:t>
      </w:r>
    </w:p>
    <w:p w14:paraId="7D6C125D" w14:textId="77777777" w:rsidR="00FC7B86" w:rsidRPr="004B2C14" w:rsidRDefault="00FC7B86" w:rsidP="00FC7B86">
      <w:pPr>
        <w:spacing w:afterLines="50" w:after="120"/>
        <w:jc w:val="both"/>
        <w:rPr>
          <w:rFonts w:eastAsia="ＭＳ 明朝"/>
          <w:sz w:val="21"/>
          <w:szCs w:val="21"/>
          <w:lang w:val="en-US"/>
        </w:rPr>
      </w:pPr>
    </w:p>
    <w:p w14:paraId="36096DDA" w14:textId="77777777" w:rsidR="00FC7B86" w:rsidRPr="00ED79F8" w:rsidRDefault="00FC7B86" w:rsidP="00FC7B86">
      <w:pPr>
        <w:spacing w:afterLines="50" w:after="120"/>
        <w:jc w:val="both"/>
        <w:rPr>
          <w:rFonts w:eastAsia="ＭＳ 明朝"/>
          <w:sz w:val="21"/>
          <w:szCs w:val="21"/>
          <w:lang w:val="en-US"/>
        </w:rPr>
      </w:pPr>
    </w:p>
    <w:p w14:paraId="22C8059C" w14:textId="77777777" w:rsidR="00FC7B86" w:rsidRDefault="00FC7B86" w:rsidP="00FC7B86">
      <w:pPr>
        <w:pStyle w:val="1"/>
        <w:numPr>
          <w:ilvl w:val="0"/>
          <w:numId w:val="5"/>
        </w:numPr>
        <w:rPr>
          <w:b/>
          <w:bCs/>
        </w:rPr>
      </w:pPr>
      <w:r w:rsidRPr="00316B51">
        <w:rPr>
          <w:b/>
          <w:bCs/>
        </w:rPr>
        <w:t xml:space="preserve">Conclusion </w:t>
      </w:r>
    </w:p>
    <w:p w14:paraId="6E8BFB19" w14:textId="6698EDA0" w:rsidR="00FC7B86" w:rsidRPr="005163F2" w:rsidRDefault="00FC7B86" w:rsidP="00FC7B86">
      <w:pPr>
        <w:spacing w:afterLines="50" w:after="120"/>
        <w:jc w:val="both"/>
        <w:rPr>
          <w:rFonts w:eastAsia="ＭＳ 明朝"/>
          <w:sz w:val="22"/>
          <w:szCs w:val="22"/>
          <w:lang w:val="en-US"/>
        </w:rPr>
      </w:pPr>
      <w:r w:rsidRPr="005163F2">
        <w:rPr>
          <w:rFonts w:eastAsia="ＭＳ 明朝"/>
          <w:sz w:val="22"/>
          <w:szCs w:val="22"/>
          <w:lang w:val="en-US"/>
        </w:rPr>
        <w:t>In this contribution, we</w:t>
      </w:r>
      <w:r w:rsidRPr="005163F2">
        <w:rPr>
          <w:rFonts w:eastAsia="ＭＳ 明朝" w:hint="eastAsia"/>
          <w:sz w:val="22"/>
          <w:szCs w:val="22"/>
          <w:lang w:val="en-US"/>
        </w:rPr>
        <w:t xml:space="preserve"> made following</w:t>
      </w:r>
      <w:r w:rsidRPr="005163F2">
        <w:rPr>
          <w:rFonts w:eastAsia="ＭＳ 明朝"/>
          <w:sz w:val="22"/>
          <w:szCs w:val="22"/>
          <w:lang w:val="en-US"/>
        </w:rPr>
        <w:t xml:space="preserve"> </w:t>
      </w:r>
      <w:r w:rsidRPr="005163F2">
        <w:rPr>
          <w:rFonts w:eastAsia="ＭＳ 明朝" w:hint="eastAsia"/>
          <w:sz w:val="22"/>
          <w:szCs w:val="22"/>
          <w:lang w:val="en-US"/>
        </w:rPr>
        <w:t>proposal.</w:t>
      </w:r>
    </w:p>
    <w:p w14:paraId="1C53B07E" w14:textId="77777777" w:rsidR="004B2C14" w:rsidRPr="005163F2" w:rsidRDefault="004B2C14" w:rsidP="004B2C14">
      <w:pPr>
        <w:spacing w:afterLines="50" w:after="120"/>
        <w:jc w:val="both"/>
        <w:rPr>
          <w:rFonts w:eastAsia="ＭＳ 明朝"/>
          <w:b/>
          <w:bCs/>
          <w:sz w:val="22"/>
          <w:szCs w:val="22"/>
          <w:lang w:val="en-US"/>
        </w:rPr>
      </w:pPr>
      <w:r w:rsidRPr="005163F2">
        <w:rPr>
          <w:rFonts w:eastAsia="ＭＳ 明朝"/>
          <w:b/>
          <w:bCs/>
          <w:sz w:val="22"/>
          <w:szCs w:val="22"/>
          <w:lang w:val="en-US"/>
        </w:rPr>
        <w:t xml:space="preserve">Proposal 1: It is clarified that there is no restriction on the applicable precoder granularity for NR PDCCH reception in symbols overlapping with LTE CRS </w:t>
      </w:r>
      <w:proofErr w:type="spellStart"/>
      <w:r w:rsidRPr="005163F2">
        <w:rPr>
          <w:rFonts w:eastAsia="ＭＳ 明朝"/>
          <w:b/>
          <w:bCs/>
          <w:sz w:val="22"/>
          <w:szCs w:val="22"/>
          <w:lang w:val="en-US"/>
        </w:rPr>
        <w:t>REs.</w:t>
      </w:r>
      <w:proofErr w:type="spellEnd"/>
    </w:p>
    <w:p w14:paraId="718B61F3" w14:textId="77777777" w:rsidR="005E546C" w:rsidRPr="005E546C" w:rsidRDefault="005E546C" w:rsidP="00FC7B86">
      <w:pPr>
        <w:spacing w:afterLines="50" w:after="120"/>
        <w:jc w:val="both"/>
        <w:rPr>
          <w:rFonts w:eastAsia="ＭＳ 明朝"/>
          <w:sz w:val="22"/>
          <w:szCs w:val="22"/>
          <w:u w:val="single"/>
          <w:lang w:val="en-US"/>
        </w:rPr>
      </w:pPr>
    </w:p>
    <w:p w14:paraId="75D995BA" w14:textId="77777777" w:rsidR="00FC7B86" w:rsidRPr="00EE092A" w:rsidRDefault="00FC7B86" w:rsidP="00FC7B86">
      <w:pPr>
        <w:pStyle w:val="1"/>
        <w:spacing w:before="180" w:after="120"/>
        <w:rPr>
          <w:rFonts w:eastAsia="ＭＳ 明朝"/>
          <w:b/>
          <w:bCs/>
          <w:szCs w:val="24"/>
          <w:lang w:val="en-US"/>
        </w:rPr>
      </w:pPr>
      <w:r w:rsidRPr="00EE092A">
        <w:rPr>
          <w:rFonts w:eastAsia="ＭＳ 明朝"/>
          <w:b/>
          <w:bCs/>
          <w:szCs w:val="24"/>
          <w:lang w:val="en-US"/>
        </w:rPr>
        <w:t>References</w:t>
      </w:r>
    </w:p>
    <w:p w14:paraId="3751E4FA" w14:textId="32530EF1" w:rsidR="00FC7B86" w:rsidRDefault="00FC7B86" w:rsidP="00FC7B86">
      <w:pPr>
        <w:rPr>
          <w:bCs/>
          <w:sz w:val="22"/>
          <w:szCs w:val="18"/>
        </w:rPr>
      </w:pPr>
      <w:r>
        <w:rPr>
          <w:rFonts w:hint="eastAsia"/>
          <w:bCs/>
          <w:sz w:val="22"/>
          <w:szCs w:val="18"/>
        </w:rPr>
        <w:t>[</w:t>
      </w:r>
      <w:r>
        <w:rPr>
          <w:bCs/>
          <w:sz w:val="22"/>
          <w:szCs w:val="18"/>
        </w:rPr>
        <w:t>1]</w:t>
      </w:r>
      <w:r>
        <w:rPr>
          <w:bCs/>
          <w:sz w:val="22"/>
          <w:szCs w:val="18"/>
        </w:rPr>
        <w:tab/>
        <w:t>R1-230</w:t>
      </w:r>
      <w:r w:rsidR="00E04FA5">
        <w:rPr>
          <w:bCs/>
          <w:sz w:val="22"/>
          <w:szCs w:val="18"/>
        </w:rPr>
        <w:t>8507</w:t>
      </w:r>
      <w:r>
        <w:rPr>
          <w:bCs/>
          <w:sz w:val="22"/>
          <w:szCs w:val="18"/>
        </w:rPr>
        <w:tab/>
      </w:r>
      <w:r w:rsidR="00E04FA5" w:rsidRPr="00E04FA5">
        <w:rPr>
          <w:bCs/>
          <w:sz w:val="22"/>
          <w:szCs w:val="18"/>
        </w:rPr>
        <w:t xml:space="preserve">Summary on UE features for </w:t>
      </w:r>
      <w:proofErr w:type="spellStart"/>
      <w:r w:rsidR="00E04FA5" w:rsidRPr="00E04FA5">
        <w:rPr>
          <w:bCs/>
          <w:sz w:val="22"/>
          <w:szCs w:val="18"/>
        </w:rPr>
        <w:t>eDSS</w:t>
      </w:r>
      <w:proofErr w:type="spellEnd"/>
      <w:r>
        <w:rPr>
          <w:bCs/>
          <w:sz w:val="22"/>
          <w:szCs w:val="18"/>
        </w:rPr>
        <w:tab/>
      </w:r>
      <w:r w:rsidRPr="00D76FCC">
        <w:rPr>
          <w:bCs/>
          <w:sz w:val="22"/>
          <w:szCs w:val="18"/>
        </w:rPr>
        <w:t>Moderator (</w:t>
      </w:r>
      <w:r>
        <w:rPr>
          <w:bCs/>
          <w:sz w:val="22"/>
          <w:szCs w:val="18"/>
        </w:rPr>
        <w:t>NTT DOCOMO, INC.</w:t>
      </w:r>
      <w:r w:rsidRPr="00D76FCC">
        <w:rPr>
          <w:bCs/>
          <w:sz w:val="22"/>
          <w:szCs w:val="18"/>
        </w:rPr>
        <w:t>)</w:t>
      </w:r>
    </w:p>
    <w:p w14:paraId="5BCA0D94" w14:textId="13F5916A" w:rsidR="00FC7B86" w:rsidRPr="00A80ED9" w:rsidRDefault="00FC7B86" w:rsidP="00FC7B86">
      <w:pPr>
        <w:widowControl w:val="0"/>
        <w:spacing w:after="120"/>
        <w:jc w:val="both"/>
        <w:rPr>
          <w:sz w:val="22"/>
          <w:szCs w:val="22"/>
          <w:lang w:val="en-US"/>
        </w:rPr>
      </w:pPr>
      <w:r>
        <w:rPr>
          <w:rFonts w:hint="eastAsia"/>
          <w:sz w:val="22"/>
          <w:szCs w:val="22"/>
          <w:lang w:val="en-US"/>
        </w:rPr>
        <w:t>[</w:t>
      </w:r>
      <w:r>
        <w:rPr>
          <w:sz w:val="22"/>
          <w:szCs w:val="22"/>
          <w:lang w:val="en-US"/>
        </w:rPr>
        <w:t>2]</w:t>
      </w:r>
      <w:r>
        <w:rPr>
          <w:sz w:val="22"/>
          <w:szCs w:val="22"/>
          <w:lang w:val="en-US"/>
        </w:rPr>
        <w:tab/>
        <w:t>R1-23</w:t>
      </w:r>
      <w:r w:rsidR="000C6113">
        <w:rPr>
          <w:sz w:val="22"/>
          <w:szCs w:val="22"/>
          <w:lang w:val="en-US"/>
        </w:rPr>
        <w:t>10064</w:t>
      </w:r>
      <w:r w:rsidR="004B2C14">
        <w:rPr>
          <w:sz w:val="22"/>
          <w:szCs w:val="22"/>
          <w:lang w:val="en-US"/>
        </w:rPr>
        <w:tab/>
      </w:r>
      <w:r w:rsidR="004B2C14" w:rsidRPr="004B2C14">
        <w:rPr>
          <w:sz w:val="22"/>
          <w:szCs w:val="22"/>
          <w:lang w:val="en-US"/>
        </w:rPr>
        <w:t xml:space="preserve">Discussion on UE features for </w:t>
      </w:r>
      <w:proofErr w:type="spellStart"/>
      <w:r w:rsidR="004B2C14" w:rsidRPr="004B2C14">
        <w:rPr>
          <w:sz w:val="22"/>
          <w:szCs w:val="22"/>
          <w:lang w:val="en-US"/>
        </w:rPr>
        <w:t>eDSS</w:t>
      </w:r>
      <w:proofErr w:type="spellEnd"/>
      <w:r w:rsidR="004B2C14">
        <w:rPr>
          <w:sz w:val="22"/>
          <w:szCs w:val="22"/>
          <w:lang w:val="en-US"/>
        </w:rPr>
        <w:tab/>
        <w:t>NTT DOCOMO, INC.</w:t>
      </w:r>
    </w:p>
    <w:p w14:paraId="3B9C2371" w14:textId="6A7A469E" w:rsidR="004A2943" w:rsidRPr="00FC7B86" w:rsidRDefault="004A2943" w:rsidP="00B8583E">
      <w:pPr>
        <w:widowControl w:val="0"/>
        <w:spacing w:after="120"/>
        <w:jc w:val="both"/>
        <w:rPr>
          <w:sz w:val="22"/>
          <w:szCs w:val="22"/>
          <w:lang w:val="en-US"/>
        </w:rPr>
      </w:pPr>
    </w:p>
    <w:sectPr w:rsidR="004A2943" w:rsidRPr="00FC7B8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39AE6" w14:textId="77777777" w:rsidR="00D0259B" w:rsidRDefault="00D0259B">
      <w:r>
        <w:separator/>
      </w:r>
    </w:p>
  </w:endnote>
  <w:endnote w:type="continuationSeparator" w:id="0">
    <w:p w14:paraId="3AC9BC40" w14:textId="77777777" w:rsidR="00D0259B" w:rsidRDefault="00D0259B">
      <w:r>
        <w:continuationSeparator/>
      </w:r>
    </w:p>
  </w:endnote>
  <w:endnote w:type="continuationNotice" w:id="1">
    <w:p w14:paraId="20D807EE" w14:textId="77777777" w:rsidR="00D0259B" w:rsidRDefault="00D02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8A644" w14:textId="77777777" w:rsidR="00D0259B" w:rsidRDefault="00D0259B">
      <w:r>
        <w:separator/>
      </w:r>
    </w:p>
  </w:footnote>
  <w:footnote w:type="continuationSeparator" w:id="0">
    <w:p w14:paraId="3AC50A12" w14:textId="77777777" w:rsidR="00D0259B" w:rsidRDefault="00D0259B">
      <w:r>
        <w:continuationSeparator/>
      </w:r>
    </w:p>
  </w:footnote>
  <w:footnote w:type="continuationNotice" w:id="1">
    <w:p w14:paraId="4E3EEED7" w14:textId="77777777" w:rsidR="00D0259B" w:rsidRDefault="00D025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FDB67BF"/>
    <w:multiLevelType w:val="hybridMultilevel"/>
    <w:tmpl w:val="D4E4AA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1496404">
    <w:abstractNumId w:val="0"/>
  </w:num>
  <w:num w:numId="2" w16cid:durableId="676662986">
    <w:abstractNumId w:val="4"/>
  </w:num>
  <w:num w:numId="3" w16cid:durableId="1335645154">
    <w:abstractNumId w:val="2"/>
  </w:num>
  <w:num w:numId="4" w16cid:durableId="885489588">
    <w:abstractNumId w:val="7"/>
  </w:num>
  <w:num w:numId="5" w16cid:durableId="1998416010">
    <w:abstractNumId w:val="3"/>
  </w:num>
  <w:num w:numId="6" w16cid:durableId="1571891002">
    <w:abstractNumId w:val="1"/>
  </w:num>
  <w:num w:numId="7" w16cid:durableId="819227246">
    <w:abstractNumId w:val="5"/>
  </w:num>
  <w:num w:numId="8" w16cid:durableId="118636391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113"/>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015"/>
    <w:rsid w:val="000F256C"/>
    <w:rsid w:val="000F27F8"/>
    <w:rsid w:val="000F2C7F"/>
    <w:rsid w:val="000F2C9D"/>
    <w:rsid w:val="000F30AE"/>
    <w:rsid w:val="000F336B"/>
    <w:rsid w:val="000F34F4"/>
    <w:rsid w:val="000F350E"/>
    <w:rsid w:val="000F3A57"/>
    <w:rsid w:val="000F3E62"/>
    <w:rsid w:val="000F3F41"/>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36"/>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523"/>
    <w:rsid w:val="003E07EC"/>
    <w:rsid w:val="003E090F"/>
    <w:rsid w:val="003E0D77"/>
    <w:rsid w:val="003E1373"/>
    <w:rsid w:val="003E13DF"/>
    <w:rsid w:val="003E1688"/>
    <w:rsid w:val="003E172C"/>
    <w:rsid w:val="003E17F1"/>
    <w:rsid w:val="003E1887"/>
    <w:rsid w:val="003E1970"/>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3F2"/>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496"/>
    <w:rsid w:val="00784688"/>
    <w:rsid w:val="007847D8"/>
    <w:rsid w:val="00784896"/>
    <w:rsid w:val="00784BEF"/>
    <w:rsid w:val="00784D36"/>
    <w:rsid w:val="00784EBE"/>
    <w:rsid w:val="0078514E"/>
    <w:rsid w:val="0078548B"/>
    <w:rsid w:val="007855E6"/>
    <w:rsid w:val="00785770"/>
    <w:rsid w:val="00785A88"/>
    <w:rsid w:val="00785C94"/>
    <w:rsid w:val="00785DCA"/>
    <w:rsid w:val="00786AE0"/>
    <w:rsid w:val="00786CB3"/>
    <w:rsid w:val="00786D76"/>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9F6"/>
    <w:rsid w:val="00AC4FD6"/>
    <w:rsid w:val="00AC563B"/>
    <w:rsid w:val="00AC59B9"/>
    <w:rsid w:val="00AC5D2C"/>
    <w:rsid w:val="00AC60FC"/>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A7"/>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379"/>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74A7"/>
    <w:rsid w:val="00C07760"/>
    <w:rsid w:val="00C078C7"/>
    <w:rsid w:val="00C07952"/>
    <w:rsid w:val="00C0796B"/>
    <w:rsid w:val="00C07B9E"/>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C28"/>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4DA"/>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9B"/>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CD"/>
    <w:rsid w:val="00D31376"/>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1F37"/>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48A"/>
    <w:rsid w:val="00D65897"/>
    <w:rsid w:val="00D65A51"/>
    <w:rsid w:val="00D65B69"/>
    <w:rsid w:val="00D65D4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97EE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1F4E"/>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9C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rFonts w:eastAsia="Times New Roman"/>
      <w:szCs w:val="24"/>
      <w:lang w:val="en-US"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uiPriority w:val="99"/>
    <w:qFormat/>
    <w:rsid w:val="00BA69CA"/>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668</Words>
  <Characters>3809</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2023-09-29T02:49:00Z</dcterms:created>
  <dcterms:modified xsi:type="dcterms:W3CDTF">2023-09-29T02:49:00Z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ies>
</file>