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CE0E17" w14:textId="52DF08A6" w:rsidR="00E33F66" w:rsidRDefault="00000000">
      <w:pPr>
        <w:tabs>
          <w:tab w:val="right" w:pos="9216"/>
        </w:tabs>
        <w:spacing w:after="0"/>
        <w:jc w:val="left"/>
      </w:pPr>
      <w:r>
        <w:rPr>
          <w:b/>
          <w:bCs/>
          <w:kern w:val="2"/>
        </w:rPr>
        <w:t>3GPP TSG RAN WG1 #114</w:t>
      </w:r>
      <w:r>
        <w:rPr>
          <w:b/>
          <w:kern w:val="2"/>
        </w:rPr>
        <w:tab/>
      </w:r>
      <w:r w:rsidR="00B64AF2" w:rsidRPr="00B64AF2">
        <w:rPr>
          <w:b/>
          <w:kern w:val="2"/>
        </w:rPr>
        <w:t>R1-2308001</w:t>
      </w:r>
    </w:p>
    <w:p w14:paraId="45FF7AFF" w14:textId="77777777" w:rsidR="00E33F66" w:rsidRDefault="00000000">
      <w:pPr>
        <w:tabs>
          <w:tab w:val="center" w:pos="4536"/>
          <w:tab w:val="right" w:pos="9072"/>
        </w:tabs>
        <w:spacing w:after="0"/>
        <w:jc w:val="left"/>
        <w:rPr>
          <w:b/>
          <w:bCs/>
          <w:kern w:val="2"/>
        </w:rPr>
      </w:pPr>
      <w:r>
        <w:rPr>
          <w:b/>
          <w:bCs/>
          <w:kern w:val="2"/>
        </w:rPr>
        <w:t xml:space="preserve"> Toulouse, France, 21</w:t>
      </w:r>
      <w:r>
        <w:rPr>
          <w:b/>
          <w:bCs/>
          <w:kern w:val="2"/>
          <w:vertAlign w:val="superscript"/>
        </w:rPr>
        <w:t>st</w:t>
      </w:r>
      <w:r>
        <w:rPr>
          <w:b/>
          <w:bCs/>
          <w:kern w:val="2"/>
        </w:rPr>
        <w:t xml:space="preserve"> -25</w:t>
      </w:r>
      <w:r>
        <w:rPr>
          <w:b/>
          <w:bCs/>
          <w:kern w:val="2"/>
          <w:vertAlign w:val="superscript"/>
        </w:rPr>
        <w:t>th</w:t>
      </w:r>
      <w:r>
        <w:rPr>
          <w:b/>
          <w:bCs/>
          <w:kern w:val="2"/>
        </w:rPr>
        <w:t xml:space="preserve"> Aug. 2023</w:t>
      </w:r>
    </w:p>
    <w:p w14:paraId="751E5F07" w14:textId="77777777" w:rsidR="00E33F66" w:rsidRDefault="00E33F66">
      <w:pPr>
        <w:pBdr>
          <w:top w:val="single" w:sz="4" w:space="1" w:color="000000"/>
        </w:pBdr>
        <w:spacing w:after="0"/>
        <w:jc w:val="left"/>
        <w:rPr>
          <w:b/>
          <w:kern w:val="2"/>
          <w:sz w:val="16"/>
          <w:szCs w:val="16"/>
        </w:rPr>
      </w:pPr>
    </w:p>
    <w:p w14:paraId="293079F1" w14:textId="77777777" w:rsidR="00E33F66" w:rsidRDefault="00000000">
      <w:pPr>
        <w:spacing w:after="60"/>
        <w:ind w:left="1555" w:hanging="1555"/>
        <w:jc w:val="left"/>
      </w:pPr>
      <w:r>
        <w:rPr>
          <w:b/>
          <w:kern w:val="2"/>
        </w:rPr>
        <w:t>Agenda Item:</w:t>
      </w:r>
      <w:r>
        <w:rPr>
          <w:b/>
          <w:kern w:val="2"/>
        </w:rPr>
        <w:tab/>
        <w:t>9.3.1</w:t>
      </w:r>
    </w:p>
    <w:p w14:paraId="43C2E9B1" w14:textId="77777777" w:rsidR="00E33F66" w:rsidRDefault="00000000">
      <w:pPr>
        <w:spacing w:after="60"/>
        <w:ind w:left="1555" w:hanging="1555"/>
        <w:jc w:val="left"/>
        <w:rPr>
          <w:b/>
          <w:bCs/>
          <w:kern w:val="2"/>
        </w:rPr>
      </w:pPr>
      <w:r>
        <w:rPr>
          <w:b/>
          <w:bCs/>
          <w:kern w:val="2"/>
        </w:rPr>
        <w:t>Source:</w:t>
      </w:r>
      <w:r>
        <w:rPr>
          <w:b/>
          <w:kern w:val="2"/>
        </w:rPr>
        <w:tab/>
      </w:r>
      <w:r>
        <w:rPr>
          <w:b/>
          <w:bCs/>
          <w:kern w:val="2"/>
        </w:rPr>
        <w:t>CEWiT</w:t>
      </w:r>
    </w:p>
    <w:p w14:paraId="278C0EA8" w14:textId="77777777" w:rsidR="00E33F66" w:rsidRDefault="00000000">
      <w:pPr>
        <w:spacing w:after="60"/>
        <w:ind w:left="1555" w:hanging="1555"/>
        <w:jc w:val="left"/>
      </w:pPr>
      <w:r>
        <w:rPr>
          <w:b/>
          <w:bCs/>
          <w:kern w:val="2"/>
        </w:rPr>
        <w:t>Title:</w:t>
      </w:r>
      <w:r>
        <w:rPr>
          <w:b/>
          <w:kern w:val="2"/>
        </w:rPr>
        <w:tab/>
      </w:r>
      <w:r>
        <w:rPr>
          <w:b/>
          <w:bCs/>
          <w:kern w:val="2"/>
        </w:rPr>
        <w:t xml:space="preserve">LLS for evaluation of </w:t>
      </w:r>
      <w:r>
        <w:rPr>
          <w:rFonts w:eastAsia="Malgun Gothic"/>
          <w:b/>
          <w:bCs/>
          <w:kern w:val="2"/>
          <w:lang w:eastAsia="ko-KR"/>
        </w:rPr>
        <w:t>coverage performance in TDD and SBFD systems</w:t>
      </w:r>
    </w:p>
    <w:p w14:paraId="431B1753" w14:textId="77777777" w:rsidR="00E33F66" w:rsidRDefault="00000000">
      <w:pPr>
        <w:spacing w:after="60"/>
        <w:ind w:left="1555" w:hanging="1555"/>
        <w:jc w:val="left"/>
      </w:pPr>
      <w:r>
        <w:rPr>
          <w:b/>
          <w:kern w:val="2"/>
        </w:rPr>
        <w:t>Document for:</w:t>
      </w:r>
      <w:r>
        <w:rPr>
          <w:b/>
          <w:kern w:val="2"/>
        </w:rPr>
        <w:tab/>
        <w:t xml:space="preserve">Discussion </w:t>
      </w:r>
    </w:p>
    <w:p w14:paraId="015AB242" w14:textId="77777777" w:rsidR="00E33F66" w:rsidRDefault="00E33F66">
      <w:pPr>
        <w:pBdr>
          <w:bottom w:val="single" w:sz="4" w:space="1" w:color="000000"/>
        </w:pBdr>
        <w:spacing w:after="0"/>
        <w:jc w:val="left"/>
        <w:rPr>
          <w:b/>
          <w:kern w:val="2"/>
          <w:sz w:val="16"/>
          <w:szCs w:val="16"/>
        </w:rPr>
      </w:pPr>
    </w:p>
    <w:p w14:paraId="0F753F0F" w14:textId="77777777" w:rsidR="00E33F66" w:rsidRDefault="00000000">
      <w:pPr>
        <w:pStyle w:val="Heading1"/>
        <w:numPr>
          <w:ilvl w:val="0"/>
          <w:numId w:val="3"/>
        </w:numPr>
      </w:pPr>
      <w:bookmarkStart w:id="0" w:name="_Ref124589705"/>
      <w:bookmarkStart w:id="1" w:name="_Ref129681862"/>
      <w:r>
        <w:t>Introduction</w:t>
      </w:r>
      <w:bookmarkEnd w:id="0"/>
      <w:bookmarkEnd w:id="1"/>
    </w:p>
    <w:p w14:paraId="2000D4F4" w14:textId="77777777" w:rsidR="00E33F66" w:rsidRDefault="00000000">
      <w:r>
        <w:t xml:space="preserve">A new study item (SI) on “Study on evolution of NR duplex operation” was approved in RAN#94-e [1]. According to the objectives of this SI, </w:t>
      </w:r>
      <w:proofErr w:type="gramStart"/>
      <w:r>
        <w:t>simulation based</w:t>
      </w:r>
      <w:proofErr w:type="gramEnd"/>
      <w:r>
        <w:t xml:space="preserve"> evaluation for SBFD (LLS and SLS)</w:t>
      </w:r>
      <w:r>
        <w:rPr>
          <w:rFonts w:eastAsia="Malgun Gothic"/>
          <w:kern w:val="2"/>
          <w:lang w:eastAsia="ko-KR"/>
        </w:rPr>
        <w:t xml:space="preserve"> is to be performed. This contribution provides the </w:t>
      </w:r>
      <w:proofErr w:type="gramStart"/>
      <w:r>
        <w:rPr>
          <w:rFonts w:eastAsia="Malgun Gothic"/>
          <w:kern w:val="2"/>
          <w:lang w:eastAsia="ko-KR"/>
        </w:rPr>
        <w:t>simulation based</w:t>
      </w:r>
      <w:proofErr w:type="gramEnd"/>
      <w:r>
        <w:rPr>
          <w:rFonts w:eastAsia="Malgun Gothic"/>
          <w:kern w:val="2"/>
          <w:lang w:eastAsia="ko-KR"/>
        </w:rPr>
        <w:t xml:space="preserve"> analysis for coverage performance using TDD and SBFD.</w:t>
      </w:r>
    </w:p>
    <w:p w14:paraId="5AF663F3" w14:textId="77777777" w:rsidR="00E33F66" w:rsidRDefault="00000000">
      <w:pPr>
        <w:pStyle w:val="Heading1"/>
        <w:numPr>
          <w:ilvl w:val="0"/>
          <w:numId w:val="3"/>
        </w:numPr>
      </w:pPr>
      <w:r>
        <w:t>LLS for evaluation of coverage performance</w:t>
      </w:r>
    </w:p>
    <w:p w14:paraId="39655887" w14:textId="77777777" w:rsidR="00E33F66" w:rsidRDefault="00000000">
      <w:pPr>
        <w:pStyle w:val="Heading1"/>
        <w:rPr>
          <w:b w:val="0"/>
          <w:bCs w:val="0"/>
        </w:rPr>
      </w:pPr>
      <w:r>
        <w:rPr>
          <w:b w:val="0"/>
          <w:bCs w:val="0"/>
          <w:sz w:val="22"/>
          <w:szCs w:val="22"/>
        </w:rPr>
        <w:t xml:space="preserve">In RAN1 #112bis-e meeting [2], the following agreement was made on </w:t>
      </w:r>
      <w:r>
        <w:rPr>
          <w:rFonts w:cs="Times"/>
          <w:b w:val="0"/>
          <w:bCs w:val="0"/>
          <w:sz w:val="22"/>
          <w:szCs w:val="22"/>
        </w:rPr>
        <w:t>link level evaluation of coverage performance,</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E33F66" w14:paraId="446E95D4" w14:textId="77777777">
        <w:tc>
          <w:tcPr>
            <w:tcW w:w="9314" w:type="dxa"/>
            <w:tcBorders>
              <w:top w:val="single" w:sz="2" w:space="0" w:color="000000"/>
              <w:left w:val="single" w:sz="2" w:space="0" w:color="000000"/>
              <w:bottom w:val="single" w:sz="2" w:space="0" w:color="000000"/>
              <w:right w:val="single" w:sz="2" w:space="0" w:color="000000"/>
            </w:tcBorders>
          </w:tcPr>
          <w:p w14:paraId="0001FCC7" w14:textId="77777777" w:rsidR="00E33F66" w:rsidRDefault="00000000">
            <w:r>
              <w:rPr>
                <w:highlight w:val="green"/>
              </w:rPr>
              <w:t>Agreement</w:t>
            </w:r>
          </w:p>
          <w:p w14:paraId="674B0794" w14:textId="77777777" w:rsidR="00E33F66" w:rsidRDefault="00000000">
            <w:pPr>
              <w:pStyle w:val="Heading1"/>
              <w:rPr>
                <w:b w:val="0"/>
                <w:bCs w:val="0"/>
                <w:sz w:val="22"/>
                <w:szCs w:val="22"/>
              </w:rPr>
            </w:pPr>
            <w:r>
              <w:rPr>
                <w:b w:val="0"/>
                <w:bCs w:val="0"/>
                <w:sz w:val="22"/>
                <w:szCs w:val="22"/>
              </w:rPr>
              <w:t xml:space="preserve">For link level evaluation of coverage performance, MPL, MCL and MIL as defined in TR38.830 are used as the performance metrics. </w:t>
            </w:r>
          </w:p>
        </w:tc>
      </w:tr>
    </w:tbl>
    <w:p w14:paraId="6176BE48" w14:textId="77777777" w:rsidR="00E33F66" w:rsidRDefault="00E33F66">
      <w:pPr>
        <w:rPr>
          <w:i/>
          <w:iCs/>
          <w:sz w:val="20"/>
          <w:szCs w:val="20"/>
          <w:highlight w:val="green"/>
          <w:lang w:eastAsia="ko-KR"/>
        </w:rPr>
      </w:pPr>
    </w:p>
    <w:p w14:paraId="236EA8F3" w14:textId="77777777" w:rsidR="00E33F66" w:rsidRDefault="00000000">
      <w:r>
        <w:t>This section provides the LLS results for PUSCH coverage performance (</w:t>
      </w:r>
      <w:r>
        <w:rPr>
          <w:rFonts w:cs="Times"/>
          <w:szCs w:val="20"/>
        </w:rPr>
        <w:t>FR1-Urban Macro</w:t>
      </w:r>
      <w:r>
        <w:t xml:space="preserve">) in TDD and SBFD scenarios and the corresponding values of MPL, MCL and MIL. In </w:t>
      </w:r>
      <w:proofErr w:type="gramStart"/>
      <w:r>
        <w:t>case</w:t>
      </w:r>
      <w:proofErr w:type="gramEnd"/>
      <w:r>
        <w:t xml:space="preserve"> of TDD, the PUSCH TB is transmitted in the last UL slot of the DDDSU format for a target data rate of 1Mbps. In case of SBFD, the PUSCH TB is repeated over 5 slots (PUSCH repetition type A) of the XXXXU format occupying 30PRBs in each slot and for a target data rate of 1Mbps. No HARQ is considered. Further, the interference values for the TDD UL slots and SBFD slots are calculated which are used in the LLS. The BLER vs SNR is plotted for both the cases to find out the required SNR for a target BLER of 10%. Finally, the values of MPL, MCL and MIL are calculated using the required SNR value and link budget template </w:t>
      </w:r>
      <w:proofErr w:type="gramStart"/>
      <w:r>
        <w:t xml:space="preserve">from  </w:t>
      </w:r>
      <w:r>
        <w:rPr>
          <w:rFonts w:cs="Times"/>
          <w:bCs/>
          <w:iCs/>
          <w:szCs w:val="20"/>
        </w:rPr>
        <w:t>Table</w:t>
      </w:r>
      <w:proofErr w:type="gramEnd"/>
      <w:r>
        <w:rPr>
          <w:rFonts w:cs="Times"/>
          <w:bCs/>
          <w:iCs/>
          <w:szCs w:val="20"/>
        </w:rPr>
        <w:t xml:space="preserve"> A.3 in TR 38.830.</w:t>
      </w:r>
    </w:p>
    <w:p w14:paraId="67542F1E" w14:textId="77777777" w:rsidR="00E33F66" w:rsidRDefault="00000000">
      <w:r>
        <w:t xml:space="preserve"> The detailed procedure for the LLS is described below. </w:t>
      </w:r>
    </w:p>
    <w:p w14:paraId="23A07E9F" w14:textId="1BD8F285" w:rsidR="00E33F66" w:rsidRDefault="00000000">
      <w:r>
        <w:t xml:space="preserve">1. Basic simulation assumptions for the LLS are provided in the </w:t>
      </w:r>
      <w:r w:rsidR="00591E5F">
        <w:t>Appendix</w:t>
      </w:r>
      <w:r>
        <w:t xml:space="preserve"> at the end of this contribution.</w:t>
      </w:r>
    </w:p>
    <w:p w14:paraId="5F2662BE" w14:textId="77777777" w:rsidR="00E33F66" w:rsidRDefault="00000000">
      <w:r>
        <w:t xml:space="preserve">2. </w:t>
      </w:r>
      <w:r>
        <w:rPr>
          <w:rFonts w:cs="Calibri"/>
          <w:iCs/>
        </w:rPr>
        <w:t xml:space="preserve">Option-1 from the following agreement is followed for the LLS coverage evaluation. Option-1 in the </w:t>
      </w:r>
      <w:r>
        <w:t>agreement made in RAN1 #112bis-e meeting [2] is given below.</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E33F66" w14:paraId="7250B70C" w14:textId="77777777">
        <w:tc>
          <w:tcPr>
            <w:tcW w:w="9314" w:type="dxa"/>
            <w:tcBorders>
              <w:top w:val="single" w:sz="2" w:space="0" w:color="000000"/>
              <w:left w:val="single" w:sz="2" w:space="0" w:color="000000"/>
              <w:bottom w:val="single" w:sz="2" w:space="0" w:color="000000"/>
              <w:right w:val="single" w:sz="2" w:space="0" w:color="000000"/>
            </w:tcBorders>
          </w:tcPr>
          <w:p w14:paraId="5EA6E9B7" w14:textId="77777777" w:rsidR="00E33F66" w:rsidRDefault="00000000">
            <w:r>
              <w:rPr>
                <w:b/>
                <w:color w:val="000000"/>
                <w:highlight w:val="green"/>
              </w:rPr>
              <w:t>Agreement</w:t>
            </w:r>
          </w:p>
          <w:p w14:paraId="4460F164" w14:textId="77777777" w:rsidR="00E33F66" w:rsidRDefault="00000000">
            <w:r>
              <w:t xml:space="preserve">LLS for other </w:t>
            </w:r>
            <w:proofErr w:type="gramStart"/>
            <w:r>
              <w:t>purpose</w:t>
            </w:r>
            <w:proofErr w:type="gramEnd"/>
            <w:r>
              <w:t xml:space="preserve"> besides coverage performance evaluation is left up to companies’ interests.</w:t>
            </w:r>
          </w:p>
          <w:p w14:paraId="56194FFC" w14:textId="77777777" w:rsidR="00E33F66" w:rsidRDefault="00000000">
            <w:r>
              <w:t xml:space="preserve">For LLS coverage evaluation, RAN1 should consider self-interference, co-site inter-sector interference, inter-site </w:t>
            </w:r>
            <w:proofErr w:type="spellStart"/>
            <w:r>
              <w:t>gNB-gNB</w:t>
            </w:r>
            <w:proofErr w:type="spellEnd"/>
            <w:r>
              <w:t xml:space="preserve"> co-channel inter-</w:t>
            </w:r>
            <w:proofErr w:type="spellStart"/>
            <w:r>
              <w:t>subband</w:t>
            </w:r>
            <w:proofErr w:type="spellEnd"/>
            <w:r>
              <w:t xml:space="preserve"> CLI and UE-</w:t>
            </w:r>
            <w:proofErr w:type="spellStart"/>
            <w:r>
              <w:t>gNB</w:t>
            </w:r>
            <w:proofErr w:type="spellEnd"/>
            <w:r>
              <w:t xml:space="preserve"> interference in TDD system and SBFD system. </w:t>
            </w:r>
          </w:p>
          <w:p w14:paraId="241E5B67" w14:textId="77777777" w:rsidR="00E33F66" w:rsidRDefault="00000000">
            <w:pPr>
              <w:pStyle w:val="a8"/>
              <w:tabs>
                <w:tab w:val="left" w:pos="450"/>
              </w:tabs>
              <w:ind w:left="0"/>
            </w:pPr>
            <w:r>
              <w:rPr>
                <w:b/>
                <w:bCs/>
              </w:rPr>
              <w:t>Option-1</w:t>
            </w:r>
          </w:p>
          <w:p w14:paraId="3BA544A0" w14:textId="77777777" w:rsidR="00E33F66" w:rsidRDefault="00000000">
            <w:pPr>
              <w:numPr>
                <w:ilvl w:val="0"/>
                <w:numId w:val="6"/>
              </w:numPr>
              <w:tabs>
                <w:tab w:val="left" w:pos="709"/>
              </w:tabs>
              <w:ind w:left="709" w:hanging="283"/>
            </w:pPr>
            <w:r>
              <w:t>The modelling method is as below</w:t>
            </w:r>
            <w:r>
              <w:rPr>
                <w:b/>
                <w:bCs/>
              </w:rPr>
              <w:t>:</w:t>
            </w:r>
          </w:p>
          <w:p w14:paraId="4E468F88" w14:textId="77777777" w:rsidR="00E33F66" w:rsidRDefault="00000000">
            <w:pPr>
              <w:numPr>
                <w:ilvl w:val="1"/>
                <w:numId w:val="6"/>
              </w:numPr>
              <w:tabs>
                <w:tab w:val="left" w:pos="1134"/>
              </w:tabs>
              <w:ind w:left="1134" w:hanging="283"/>
            </w:pPr>
            <w:r>
              <w:t xml:space="preserve">For TDD UL slot, additive white Gaussian noise with variance of </w:t>
            </w:r>
            <w:r>
              <w:fldChar w:fldCharType="begin"/>
            </w:r>
            <w:r>
              <w:instrText>QUOTE</w:instrText>
            </w:r>
            <w:r>
              <w:fldChar w:fldCharType="separate"/>
            </w:r>
            <w:r>
              <w:rPr>
                <w:noProof/>
              </w:rPr>
              <w:drawing>
                <wp:inline distT="0" distB="0" distL="0" distR="0" wp14:anchorId="17E71033" wp14:editId="16653E56">
                  <wp:extent cx="274320" cy="167640"/>
                  <wp:effectExtent l="0" t="0" r="0" b="0"/>
                  <wp:docPr id="1" name="Image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03"/>
                          <pic:cNvPicPr>
                            <a:picLocks noChangeAspect="1" noChangeArrowheads="1"/>
                          </pic:cNvPicPr>
                        </pic:nvPicPr>
                        <pic:blipFill>
                          <a:blip r:embed="rId5"/>
                          <a:srcRect l="-262" t="-430" r="-262" b="-430"/>
                          <a:stretch>
                            <a:fillRect/>
                          </a:stretch>
                        </pic:blipFill>
                        <pic:spPr bwMode="auto">
                          <a:xfrm>
                            <a:off x="0" y="0"/>
                            <a:ext cx="274320" cy="167640"/>
                          </a:xfrm>
                          <a:prstGeom prst="rect">
                            <a:avLst/>
                          </a:prstGeom>
                        </pic:spPr>
                      </pic:pic>
                    </a:graphicData>
                  </a:graphic>
                </wp:inline>
              </w:drawing>
            </w:r>
            <w:r>
              <w:fldChar w:fldCharType="end"/>
            </w:r>
            <w:r>
              <w:t xml:space="preserve"> is generated, where </w:t>
            </w:r>
            <w:r>
              <w:fldChar w:fldCharType="begin"/>
            </w:r>
            <w:r>
              <w:instrText>QUOTE</w:instrText>
            </w:r>
            <w:r>
              <w:fldChar w:fldCharType="separate"/>
            </w:r>
            <w:r>
              <w:rPr>
                <w:noProof/>
              </w:rPr>
              <w:drawing>
                <wp:inline distT="0" distB="0" distL="0" distR="0" wp14:anchorId="4515197F" wp14:editId="557FF613">
                  <wp:extent cx="1188720" cy="182880"/>
                  <wp:effectExtent l="0" t="0" r="0" b="0"/>
                  <wp:docPr id="2" name="Image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04"/>
                          <pic:cNvPicPr>
                            <a:picLocks noChangeAspect="1" noChangeArrowheads="1"/>
                          </pic:cNvPicPr>
                        </pic:nvPicPr>
                        <pic:blipFill>
                          <a:blip r:embed="rId6"/>
                          <a:srcRect l="-61" t="-394" r="-61" b="-394"/>
                          <a:stretch>
                            <a:fillRect/>
                          </a:stretch>
                        </pic:blipFill>
                        <pic:spPr bwMode="auto">
                          <a:xfrm>
                            <a:off x="0" y="0"/>
                            <a:ext cx="1188720" cy="182880"/>
                          </a:xfrm>
                          <a:prstGeom prst="rect">
                            <a:avLst/>
                          </a:prstGeom>
                        </pic:spPr>
                      </pic:pic>
                    </a:graphicData>
                  </a:graphic>
                </wp:inline>
              </w:drawing>
            </w:r>
            <w:r>
              <w:fldChar w:fldCharType="end"/>
            </w:r>
          </w:p>
          <w:p w14:paraId="03FD3358" w14:textId="77777777" w:rsidR="00E33F66" w:rsidRDefault="00000000">
            <w:pPr>
              <w:numPr>
                <w:ilvl w:val="2"/>
                <w:numId w:val="6"/>
              </w:numPr>
            </w:pPr>
            <w:r>
              <w:fldChar w:fldCharType="begin"/>
            </w:r>
            <w:r>
              <w:instrText>QUOTE</w:instrText>
            </w:r>
            <w:r>
              <w:fldChar w:fldCharType="separate"/>
            </w:r>
            <w:r>
              <w:rPr>
                <w:noProof/>
              </w:rPr>
              <w:drawing>
                <wp:inline distT="0" distB="0" distL="0" distR="0" wp14:anchorId="2910280C" wp14:editId="6BDD1279">
                  <wp:extent cx="411480" cy="167640"/>
                  <wp:effectExtent l="0" t="0" r="0" b="0"/>
                  <wp:docPr id="3" name="Image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05"/>
                          <pic:cNvPicPr>
                            <a:picLocks noChangeAspect="1" noChangeArrowheads="1"/>
                          </pic:cNvPicPr>
                        </pic:nvPicPr>
                        <pic:blipFill>
                          <a:blip r:embed="rId7"/>
                          <a:srcRect l="-175" t="-430" r="-175" b="-430"/>
                          <a:stretch>
                            <a:fillRect/>
                          </a:stretch>
                        </pic:blipFill>
                        <pic:spPr bwMode="auto">
                          <a:xfrm>
                            <a:off x="0" y="0"/>
                            <a:ext cx="411480" cy="167640"/>
                          </a:xfrm>
                          <a:prstGeom prst="rect">
                            <a:avLst/>
                          </a:prstGeom>
                        </pic:spPr>
                      </pic:pic>
                    </a:graphicData>
                  </a:graphic>
                </wp:inline>
              </w:drawing>
            </w:r>
            <w:r>
              <w:fldChar w:fldCharType="end"/>
            </w:r>
            <w:r>
              <w:t xml:space="preserve"> is UE-</w:t>
            </w:r>
            <w:proofErr w:type="spellStart"/>
            <w:r>
              <w:t>gNB</w:t>
            </w:r>
            <w:proofErr w:type="spellEnd"/>
            <w:r>
              <w:t xml:space="preserve"> interference and </w:t>
            </w:r>
            <w:r>
              <w:fldChar w:fldCharType="begin"/>
            </w:r>
            <w:r>
              <w:instrText>QUOTE</w:instrText>
            </w:r>
            <w:r>
              <w:fldChar w:fldCharType="separate"/>
            </w:r>
            <w:r>
              <w:rPr>
                <w:noProof/>
              </w:rPr>
              <w:drawing>
                <wp:inline distT="0" distB="0" distL="0" distR="0" wp14:anchorId="1B1A9C0D" wp14:editId="66E16E5F">
                  <wp:extent cx="190500" cy="160020"/>
                  <wp:effectExtent l="0" t="0" r="0" b="0"/>
                  <wp:docPr id="4" name="Image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06"/>
                          <pic:cNvPicPr>
                            <a:picLocks noChangeAspect="1" noChangeArrowheads="1"/>
                          </pic:cNvPicPr>
                        </pic:nvPicPr>
                        <pic:blipFill>
                          <a:blip r:embed="rId8"/>
                          <a:srcRect l="-379" t="-451" r="-379" b="-451"/>
                          <a:stretch>
                            <a:fillRect/>
                          </a:stretch>
                        </pic:blipFill>
                        <pic:spPr bwMode="auto">
                          <a:xfrm>
                            <a:off x="0" y="0"/>
                            <a:ext cx="190500" cy="160020"/>
                          </a:xfrm>
                          <a:prstGeom prst="rect">
                            <a:avLst/>
                          </a:prstGeom>
                        </pic:spPr>
                      </pic:pic>
                    </a:graphicData>
                  </a:graphic>
                </wp:inline>
              </w:drawing>
            </w:r>
            <w:r>
              <w:fldChar w:fldCharType="end"/>
            </w:r>
            <w:r>
              <w:t xml:space="preserve"> is noise (in linear scale).</w:t>
            </w:r>
          </w:p>
          <w:p w14:paraId="23A76FC4" w14:textId="77777777" w:rsidR="00E33F66" w:rsidRDefault="00000000">
            <w:pPr>
              <w:numPr>
                <w:ilvl w:val="1"/>
                <w:numId w:val="6"/>
              </w:numPr>
              <w:tabs>
                <w:tab w:val="left" w:pos="1134"/>
              </w:tabs>
              <w:ind w:left="1134" w:hanging="283"/>
            </w:pPr>
            <w:r>
              <w:lastRenderedPageBreak/>
              <w:t xml:space="preserve">For SBFD slot, additive white Gaussian noise with variance of </w:t>
            </w:r>
            <w:r>
              <w:fldChar w:fldCharType="begin"/>
            </w:r>
            <w:r>
              <w:instrText>QUOTE</w:instrText>
            </w:r>
            <w:r>
              <w:fldChar w:fldCharType="separate"/>
            </w:r>
            <w:r>
              <w:rPr>
                <w:noProof/>
              </w:rPr>
              <w:drawing>
                <wp:inline distT="0" distB="0" distL="0" distR="0" wp14:anchorId="71540F92" wp14:editId="40E644CE">
                  <wp:extent cx="312420" cy="167640"/>
                  <wp:effectExtent l="0" t="0" r="0" b="0"/>
                  <wp:docPr id="5" name="Image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07"/>
                          <pic:cNvPicPr>
                            <a:picLocks noChangeAspect="1" noChangeArrowheads="1"/>
                          </pic:cNvPicPr>
                        </pic:nvPicPr>
                        <pic:blipFill>
                          <a:blip r:embed="rId9"/>
                          <a:srcRect l="-231" t="-430" r="-231" b="-430"/>
                          <a:stretch>
                            <a:fillRect/>
                          </a:stretch>
                        </pic:blipFill>
                        <pic:spPr bwMode="auto">
                          <a:xfrm>
                            <a:off x="0" y="0"/>
                            <a:ext cx="312420" cy="167640"/>
                          </a:xfrm>
                          <a:prstGeom prst="rect">
                            <a:avLst/>
                          </a:prstGeom>
                        </pic:spPr>
                      </pic:pic>
                    </a:graphicData>
                  </a:graphic>
                </wp:inline>
              </w:drawing>
            </w:r>
            <w:r>
              <w:fldChar w:fldCharType="end"/>
            </w:r>
            <w:r>
              <w:t xml:space="preserve"> is generated, where </w:t>
            </w:r>
            <w:r>
              <w:fldChar w:fldCharType="begin"/>
            </w:r>
            <w:r>
              <w:instrText>QUOTE</w:instrText>
            </w:r>
            <w:r>
              <w:fldChar w:fldCharType="separate"/>
            </w:r>
            <w:r>
              <w:rPr>
                <w:noProof/>
              </w:rPr>
              <w:drawing>
                <wp:inline distT="0" distB="0" distL="0" distR="0" wp14:anchorId="5CEA7AE9" wp14:editId="2A7A21F3">
                  <wp:extent cx="2644140" cy="182880"/>
                  <wp:effectExtent l="0" t="0" r="0" b="0"/>
                  <wp:docPr id="6" name="Image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08"/>
                          <pic:cNvPicPr>
                            <a:picLocks noChangeAspect="1" noChangeArrowheads="1"/>
                          </pic:cNvPicPr>
                        </pic:nvPicPr>
                        <pic:blipFill>
                          <a:blip r:embed="rId10"/>
                          <a:srcRect l="-27" t="-394" r="-27" b="-394"/>
                          <a:stretch>
                            <a:fillRect/>
                          </a:stretch>
                        </pic:blipFill>
                        <pic:spPr bwMode="auto">
                          <a:xfrm>
                            <a:off x="0" y="0"/>
                            <a:ext cx="2644140" cy="182880"/>
                          </a:xfrm>
                          <a:prstGeom prst="rect">
                            <a:avLst/>
                          </a:prstGeom>
                        </pic:spPr>
                      </pic:pic>
                    </a:graphicData>
                  </a:graphic>
                </wp:inline>
              </w:drawing>
            </w:r>
            <w:r>
              <w:fldChar w:fldCharType="end"/>
            </w:r>
          </w:p>
          <w:p w14:paraId="69777FE7" w14:textId="77777777" w:rsidR="00E33F66" w:rsidRDefault="00000000">
            <w:pPr>
              <w:numPr>
                <w:ilvl w:val="2"/>
                <w:numId w:val="6"/>
              </w:numPr>
            </w:pPr>
            <w:r>
              <w:fldChar w:fldCharType="begin"/>
            </w:r>
            <w:r>
              <w:instrText>QUOTE</w:instrText>
            </w:r>
            <w:r>
              <w:fldChar w:fldCharType="separate"/>
            </w:r>
            <w:r>
              <w:rPr>
                <w:noProof/>
              </w:rPr>
              <w:drawing>
                <wp:inline distT="0" distB="0" distL="0" distR="0" wp14:anchorId="2A7530EF" wp14:editId="6CE30981">
                  <wp:extent cx="129540" cy="152400"/>
                  <wp:effectExtent l="0" t="0" r="0" b="0"/>
                  <wp:docPr id="7" name="Image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09"/>
                          <pic:cNvPicPr>
                            <a:picLocks noChangeAspect="1" noChangeArrowheads="1"/>
                          </pic:cNvPicPr>
                        </pic:nvPicPr>
                        <pic:blipFill>
                          <a:blip r:embed="rId11"/>
                          <a:srcRect l="-557" t="-473" r="-557" b="-473"/>
                          <a:stretch>
                            <a:fillRect/>
                          </a:stretch>
                        </pic:blipFill>
                        <pic:spPr bwMode="auto">
                          <a:xfrm>
                            <a:off x="0" y="0"/>
                            <a:ext cx="129540" cy="152400"/>
                          </a:xfrm>
                          <a:prstGeom prst="rect">
                            <a:avLst/>
                          </a:prstGeom>
                        </pic:spPr>
                      </pic:pic>
                    </a:graphicData>
                  </a:graphic>
                </wp:inline>
              </w:drawing>
            </w:r>
            <w:r>
              <w:fldChar w:fldCharType="end"/>
            </w:r>
            <w:r>
              <w:t xml:space="preserve">, </w:t>
            </w:r>
            <w:r>
              <w:fldChar w:fldCharType="begin"/>
            </w:r>
            <w:r>
              <w:instrText>QUOTE</w:instrText>
            </w:r>
            <w:r>
              <w:fldChar w:fldCharType="separate"/>
            </w:r>
            <w:r>
              <w:rPr>
                <w:noProof/>
              </w:rPr>
              <w:drawing>
                <wp:inline distT="0" distB="0" distL="0" distR="0" wp14:anchorId="5CF07B0B" wp14:editId="10AD4577">
                  <wp:extent cx="365760" cy="152400"/>
                  <wp:effectExtent l="0" t="0" r="0" b="0"/>
                  <wp:docPr id="8" name="Image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10"/>
                          <pic:cNvPicPr>
                            <a:picLocks noChangeAspect="1" noChangeArrowheads="1"/>
                          </pic:cNvPicPr>
                        </pic:nvPicPr>
                        <pic:blipFill>
                          <a:blip r:embed="rId12"/>
                          <a:srcRect l="-197" t="-473" r="-197" b="-473"/>
                          <a:stretch>
                            <a:fillRect/>
                          </a:stretch>
                        </pic:blipFill>
                        <pic:spPr bwMode="auto">
                          <a:xfrm>
                            <a:off x="0" y="0"/>
                            <a:ext cx="365760" cy="152400"/>
                          </a:xfrm>
                          <a:prstGeom prst="rect">
                            <a:avLst/>
                          </a:prstGeom>
                        </pic:spPr>
                      </pic:pic>
                    </a:graphicData>
                  </a:graphic>
                </wp:inline>
              </w:drawing>
            </w:r>
            <w:r>
              <w:fldChar w:fldCharType="end"/>
            </w:r>
            <w:r>
              <w:t xml:space="preserve">, </w:t>
            </w:r>
            <w:r>
              <w:fldChar w:fldCharType="begin"/>
            </w:r>
            <w:r>
              <w:instrText>QUOTE</w:instrText>
            </w:r>
            <w:r>
              <w:fldChar w:fldCharType="separate"/>
            </w:r>
            <w:r>
              <w:rPr>
                <w:noProof/>
              </w:rPr>
              <w:drawing>
                <wp:inline distT="0" distB="0" distL="0" distR="0" wp14:anchorId="624EB25B" wp14:editId="001D3BE2">
                  <wp:extent cx="464820" cy="167640"/>
                  <wp:effectExtent l="0" t="0" r="0" b="0"/>
                  <wp:docPr id="9" name="Image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11"/>
                          <pic:cNvPicPr>
                            <a:picLocks noChangeAspect="1" noChangeArrowheads="1"/>
                          </pic:cNvPicPr>
                        </pic:nvPicPr>
                        <pic:blipFill>
                          <a:blip r:embed="rId13"/>
                          <a:srcRect l="-155" t="-430" r="-155" b="-430"/>
                          <a:stretch>
                            <a:fillRect/>
                          </a:stretch>
                        </pic:blipFill>
                        <pic:spPr bwMode="auto">
                          <a:xfrm>
                            <a:off x="0" y="0"/>
                            <a:ext cx="464820" cy="167640"/>
                          </a:xfrm>
                          <a:prstGeom prst="rect">
                            <a:avLst/>
                          </a:prstGeom>
                        </pic:spPr>
                      </pic:pic>
                    </a:graphicData>
                  </a:graphic>
                </wp:inline>
              </w:drawing>
            </w:r>
            <w:r>
              <w:fldChar w:fldCharType="end"/>
            </w:r>
            <w:r>
              <w:t xml:space="preserve">, </w:t>
            </w:r>
            <w:r>
              <w:fldChar w:fldCharType="begin"/>
            </w:r>
            <w:r>
              <w:instrText>QUOTE</w:instrText>
            </w:r>
            <w:r>
              <w:fldChar w:fldCharType="separate"/>
            </w:r>
            <w:r>
              <w:rPr>
                <w:noProof/>
              </w:rPr>
              <w:drawing>
                <wp:inline distT="0" distB="0" distL="0" distR="0" wp14:anchorId="7C8EF303" wp14:editId="130DB6DA">
                  <wp:extent cx="411480" cy="167640"/>
                  <wp:effectExtent l="0" t="0" r="0" b="0"/>
                  <wp:docPr id="10" name="Image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12"/>
                          <pic:cNvPicPr>
                            <a:picLocks noChangeAspect="1" noChangeArrowheads="1"/>
                          </pic:cNvPicPr>
                        </pic:nvPicPr>
                        <pic:blipFill>
                          <a:blip r:embed="rId7"/>
                          <a:srcRect l="-175" t="-430" r="-175" b="-430"/>
                          <a:stretch>
                            <a:fillRect/>
                          </a:stretch>
                        </pic:blipFill>
                        <pic:spPr bwMode="auto">
                          <a:xfrm>
                            <a:off x="0" y="0"/>
                            <a:ext cx="411480" cy="167640"/>
                          </a:xfrm>
                          <a:prstGeom prst="rect">
                            <a:avLst/>
                          </a:prstGeom>
                        </pic:spPr>
                      </pic:pic>
                    </a:graphicData>
                  </a:graphic>
                </wp:inline>
              </w:drawing>
            </w:r>
            <w:r>
              <w:fldChar w:fldCharType="end"/>
            </w:r>
            <w:r>
              <w:t xml:space="preserve"> are self-interference, co-site inter-sector interference, inter-site </w:t>
            </w:r>
            <w:proofErr w:type="spellStart"/>
            <w:r>
              <w:t>gNB-gNB</w:t>
            </w:r>
            <w:proofErr w:type="spellEnd"/>
            <w:r>
              <w:t xml:space="preserve"> co-channel inter-</w:t>
            </w:r>
            <w:proofErr w:type="spellStart"/>
            <w:r>
              <w:t>subband</w:t>
            </w:r>
            <w:proofErr w:type="spellEnd"/>
            <w:r>
              <w:t xml:space="preserve"> CLI and UE-</w:t>
            </w:r>
            <w:proofErr w:type="spellStart"/>
            <w:r>
              <w:t>gNB</w:t>
            </w:r>
            <w:proofErr w:type="spellEnd"/>
            <w:r>
              <w:t xml:space="preserve"> interference (in linear scale), </w:t>
            </w:r>
            <w:proofErr w:type="gramStart"/>
            <w:r>
              <w:t>respectively</w:t>
            </w:r>
            <w:proofErr w:type="gramEnd"/>
          </w:p>
          <w:p w14:paraId="2872A89F" w14:textId="77777777" w:rsidR="00E33F66" w:rsidRDefault="00000000">
            <w:pPr>
              <w:numPr>
                <w:ilvl w:val="1"/>
                <w:numId w:val="6"/>
              </w:numPr>
              <w:tabs>
                <w:tab w:val="left" w:pos="1134"/>
              </w:tabs>
              <w:ind w:left="1134" w:hanging="283"/>
            </w:pPr>
            <w:r>
              <w:t xml:space="preserve">Companies to report the details of deriving </w:t>
            </w:r>
            <w:r>
              <w:fldChar w:fldCharType="begin"/>
            </w:r>
            <w:r>
              <w:instrText>QUOTE</w:instrText>
            </w:r>
            <w:r>
              <w:fldChar w:fldCharType="separate"/>
            </w:r>
            <w:r>
              <w:rPr>
                <w:noProof/>
              </w:rPr>
              <w:drawing>
                <wp:inline distT="0" distB="0" distL="0" distR="0" wp14:anchorId="102C7555" wp14:editId="149DF0D5">
                  <wp:extent cx="274320" cy="167640"/>
                  <wp:effectExtent l="0" t="0" r="0" b="0"/>
                  <wp:docPr id="11" name="Image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13"/>
                          <pic:cNvPicPr>
                            <a:picLocks noChangeAspect="1" noChangeArrowheads="1"/>
                          </pic:cNvPicPr>
                        </pic:nvPicPr>
                        <pic:blipFill>
                          <a:blip r:embed="rId5"/>
                          <a:srcRect l="-262" t="-430" r="-262" b="-430"/>
                          <a:stretch>
                            <a:fillRect/>
                          </a:stretch>
                        </pic:blipFill>
                        <pic:spPr bwMode="auto">
                          <a:xfrm>
                            <a:off x="0" y="0"/>
                            <a:ext cx="274320" cy="167640"/>
                          </a:xfrm>
                          <a:prstGeom prst="rect">
                            <a:avLst/>
                          </a:prstGeom>
                        </pic:spPr>
                      </pic:pic>
                    </a:graphicData>
                  </a:graphic>
                </wp:inline>
              </w:drawing>
            </w:r>
            <w:r>
              <w:fldChar w:fldCharType="end"/>
            </w:r>
            <w:r>
              <w:t xml:space="preserve"> and </w:t>
            </w:r>
            <w:r>
              <w:fldChar w:fldCharType="begin"/>
            </w:r>
            <w:r>
              <w:instrText>QUOTE</w:instrText>
            </w:r>
            <w:r>
              <w:fldChar w:fldCharType="separate"/>
            </w:r>
            <w:r>
              <w:rPr>
                <w:noProof/>
              </w:rPr>
              <w:drawing>
                <wp:inline distT="0" distB="0" distL="0" distR="0" wp14:anchorId="0A2CE2A4" wp14:editId="76FF5716">
                  <wp:extent cx="312420" cy="167640"/>
                  <wp:effectExtent l="0" t="0" r="0" b="0"/>
                  <wp:docPr id="12" name="Image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14"/>
                          <pic:cNvPicPr>
                            <a:picLocks noChangeAspect="1" noChangeArrowheads="1"/>
                          </pic:cNvPicPr>
                        </pic:nvPicPr>
                        <pic:blipFill>
                          <a:blip r:embed="rId9"/>
                          <a:srcRect l="-231" t="-430" r="-231" b="-430"/>
                          <a:stretch>
                            <a:fillRect/>
                          </a:stretch>
                        </pic:blipFill>
                        <pic:spPr bwMode="auto">
                          <a:xfrm>
                            <a:off x="0" y="0"/>
                            <a:ext cx="312420" cy="167640"/>
                          </a:xfrm>
                          <a:prstGeom prst="rect">
                            <a:avLst/>
                          </a:prstGeom>
                        </pic:spPr>
                      </pic:pic>
                    </a:graphicData>
                  </a:graphic>
                </wp:inline>
              </w:drawing>
            </w:r>
            <w:r>
              <w:fldChar w:fldCharType="end"/>
            </w:r>
            <w:r>
              <w:t>. Some examples are as below:</w:t>
            </w:r>
          </w:p>
          <w:p w14:paraId="51BB9E39" w14:textId="77777777" w:rsidR="00E33F66" w:rsidRDefault="00000000">
            <w:pPr>
              <w:numPr>
                <w:ilvl w:val="2"/>
                <w:numId w:val="6"/>
              </w:numPr>
            </w:pPr>
            <w:r>
              <w:t xml:space="preserve">Example-1: </w:t>
            </w:r>
            <w:r>
              <w:fldChar w:fldCharType="begin"/>
            </w:r>
            <w:r>
              <w:instrText>QUOTE</w:instrText>
            </w:r>
            <w:r>
              <w:fldChar w:fldCharType="separate"/>
            </w:r>
            <w:r>
              <w:rPr>
                <w:noProof/>
              </w:rPr>
              <w:drawing>
                <wp:inline distT="0" distB="0" distL="0" distR="0" wp14:anchorId="3CBCD8F5" wp14:editId="33DC137C">
                  <wp:extent cx="411480" cy="167640"/>
                  <wp:effectExtent l="0" t="0" r="0" b="0"/>
                  <wp:docPr id="13" name="Image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15"/>
                          <pic:cNvPicPr>
                            <a:picLocks noChangeAspect="1" noChangeArrowheads="1"/>
                          </pic:cNvPicPr>
                        </pic:nvPicPr>
                        <pic:blipFill>
                          <a:blip r:embed="rId7"/>
                          <a:srcRect l="-175" t="-430" r="-175" b="-430"/>
                          <a:stretch>
                            <a:fillRect/>
                          </a:stretch>
                        </pic:blipFill>
                        <pic:spPr bwMode="auto">
                          <a:xfrm>
                            <a:off x="0" y="0"/>
                            <a:ext cx="411480" cy="167640"/>
                          </a:xfrm>
                          <a:prstGeom prst="rect">
                            <a:avLst/>
                          </a:prstGeom>
                        </pic:spPr>
                      </pic:pic>
                    </a:graphicData>
                  </a:graphic>
                </wp:inline>
              </w:drawing>
            </w:r>
            <w:r>
              <w:fldChar w:fldCharType="end"/>
            </w:r>
            <w:r>
              <w:t xml:space="preserve"> and </w:t>
            </w:r>
            <w:r>
              <w:fldChar w:fldCharType="begin"/>
            </w:r>
            <w:r>
              <w:instrText>QUOTE</w:instrText>
            </w:r>
            <w:r>
              <w:fldChar w:fldCharType="separate"/>
            </w:r>
            <w:r>
              <w:rPr>
                <w:noProof/>
              </w:rPr>
              <w:drawing>
                <wp:inline distT="0" distB="0" distL="0" distR="0" wp14:anchorId="1CE445C7" wp14:editId="7C55B2F0">
                  <wp:extent cx="464820" cy="167640"/>
                  <wp:effectExtent l="0" t="0" r="0" b="0"/>
                  <wp:docPr id="14" name="Image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16"/>
                          <pic:cNvPicPr>
                            <a:picLocks noChangeAspect="1" noChangeArrowheads="1"/>
                          </pic:cNvPicPr>
                        </pic:nvPicPr>
                        <pic:blipFill>
                          <a:blip r:embed="rId13"/>
                          <a:srcRect l="-155" t="-430" r="-155" b="-430"/>
                          <a:stretch>
                            <a:fillRect/>
                          </a:stretch>
                        </pic:blipFill>
                        <pic:spPr bwMode="auto">
                          <a:xfrm>
                            <a:off x="0" y="0"/>
                            <a:ext cx="464820" cy="167640"/>
                          </a:xfrm>
                          <a:prstGeom prst="rect">
                            <a:avLst/>
                          </a:prstGeom>
                        </pic:spPr>
                      </pic:pic>
                    </a:graphicData>
                  </a:graphic>
                </wp:inline>
              </w:drawing>
            </w:r>
            <w:r>
              <w:fldChar w:fldCharType="end"/>
            </w:r>
            <w:r>
              <w:t xml:space="preserve"> are derived based on a certain assumption of the topology of </w:t>
            </w:r>
            <w:proofErr w:type="spellStart"/>
            <w:r>
              <w:t>gNBs</w:t>
            </w:r>
            <w:proofErr w:type="spellEnd"/>
            <w:r>
              <w:t xml:space="preserve"> and UEs (</w:t>
            </w:r>
            <w:r>
              <w:fldChar w:fldCharType="begin"/>
            </w:r>
            <w:r>
              <w:instrText>QUOTE</w:instrText>
            </w:r>
            <w:r>
              <w:fldChar w:fldCharType="separate"/>
            </w:r>
            <w:r>
              <w:rPr>
                <w:noProof/>
              </w:rPr>
              <w:drawing>
                <wp:inline distT="0" distB="0" distL="0" distR="0" wp14:anchorId="7EBEA49C" wp14:editId="72BDE596">
                  <wp:extent cx="129540" cy="152400"/>
                  <wp:effectExtent l="0" t="0" r="0" b="0"/>
                  <wp:docPr id="15" name="Image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17"/>
                          <pic:cNvPicPr>
                            <a:picLocks noChangeAspect="1" noChangeArrowheads="1"/>
                          </pic:cNvPicPr>
                        </pic:nvPicPr>
                        <pic:blipFill>
                          <a:blip r:embed="rId11"/>
                          <a:srcRect l="-557" t="-473" r="-557" b="-473"/>
                          <a:stretch>
                            <a:fillRect/>
                          </a:stretch>
                        </pic:blipFill>
                        <pic:spPr bwMode="auto">
                          <a:xfrm>
                            <a:off x="0" y="0"/>
                            <a:ext cx="129540" cy="152400"/>
                          </a:xfrm>
                          <a:prstGeom prst="rect">
                            <a:avLst/>
                          </a:prstGeom>
                        </pic:spPr>
                      </pic:pic>
                    </a:graphicData>
                  </a:graphic>
                </wp:inline>
              </w:drawing>
            </w:r>
            <w:r>
              <w:fldChar w:fldCharType="end"/>
            </w:r>
            <w:r>
              <w:t xml:space="preserve"> is derived based on 1dB </w:t>
            </w:r>
            <w:proofErr w:type="spellStart"/>
            <w:r>
              <w:t>desense</w:t>
            </w:r>
            <w:proofErr w:type="spellEnd"/>
            <w:r>
              <w:t xml:space="preserve"> and </w:t>
            </w:r>
            <w:r>
              <w:fldChar w:fldCharType="begin"/>
            </w:r>
            <w:r>
              <w:instrText>QUOTE</w:instrText>
            </w:r>
            <w:r>
              <w:fldChar w:fldCharType="separate"/>
            </w:r>
            <w:r>
              <w:rPr>
                <w:noProof/>
              </w:rPr>
              <w:drawing>
                <wp:inline distT="0" distB="0" distL="0" distR="0" wp14:anchorId="7A1DA180" wp14:editId="5DC9AEFF">
                  <wp:extent cx="365760" cy="152400"/>
                  <wp:effectExtent l="0" t="0" r="0" b="0"/>
                  <wp:docPr id="16" name="Image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18"/>
                          <pic:cNvPicPr>
                            <a:picLocks noChangeAspect="1" noChangeArrowheads="1"/>
                          </pic:cNvPicPr>
                        </pic:nvPicPr>
                        <pic:blipFill>
                          <a:blip r:embed="rId12"/>
                          <a:srcRect l="-197" t="-473" r="-197" b="-473"/>
                          <a:stretch>
                            <a:fillRect/>
                          </a:stretch>
                        </pic:blipFill>
                        <pic:spPr bwMode="auto">
                          <a:xfrm>
                            <a:off x="0" y="0"/>
                            <a:ext cx="365760" cy="152400"/>
                          </a:xfrm>
                          <a:prstGeom prst="rect">
                            <a:avLst/>
                          </a:prstGeom>
                        </pic:spPr>
                      </pic:pic>
                    </a:graphicData>
                  </a:graphic>
                </wp:inline>
              </w:drawing>
            </w:r>
            <w:r>
              <w:fldChar w:fldCharType="end"/>
            </w:r>
            <w:r>
              <w:t xml:space="preserve">  is derived based on </w:t>
            </w:r>
            <w:r>
              <w:fldChar w:fldCharType="begin"/>
            </w:r>
            <w:r>
              <w:instrText>QUOTE</w:instrText>
            </w:r>
            <w:r>
              <w:fldChar w:fldCharType="separate"/>
            </w:r>
            <w:r>
              <w:rPr>
                <w:noProof/>
              </w:rPr>
              <w:drawing>
                <wp:inline distT="0" distB="0" distL="0" distR="0" wp14:anchorId="1D4B6473" wp14:editId="70595442">
                  <wp:extent cx="396240" cy="167640"/>
                  <wp:effectExtent l="0" t="0" r="0" b="0"/>
                  <wp:docPr id="17" name="Image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19"/>
                          <pic:cNvPicPr>
                            <a:picLocks noChangeAspect="1" noChangeArrowheads="1"/>
                          </pic:cNvPicPr>
                        </pic:nvPicPr>
                        <pic:blipFill>
                          <a:blip r:embed="rId14"/>
                          <a:srcRect l="-182" t="-430" r="-182" b="-430"/>
                          <a:stretch>
                            <a:fillRect/>
                          </a:stretch>
                        </pic:blipFill>
                        <pic:spPr bwMode="auto">
                          <a:xfrm>
                            <a:off x="0" y="0"/>
                            <a:ext cx="396240" cy="167640"/>
                          </a:xfrm>
                          <a:prstGeom prst="rect">
                            <a:avLst/>
                          </a:prstGeom>
                        </pic:spPr>
                      </pic:pic>
                    </a:graphicData>
                  </a:graphic>
                </wp:inline>
              </w:drawing>
            </w:r>
            <w:r>
              <w:fldChar w:fldCharType="end"/>
            </w:r>
            <w:r>
              <w:t xml:space="preserve"> as agreed in last meeting). In this example, the interference is pre-receiver interference.</w:t>
            </w:r>
          </w:p>
          <w:p w14:paraId="25B1CEF8" w14:textId="77777777" w:rsidR="00E33F66" w:rsidRDefault="00000000">
            <w:pPr>
              <w:numPr>
                <w:ilvl w:val="3"/>
                <w:numId w:val="6"/>
              </w:numPr>
              <w:tabs>
                <w:tab w:val="left" w:pos="2880"/>
              </w:tabs>
            </w:pPr>
            <w:r>
              <w:t>Note: link budget analysis can be applied in this example</w:t>
            </w:r>
          </w:p>
          <w:p w14:paraId="315DC6E7" w14:textId="77777777" w:rsidR="00E33F66" w:rsidRDefault="00000000">
            <w:pPr>
              <w:numPr>
                <w:ilvl w:val="2"/>
                <w:numId w:val="6"/>
              </w:numPr>
            </w:pPr>
            <w:r>
              <w:t xml:space="preserve">Example-2: </w:t>
            </w:r>
            <w:r>
              <w:fldChar w:fldCharType="begin"/>
            </w:r>
            <w:r>
              <w:instrText>QUOTE</w:instrText>
            </w:r>
            <w:r>
              <w:fldChar w:fldCharType="separate"/>
            </w:r>
            <w:r>
              <w:rPr>
                <w:noProof/>
              </w:rPr>
              <w:drawing>
                <wp:inline distT="0" distB="0" distL="0" distR="0" wp14:anchorId="2E0268EE" wp14:editId="2D803D2A">
                  <wp:extent cx="2247900" cy="175260"/>
                  <wp:effectExtent l="0" t="0" r="0" b="0"/>
                  <wp:docPr id="18" name="Image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320"/>
                          <pic:cNvPicPr>
                            <a:picLocks noChangeAspect="1" noChangeArrowheads="1"/>
                          </pic:cNvPicPr>
                        </pic:nvPicPr>
                        <pic:blipFill>
                          <a:blip r:embed="rId15"/>
                          <a:srcRect l="-32" t="-412" r="-32" b="-412"/>
                          <a:stretch>
                            <a:fillRect/>
                          </a:stretch>
                        </pic:blipFill>
                        <pic:spPr bwMode="auto">
                          <a:xfrm>
                            <a:off x="0" y="0"/>
                            <a:ext cx="2247900" cy="175260"/>
                          </a:xfrm>
                          <a:prstGeom prst="rect">
                            <a:avLst/>
                          </a:prstGeom>
                        </pic:spPr>
                      </pic:pic>
                    </a:graphicData>
                  </a:graphic>
                </wp:inline>
              </w:drawing>
            </w:r>
            <w:r>
              <w:fldChar w:fldCharType="end"/>
            </w:r>
            <w:r>
              <w:t xml:space="preserve"> is derived based on statistic in SLS, and then </w:t>
            </w:r>
            <w:r>
              <w:fldChar w:fldCharType="begin"/>
            </w:r>
            <w:r>
              <w:instrText>QUOTE</w:instrText>
            </w:r>
            <w:r>
              <w:fldChar w:fldCharType="separate"/>
            </w:r>
            <w:r>
              <w:rPr>
                <w:noProof/>
              </w:rPr>
              <w:drawing>
                <wp:inline distT="0" distB="0" distL="0" distR="0" wp14:anchorId="2BB751C5" wp14:editId="32C8C06B">
                  <wp:extent cx="76200" cy="152400"/>
                  <wp:effectExtent l="0" t="0" r="0" b="0"/>
                  <wp:docPr id="19" name="Image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321"/>
                          <pic:cNvPicPr>
                            <a:picLocks noChangeAspect="1" noChangeArrowheads="1"/>
                          </pic:cNvPicPr>
                        </pic:nvPicPr>
                        <pic:blipFill>
                          <a:blip r:embed="rId16"/>
                          <a:srcRect l="-948" t="-473" r="-948" b="-473"/>
                          <a:stretch>
                            <a:fillRect/>
                          </a:stretch>
                        </pic:blipFill>
                        <pic:spPr bwMode="auto">
                          <a:xfrm>
                            <a:off x="0" y="0"/>
                            <a:ext cx="76200" cy="152400"/>
                          </a:xfrm>
                          <a:prstGeom prst="rect">
                            <a:avLst/>
                          </a:prstGeom>
                        </pic:spPr>
                      </pic:pic>
                    </a:graphicData>
                  </a:graphic>
                </wp:inline>
              </w:drawing>
            </w:r>
            <w:r>
              <w:fldChar w:fldCharType="end"/>
            </w:r>
            <w:r>
              <w:t xml:space="preserve"> is used in LLS to increase the Gaussian noise power in SBFD symbol compared to TDD UL symbol. In this example, the interference is post-receiver interference.</w:t>
            </w:r>
          </w:p>
          <w:p w14:paraId="75A45858" w14:textId="77777777" w:rsidR="00E33F66" w:rsidRDefault="00000000">
            <w:pPr>
              <w:numPr>
                <w:ilvl w:val="2"/>
                <w:numId w:val="6"/>
              </w:numPr>
            </w:pPr>
            <w:r>
              <w:t xml:space="preserve">Example-3: </w:t>
            </w:r>
            <w:r>
              <w:fldChar w:fldCharType="begin"/>
            </w:r>
            <w:r>
              <w:instrText>QUOTE</w:instrText>
            </w:r>
            <w:r>
              <w:fldChar w:fldCharType="separate"/>
            </w:r>
            <w:r>
              <w:rPr>
                <w:noProof/>
              </w:rPr>
              <w:drawing>
                <wp:inline distT="0" distB="0" distL="0" distR="0" wp14:anchorId="5A8A9825" wp14:editId="11FBA407">
                  <wp:extent cx="274320" cy="167640"/>
                  <wp:effectExtent l="0" t="0" r="0" b="0"/>
                  <wp:docPr id="20" name="Image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22"/>
                          <pic:cNvPicPr>
                            <a:picLocks noChangeAspect="1" noChangeArrowheads="1"/>
                          </pic:cNvPicPr>
                        </pic:nvPicPr>
                        <pic:blipFill>
                          <a:blip r:embed="rId5"/>
                          <a:srcRect l="-262" t="-430" r="-262" b="-430"/>
                          <a:stretch>
                            <a:fillRect/>
                          </a:stretch>
                        </pic:blipFill>
                        <pic:spPr bwMode="auto">
                          <a:xfrm>
                            <a:off x="0" y="0"/>
                            <a:ext cx="274320" cy="167640"/>
                          </a:xfrm>
                          <a:prstGeom prst="rect">
                            <a:avLst/>
                          </a:prstGeom>
                        </pic:spPr>
                      </pic:pic>
                    </a:graphicData>
                  </a:graphic>
                </wp:inline>
              </w:drawing>
            </w:r>
            <w:r>
              <w:fldChar w:fldCharType="end"/>
            </w:r>
            <w:r>
              <w:t xml:space="preserve"> and </w:t>
            </w:r>
            <w:r>
              <w:fldChar w:fldCharType="begin"/>
            </w:r>
            <w:r>
              <w:instrText>QUOTE</w:instrText>
            </w:r>
            <w:r>
              <w:fldChar w:fldCharType="separate"/>
            </w:r>
            <w:r>
              <w:rPr>
                <w:noProof/>
              </w:rPr>
              <w:drawing>
                <wp:inline distT="0" distB="0" distL="0" distR="0" wp14:anchorId="7DD0592F" wp14:editId="3CFA6C91">
                  <wp:extent cx="312420" cy="167640"/>
                  <wp:effectExtent l="0" t="0" r="0" b="0"/>
                  <wp:docPr id="21" name="Image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323"/>
                          <pic:cNvPicPr>
                            <a:picLocks noChangeAspect="1" noChangeArrowheads="1"/>
                          </pic:cNvPicPr>
                        </pic:nvPicPr>
                        <pic:blipFill>
                          <a:blip r:embed="rId9"/>
                          <a:srcRect l="-231" t="-430" r="-231" b="-430"/>
                          <a:stretch>
                            <a:fillRect/>
                          </a:stretch>
                        </pic:blipFill>
                        <pic:spPr bwMode="auto">
                          <a:xfrm>
                            <a:off x="0" y="0"/>
                            <a:ext cx="312420" cy="167640"/>
                          </a:xfrm>
                          <a:prstGeom prst="rect">
                            <a:avLst/>
                          </a:prstGeom>
                        </pic:spPr>
                      </pic:pic>
                    </a:graphicData>
                  </a:graphic>
                </wp:inline>
              </w:drawing>
            </w:r>
            <w:r>
              <w:fldChar w:fldCharType="end"/>
            </w:r>
            <w:r>
              <w:t xml:space="preserve"> can be derived based on statistic in SLS. In this example, the interference is post-receiver interference.</w:t>
            </w:r>
          </w:p>
          <w:p w14:paraId="3CDE0C4C" w14:textId="77777777" w:rsidR="00E33F66" w:rsidRDefault="00000000">
            <w:pPr>
              <w:numPr>
                <w:ilvl w:val="2"/>
                <w:numId w:val="6"/>
              </w:numPr>
            </w:pPr>
            <w:r>
              <w:t>Companies to report the RU assumption for the interference.</w:t>
            </w:r>
          </w:p>
          <w:p w14:paraId="2D8AA1D8" w14:textId="77777777" w:rsidR="00E33F66" w:rsidRDefault="00000000">
            <w:pPr>
              <w:numPr>
                <w:ilvl w:val="1"/>
                <w:numId w:val="6"/>
              </w:numPr>
              <w:tabs>
                <w:tab w:val="left" w:pos="1134"/>
              </w:tabs>
              <w:ind w:left="1134" w:hanging="283"/>
            </w:pPr>
            <w:r>
              <w:t>Note: For simplicity, the interference is independently updated/generated in each slot.</w:t>
            </w:r>
          </w:p>
          <w:p w14:paraId="3A6F93F7" w14:textId="77777777" w:rsidR="00E33F66" w:rsidRDefault="00000000">
            <w:pPr>
              <w:numPr>
                <w:ilvl w:val="1"/>
                <w:numId w:val="6"/>
              </w:numPr>
              <w:tabs>
                <w:tab w:val="left" w:pos="1134"/>
              </w:tabs>
              <w:ind w:left="1134" w:hanging="283"/>
            </w:pPr>
            <w:r>
              <w:t xml:space="preserve">Note: Companies are encouraged to report whether and how channel estimation and interference estimation will be impacted by </w:t>
            </w:r>
            <w:r>
              <w:fldChar w:fldCharType="begin"/>
            </w:r>
            <w:r>
              <w:instrText>QUOTE</w:instrText>
            </w:r>
            <w:r>
              <w:fldChar w:fldCharType="separate"/>
            </w:r>
            <w:r>
              <w:rPr>
                <w:noProof/>
              </w:rPr>
              <w:drawing>
                <wp:inline distT="0" distB="0" distL="0" distR="0" wp14:anchorId="6E23C054" wp14:editId="6C96458F">
                  <wp:extent cx="411480" cy="167640"/>
                  <wp:effectExtent l="0" t="0" r="0" b="0"/>
                  <wp:docPr id="22" name="Image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24"/>
                          <pic:cNvPicPr>
                            <a:picLocks noChangeAspect="1" noChangeArrowheads="1"/>
                          </pic:cNvPicPr>
                        </pic:nvPicPr>
                        <pic:blipFill>
                          <a:blip r:embed="rId17"/>
                          <a:srcRect l="-175" t="-430" r="-175" b="-430"/>
                          <a:stretch>
                            <a:fillRect/>
                          </a:stretch>
                        </pic:blipFill>
                        <pic:spPr bwMode="auto">
                          <a:xfrm>
                            <a:off x="0" y="0"/>
                            <a:ext cx="411480" cy="167640"/>
                          </a:xfrm>
                          <a:prstGeom prst="rect">
                            <a:avLst/>
                          </a:prstGeom>
                        </pic:spPr>
                      </pic:pic>
                    </a:graphicData>
                  </a:graphic>
                </wp:inline>
              </w:drawing>
            </w:r>
            <w:r>
              <w:fldChar w:fldCharType="end"/>
            </w:r>
            <w:r>
              <w:t xml:space="preserve"> </w:t>
            </w:r>
            <w:proofErr w:type="spellStart"/>
            <w:r>
              <w:t>and</w:t>
            </w:r>
            <w:proofErr w:type="spellEnd"/>
            <w:r>
              <w:t xml:space="preserve"> </w:t>
            </w:r>
            <w:r>
              <w:fldChar w:fldCharType="begin"/>
            </w:r>
            <w:r>
              <w:instrText>QUOTE</w:instrText>
            </w:r>
            <w:r>
              <w:fldChar w:fldCharType="separate"/>
            </w:r>
            <w:r>
              <w:rPr>
                <w:noProof/>
              </w:rPr>
              <w:drawing>
                <wp:inline distT="0" distB="0" distL="0" distR="0" wp14:anchorId="5BF76048" wp14:editId="3C358233">
                  <wp:extent cx="464820" cy="167640"/>
                  <wp:effectExtent l="0" t="0" r="0" b="0"/>
                  <wp:docPr id="23" name="Image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325"/>
                          <pic:cNvPicPr>
                            <a:picLocks noChangeAspect="1" noChangeArrowheads="1"/>
                          </pic:cNvPicPr>
                        </pic:nvPicPr>
                        <pic:blipFill>
                          <a:blip r:embed="rId18"/>
                          <a:srcRect l="-155" t="-430" r="-155" b="-430"/>
                          <a:stretch>
                            <a:fillRect/>
                          </a:stretch>
                        </pic:blipFill>
                        <pic:spPr bwMode="auto">
                          <a:xfrm>
                            <a:off x="0" y="0"/>
                            <a:ext cx="464820" cy="167640"/>
                          </a:xfrm>
                          <a:prstGeom prst="rect">
                            <a:avLst/>
                          </a:prstGeom>
                        </pic:spPr>
                      </pic:pic>
                    </a:graphicData>
                  </a:graphic>
                </wp:inline>
              </w:drawing>
            </w:r>
            <w:r>
              <w:fldChar w:fldCharType="end"/>
            </w:r>
            <w:r>
              <w:t>.</w:t>
            </w:r>
          </w:p>
          <w:p w14:paraId="658C42EB" w14:textId="77777777" w:rsidR="00E33F66" w:rsidRDefault="00000000">
            <w:pPr>
              <w:numPr>
                <w:ilvl w:val="0"/>
                <w:numId w:val="6"/>
              </w:numPr>
              <w:tabs>
                <w:tab w:val="left" w:pos="709"/>
              </w:tabs>
              <w:ind w:left="709" w:hanging="283"/>
            </w:pPr>
            <w:r>
              <w:t>Based on the modelling method, the following high-level evaluation method can be used as an example for coverage performance evaluation:</w:t>
            </w:r>
          </w:p>
          <w:p w14:paraId="50F0298E" w14:textId="77777777" w:rsidR="00E33F66" w:rsidRDefault="00000000">
            <w:pPr>
              <w:numPr>
                <w:ilvl w:val="1"/>
                <w:numId w:val="6"/>
              </w:numPr>
              <w:tabs>
                <w:tab w:val="left" w:pos="1134"/>
              </w:tabs>
              <w:ind w:left="1134" w:hanging="283"/>
            </w:pPr>
            <w:r>
              <w:t xml:space="preserve">Step 1: For legacy TDD system, assume the SNR in UL only slot is </w:t>
            </w:r>
            <w:r>
              <w:fldChar w:fldCharType="begin"/>
            </w:r>
            <w:r>
              <w:instrText>QUOTE</w:instrText>
            </w:r>
            <w:r>
              <w:fldChar w:fldCharType="separate"/>
            </w:r>
            <w:r>
              <w:rPr>
                <w:noProof/>
              </w:rPr>
              <w:drawing>
                <wp:inline distT="0" distB="0" distL="0" distR="0" wp14:anchorId="6BD0A269" wp14:editId="3DF385B7">
                  <wp:extent cx="830580" cy="251460"/>
                  <wp:effectExtent l="0" t="0" r="0" b="0"/>
                  <wp:docPr id="24" name="Image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26"/>
                          <pic:cNvPicPr>
                            <a:picLocks noChangeAspect="1" noChangeArrowheads="1"/>
                          </pic:cNvPicPr>
                        </pic:nvPicPr>
                        <pic:blipFill>
                          <a:blip r:embed="rId19"/>
                          <a:srcRect l="-87" t="-287" r="-87" b="-287"/>
                          <a:stretch>
                            <a:fillRect/>
                          </a:stretch>
                        </pic:blipFill>
                        <pic:spPr bwMode="auto">
                          <a:xfrm>
                            <a:off x="0" y="0"/>
                            <a:ext cx="830580" cy="251460"/>
                          </a:xfrm>
                          <a:prstGeom prst="rect">
                            <a:avLst/>
                          </a:prstGeom>
                        </pic:spPr>
                      </pic:pic>
                    </a:graphicData>
                  </a:graphic>
                </wp:inline>
              </w:drawing>
            </w:r>
            <w:r>
              <w:fldChar w:fldCharType="end"/>
            </w:r>
            <w:r>
              <w:t>, perform LLS to get the required SNR (</w:t>
            </w:r>
            <w:r>
              <w:fldChar w:fldCharType="begin"/>
            </w:r>
            <w:r>
              <w:instrText>QUOTE</w:instrText>
            </w:r>
            <w:r>
              <w:fldChar w:fldCharType="separate"/>
            </w:r>
            <w:r>
              <w:rPr>
                <w:noProof/>
              </w:rPr>
              <w:drawing>
                <wp:inline distT="0" distB="0" distL="0" distR="0" wp14:anchorId="425D82CA" wp14:editId="186F59E6">
                  <wp:extent cx="426720" cy="152400"/>
                  <wp:effectExtent l="0" t="0" r="0" b="0"/>
                  <wp:docPr id="25" name="Image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327"/>
                          <pic:cNvPicPr>
                            <a:picLocks noChangeAspect="1" noChangeArrowheads="1"/>
                          </pic:cNvPicPr>
                        </pic:nvPicPr>
                        <pic:blipFill>
                          <a:blip r:embed="rId20"/>
                          <a:srcRect l="-169" t="-473" r="-169" b="-473"/>
                          <a:stretch>
                            <a:fillRect/>
                          </a:stretch>
                        </pic:blipFill>
                        <pic:spPr bwMode="auto">
                          <a:xfrm>
                            <a:off x="0" y="0"/>
                            <a:ext cx="426720" cy="152400"/>
                          </a:xfrm>
                          <a:prstGeom prst="rect">
                            <a:avLst/>
                          </a:prstGeom>
                        </pic:spPr>
                      </pic:pic>
                    </a:graphicData>
                  </a:graphic>
                </wp:inline>
              </w:drawing>
            </w:r>
            <w:r>
              <w:fldChar w:fldCharType="end"/>
            </w:r>
            <w:r>
              <w:t xml:space="preserve">) with which UE can achieve a certain bit rate in </w:t>
            </w:r>
            <w:proofErr w:type="gramStart"/>
            <w:r>
              <w:t>UL</w:t>
            </w:r>
            <w:proofErr w:type="gramEnd"/>
          </w:p>
          <w:p w14:paraId="287713EA" w14:textId="77777777" w:rsidR="00E33F66" w:rsidRDefault="00000000">
            <w:pPr>
              <w:numPr>
                <w:ilvl w:val="1"/>
                <w:numId w:val="6"/>
              </w:numPr>
              <w:tabs>
                <w:tab w:val="left" w:pos="1134"/>
              </w:tabs>
              <w:ind w:left="1134" w:hanging="283"/>
            </w:pPr>
            <w:r>
              <w:t xml:space="preserve">Step 2: For SBFD system with frame structure XXXXU, assume the SNR in UL only slot is </w:t>
            </w:r>
            <w:r>
              <w:fldChar w:fldCharType="begin"/>
            </w:r>
            <w:r>
              <w:instrText>QUOTE</w:instrText>
            </w:r>
            <w:r>
              <w:fldChar w:fldCharType="separate"/>
            </w:r>
            <w:r>
              <w:rPr>
                <w:noProof/>
              </w:rPr>
              <w:drawing>
                <wp:inline distT="0" distB="0" distL="0" distR="0" wp14:anchorId="02D89038" wp14:editId="492168A5">
                  <wp:extent cx="1051560" cy="251460"/>
                  <wp:effectExtent l="0" t="0" r="0" b="0"/>
                  <wp:docPr id="26" name="Image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28"/>
                          <pic:cNvPicPr>
                            <a:picLocks noChangeAspect="1" noChangeArrowheads="1"/>
                          </pic:cNvPicPr>
                        </pic:nvPicPr>
                        <pic:blipFill>
                          <a:blip r:embed="rId21"/>
                          <a:srcRect l="-68" t="-287" r="-68" b="-287"/>
                          <a:stretch>
                            <a:fillRect/>
                          </a:stretch>
                        </pic:blipFill>
                        <pic:spPr bwMode="auto">
                          <a:xfrm>
                            <a:off x="0" y="0"/>
                            <a:ext cx="1051560" cy="251460"/>
                          </a:xfrm>
                          <a:prstGeom prst="rect">
                            <a:avLst/>
                          </a:prstGeom>
                        </pic:spPr>
                      </pic:pic>
                    </a:graphicData>
                  </a:graphic>
                </wp:inline>
              </w:drawing>
            </w:r>
            <w:r>
              <w:fldChar w:fldCharType="end"/>
            </w:r>
            <w:r>
              <w:t xml:space="preserve"> and the SNR in SBFD slot is </w:t>
            </w:r>
            <w:r>
              <w:fldChar w:fldCharType="begin"/>
            </w:r>
            <w:r>
              <w:instrText>QUOTE</w:instrText>
            </w:r>
            <w:r>
              <w:fldChar w:fldCharType="separate"/>
            </w:r>
            <w:r>
              <w:rPr>
                <w:noProof/>
              </w:rPr>
              <w:drawing>
                <wp:inline distT="0" distB="0" distL="0" distR="0" wp14:anchorId="21B8538B" wp14:editId="3769BE8F">
                  <wp:extent cx="1028700" cy="251460"/>
                  <wp:effectExtent l="0" t="0" r="0" b="0"/>
                  <wp:docPr id="27" name="Image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329"/>
                          <pic:cNvPicPr>
                            <a:picLocks noChangeAspect="1" noChangeArrowheads="1"/>
                          </pic:cNvPicPr>
                        </pic:nvPicPr>
                        <pic:blipFill>
                          <a:blip r:embed="rId22"/>
                          <a:srcRect l="-70" t="-287" r="-70" b="-287"/>
                          <a:stretch>
                            <a:fillRect/>
                          </a:stretch>
                        </pic:blipFill>
                        <pic:spPr bwMode="auto">
                          <a:xfrm>
                            <a:off x="0" y="0"/>
                            <a:ext cx="1028700" cy="251460"/>
                          </a:xfrm>
                          <a:prstGeom prst="rect">
                            <a:avLst/>
                          </a:prstGeom>
                        </pic:spPr>
                      </pic:pic>
                    </a:graphicData>
                  </a:graphic>
                </wp:inline>
              </w:drawing>
            </w:r>
            <w:r>
              <w:fldChar w:fldCharType="end"/>
            </w:r>
            <w:r>
              <w:t>. Perform LLS to get the required SNR (</w:t>
            </w:r>
            <w:r>
              <w:fldChar w:fldCharType="begin"/>
            </w:r>
            <w:r>
              <w:instrText>QUOTE</w:instrText>
            </w:r>
            <w:r>
              <w:fldChar w:fldCharType="separate"/>
            </w:r>
            <w:r>
              <w:rPr>
                <w:noProof/>
              </w:rPr>
              <w:drawing>
                <wp:inline distT="0" distB="0" distL="0" distR="0" wp14:anchorId="6EC03D3A" wp14:editId="5FF9CCA2">
                  <wp:extent cx="647700" cy="152400"/>
                  <wp:effectExtent l="0" t="0" r="0" b="0"/>
                  <wp:docPr id="28" name="Image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330"/>
                          <pic:cNvPicPr>
                            <a:picLocks noChangeAspect="1" noChangeArrowheads="1"/>
                          </pic:cNvPicPr>
                        </pic:nvPicPr>
                        <pic:blipFill>
                          <a:blip r:embed="rId23"/>
                          <a:srcRect l="-111" t="-473" r="-111" b="-473"/>
                          <a:stretch>
                            <a:fillRect/>
                          </a:stretch>
                        </pic:blipFill>
                        <pic:spPr bwMode="auto">
                          <a:xfrm>
                            <a:off x="0" y="0"/>
                            <a:ext cx="647700" cy="152400"/>
                          </a:xfrm>
                          <a:prstGeom prst="rect">
                            <a:avLst/>
                          </a:prstGeom>
                        </pic:spPr>
                      </pic:pic>
                    </a:graphicData>
                  </a:graphic>
                </wp:inline>
              </w:drawing>
            </w:r>
            <w:r>
              <w:fldChar w:fldCharType="end"/>
            </w:r>
            <w:r>
              <w:t>) with which UE can achieve a certain bit rate in UL for a given SBFD coverage enhancement scheme (e.g., SBFD with PUSCH repetition type A, etc.)</w:t>
            </w:r>
          </w:p>
          <w:p w14:paraId="7B43BDFD" w14:textId="77777777" w:rsidR="00E33F66" w:rsidRDefault="00000000">
            <w:pPr>
              <w:numPr>
                <w:ilvl w:val="1"/>
                <w:numId w:val="6"/>
              </w:numPr>
              <w:tabs>
                <w:tab w:val="left" w:pos="1134"/>
              </w:tabs>
              <w:ind w:left="1134" w:hanging="283"/>
            </w:pPr>
            <w:r>
              <w:t>Step 3: Use Link budget template to obtain MPL, MCL and MIL for legacy TDD and SBFD.</w:t>
            </w:r>
          </w:p>
          <w:p w14:paraId="70DC85C6" w14:textId="77777777" w:rsidR="00E33F66" w:rsidRDefault="00000000">
            <w:pPr>
              <w:pStyle w:val="a8"/>
              <w:numPr>
                <w:ilvl w:val="2"/>
                <w:numId w:val="7"/>
              </w:numPr>
            </w:pPr>
            <w:r>
              <w:t>For legacy TDD, the required SNR (</w:t>
            </w:r>
            <w:r>
              <w:fldChar w:fldCharType="begin"/>
            </w:r>
            <w:r>
              <w:instrText>QUOTE</w:instrText>
            </w:r>
            <w:r>
              <w:fldChar w:fldCharType="separate"/>
            </w:r>
            <w:r>
              <w:rPr>
                <w:noProof/>
              </w:rPr>
              <w:drawing>
                <wp:inline distT="0" distB="0" distL="0" distR="0" wp14:anchorId="0D2C58B8" wp14:editId="7954339A">
                  <wp:extent cx="426720" cy="152400"/>
                  <wp:effectExtent l="0" t="0" r="0" b="0"/>
                  <wp:docPr id="29" name="Image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331"/>
                          <pic:cNvPicPr>
                            <a:picLocks noChangeAspect="1" noChangeArrowheads="1"/>
                          </pic:cNvPicPr>
                        </pic:nvPicPr>
                        <pic:blipFill>
                          <a:blip r:embed="rId20"/>
                          <a:srcRect l="-169" t="-473" r="-169" b="-473"/>
                          <a:stretch>
                            <a:fillRect/>
                          </a:stretch>
                        </pic:blipFill>
                        <pic:spPr bwMode="auto">
                          <a:xfrm>
                            <a:off x="0" y="0"/>
                            <a:ext cx="426720" cy="152400"/>
                          </a:xfrm>
                          <a:prstGeom prst="rect">
                            <a:avLst/>
                          </a:prstGeom>
                        </pic:spPr>
                      </pic:pic>
                    </a:graphicData>
                  </a:graphic>
                </wp:inline>
              </w:drawing>
            </w:r>
            <w:r>
              <w:fldChar w:fldCharType="end"/>
            </w:r>
            <w:r>
              <w:t>) obtained in Step 1 is used to calculate MPL, MCL, MIL.</w:t>
            </w:r>
          </w:p>
          <w:p w14:paraId="5704E84D" w14:textId="77777777" w:rsidR="00E33F66" w:rsidRDefault="00000000">
            <w:pPr>
              <w:pStyle w:val="a8"/>
              <w:numPr>
                <w:ilvl w:val="2"/>
                <w:numId w:val="7"/>
              </w:numPr>
            </w:pPr>
            <w:r>
              <w:t>For SBFD, the required SNR (</w:t>
            </w:r>
            <w:r>
              <w:fldChar w:fldCharType="begin"/>
            </w:r>
            <w:r>
              <w:instrText>QUOTE</w:instrText>
            </w:r>
            <w:r>
              <w:fldChar w:fldCharType="separate"/>
            </w:r>
            <w:r>
              <w:rPr>
                <w:noProof/>
              </w:rPr>
              <w:drawing>
                <wp:inline distT="0" distB="0" distL="0" distR="0" wp14:anchorId="2E4C93F5" wp14:editId="4AD4DEF7">
                  <wp:extent cx="647700" cy="152400"/>
                  <wp:effectExtent l="0" t="0" r="0" b="0"/>
                  <wp:docPr id="30" name="Image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332"/>
                          <pic:cNvPicPr>
                            <a:picLocks noChangeAspect="1" noChangeArrowheads="1"/>
                          </pic:cNvPicPr>
                        </pic:nvPicPr>
                        <pic:blipFill>
                          <a:blip r:embed="rId23"/>
                          <a:srcRect l="-111" t="-473" r="-111" b="-473"/>
                          <a:stretch>
                            <a:fillRect/>
                          </a:stretch>
                        </pic:blipFill>
                        <pic:spPr bwMode="auto">
                          <a:xfrm>
                            <a:off x="0" y="0"/>
                            <a:ext cx="647700" cy="152400"/>
                          </a:xfrm>
                          <a:prstGeom prst="rect">
                            <a:avLst/>
                          </a:prstGeom>
                        </pic:spPr>
                      </pic:pic>
                    </a:graphicData>
                  </a:graphic>
                </wp:inline>
              </w:drawing>
            </w:r>
            <w:r>
              <w:fldChar w:fldCharType="end"/>
            </w:r>
            <w:r>
              <w:t>) obtained in Step 2 is used to calculate MPL, MCL, MIL.</w:t>
            </w:r>
          </w:p>
        </w:tc>
      </w:tr>
    </w:tbl>
    <w:p w14:paraId="1D8B48D6" w14:textId="77777777" w:rsidR="00E33F66" w:rsidRDefault="00E33F66">
      <w:pPr>
        <w:rPr>
          <w:b/>
          <w:i/>
          <w:iCs/>
          <w:sz w:val="20"/>
          <w:szCs w:val="20"/>
          <w:highlight w:val="green"/>
        </w:rPr>
      </w:pPr>
    </w:p>
    <w:p w14:paraId="03760ECA" w14:textId="77777777" w:rsidR="00E33F66" w:rsidRDefault="00000000">
      <w:r>
        <w:t xml:space="preserve">3. </w:t>
      </w:r>
      <w:r>
        <w:rPr>
          <w:rFonts w:cs="Times"/>
        </w:rPr>
        <w:t>Calculation of</w:t>
      </w:r>
      <w:r>
        <w:t xml:space="preserve"> </w:t>
      </w:r>
      <w:r>
        <w:fldChar w:fldCharType="begin"/>
      </w:r>
      <w:r>
        <w:instrText>QUOTE</w:instrText>
      </w:r>
      <w:r>
        <w:fldChar w:fldCharType="separate"/>
      </w:r>
      <w:r>
        <w:rPr>
          <w:noProof/>
        </w:rPr>
        <w:drawing>
          <wp:inline distT="0" distB="0" distL="0" distR="0" wp14:anchorId="637A9613" wp14:editId="70DC49C4">
            <wp:extent cx="129540" cy="152400"/>
            <wp:effectExtent l="0" t="0" r="0" b="0"/>
            <wp:docPr id="3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
                    <pic:cNvPicPr>
                      <a:picLocks noChangeAspect="1" noChangeArrowheads="1"/>
                    </pic:cNvPicPr>
                  </pic:nvPicPr>
                  <pic:blipFill>
                    <a:blip r:embed="rId11"/>
                    <a:srcRect l="-557" t="-473" r="-557" b="-473"/>
                    <a:stretch>
                      <a:fillRect/>
                    </a:stretch>
                  </pic:blipFill>
                  <pic:spPr bwMode="auto">
                    <a:xfrm>
                      <a:off x="0" y="0"/>
                      <a:ext cx="129540" cy="152400"/>
                    </a:xfrm>
                    <a:prstGeom prst="rect">
                      <a:avLst/>
                    </a:prstGeom>
                  </pic:spPr>
                </pic:pic>
              </a:graphicData>
            </a:graphic>
          </wp:inline>
        </w:drawing>
      </w:r>
      <w:r>
        <w:fldChar w:fldCharType="end"/>
      </w:r>
      <w:r>
        <w:t xml:space="preserve"> : Self interference (SI) is added according to the agreement in RAN1 #112 [3].</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E33F66" w14:paraId="7CAC11CD" w14:textId="77777777">
        <w:tc>
          <w:tcPr>
            <w:tcW w:w="9314" w:type="dxa"/>
            <w:tcBorders>
              <w:top w:val="single" w:sz="2" w:space="0" w:color="000000"/>
              <w:left w:val="single" w:sz="2" w:space="0" w:color="000000"/>
              <w:bottom w:val="single" w:sz="2" w:space="0" w:color="000000"/>
              <w:right w:val="single" w:sz="2" w:space="0" w:color="000000"/>
            </w:tcBorders>
          </w:tcPr>
          <w:p w14:paraId="63221513" w14:textId="77777777" w:rsidR="00E33F66" w:rsidRDefault="00000000">
            <w:r>
              <w:rPr>
                <w:rFonts w:cs="Times"/>
                <w:b/>
                <w:bCs/>
                <w:highlight w:val="green"/>
                <w:lang w:eastAsia="ko-KR"/>
              </w:rPr>
              <w:t>Agreement</w:t>
            </w:r>
          </w:p>
          <w:p w14:paraId="2D8F74DC" w14:textId="77777777" w:rsidR="00E33F66" w:rsidRDefault="00000000">
            <w:r>
              <w:rPr>
                <w:rFonts w:eastAsia="MS Mincho" w:cs="Times"/>
              </w:rPr>
              <w:lastRenderedPageBreak/>
              <w:t>For link level evaluation of coverage performance for SBFD, t</w:t>
            </w:r>
            <w:r>
              <w:rPr>
                <w:rFonts w:cs="Times"/>
              </w:rPr>
              <w:t>he following interference components are added per each receive chain to the UL channel at SBFD symbols:</w:t>
            </w:r>
          </w:p>
          <w:p w14:paraId="7382F888" w14:textId="77777777" w:rsidR="00E33F66" w:rsidRDefault="00000000">
            <w:pPr>
              <w:numPr>
                <w:ilvl w:val="0"/>
                <w:numId w:val="8"/>
              </w:numPr>
              <w:spacing w:after="0"/>
            </w:pPr>
            <w:proofErr w:type="gramStart"/>
            <w:r>
              <w:rPr>
                <w:rFonts w:cs="Times"/>
              </w:rPr>
              <w:t>Self-interference,</w:t>
            </w:r>
            <w:proofErr w:type="gramEnd"/>
            <w:r>
              <w:rPr>
                <w:rFonts w:cs="Times"/>
              </w:rPr>
              <w:t xml:space="preserve"> modelled as additive white gaussian noise with fixed INR = - 6 dB targeting 1 dB </w:t>
            </w:r>
            <w:proofErr w:type="spellStart"/>
            <w:r>
              <w:rPr>
                <w:rFonts w:cs="Times"/>
              </w:rPr>
              <w:t>desense</w:t>
            </w:r>
            <w:proofErr w:type="spellEnd"/>
            <w:r>
              <w:rPr>
                <w:rFonts w:cs="Times"/>
              </w:rPr>
              <w:t xml:space="preserve"> similar to SLS.</w:t>
            </w:r>
          </w:p>
          <w:p w14:paraId="028566BB" w14:textId="77777777" w:rsidR="00E33F66" w:rsidRDefault="00000000">
            <w:pPr>
              <w:numPr>
                <w:ilvl w:val="0"/>
                <w:numId w:val="8"/>
              </w:numPr>
              <w:spacing w:after="0"/>
            </w:pPr>
            <w:r>
              <w:rPr>
                <w:rFonts w:cs="Times"/>
              </w:rPr>
              <w:t xml:space="preserve">Co-site inter-sector interference, modelled as additive white gaussian noise with fixed INR = - X dB based on assumption of co-site isolation </w:t>
            </w:r>
            <m:oMath>
              <m:sSubSup>
                <m:sSubSupPr>
                  <m:ctrlPr>
                    <w:rPr>
                      <w:rFonts w:ascii="Cambria Math" w:hAnsi="Cambria Math"/>
                    </w:rPr>
                  </m:ctrlPr>
                </m:sSubSupPr>
                <m:e>
                  <m:r>
                    <w:rPr>
                      <w:rFonts w:ascii="Cambria Math" w:hAnsi="Cambria Math"/>
                    </w:rPr>
                    <m:t>α</m:t>
                  </m:r>
                </m:e>
                <m:sub>
                  <m:r>
                    <w:rPr>
                      <w:rFonts w:ascii="Cambria Math" w:hAnsi="Cambria Math"/>
                    </w:rPr>
                    <m:t>co-site</m:t>
                  </m:r>
                </m:sub>
                <m:sup/>
              </m:sSubSup>
            </m:oMath>
          </w:p>
          <w:p w14:paraId="52C2C802" w14:textId="77777777" w:rsidR="00E33F66" w:rsidRDefault="00000000">
            <w:pPr>
              <w:numPr>
                <w:ilvl w:val="0"/>
                <w:numId w:val="8"/>
              </w:numPr>
              <w:spacing w:after="0"/>
            </w:pPr>
            <w:r>
              <w:rPr>
                <w:rFonts w:cs="Times"/>
              </w:rPr>
              <w:t xml:space="preserve">Inter-site </w:t>
            </w:r>
            <w:proofErr w:type="spellStart"/>
            <w:r>
              <w:rPr>
                <w:rFonts w:cs="Times"/>
              </w:rPr>
              <w:t>gNB-gNB</w:t>
            </w:r>
            <w:proofErr w:type="spellEnd"/>
            <w:r>
              <w:rPr>
                <w:rFonts w:cs="Times"/>
              </w:rPr>
              <w:t xml:space="preserve"> co-channel inter-</w:t>
            </w:r>
            <w:proofErr w:type="spellStart"/>
            <w:r>
              <w:rPr>
                <w:rFonts w:cs="Times"/>
              </w:rPr>
              <w:t>subband</w:t>
            </w:r>
            <w:proofErr w:type="spellEnd"/>
            <w:r>
              <w:rPr>
                <w:rFonts w:cs="Times"/>
              </w:rPr>
              <w:t xml:space="preserve"> CLI, </w:t>
            </w:r>
          </w:p>
          <w:p w14:paraId="157FD7C9" w14:textId="77777777" w:rsidR="00E33F66" w:rsidRDefault="00000000">
            <w:pPr>
              <w:numPr>
                <w:ilvl w:val="2"/>
                <w:numId w:val="8"/>
              </w:numPr>
              <w:spacing w:after="0"/>
            </w:pPr>
            <w:r>
              <w:rPr>
                <w:rFonts w:cs="Times"/>
              </w:rPr>
              <w:t>Alt-1: the value of interference power is selected according to the INR distribution drawn based on the statistics from SLS.</w:t>
            </w:r>
          </w:p>
          <w:p w14:paraId="64860971" w14:textId="77777777" w:rsidR="00E33F66" w:rsidRDefault="00000000">
            <w:pPr>
              <w:numPr>
                <w:ilvl w:val="2"/>
                <w:numId w:val="8"/>
              </w:numPr>
              <w:spacing w:after="0"/>
            </w:pPr>
            <w:r>
              <w:rPr>
                <w:rFonts w:cs="Times"/>
              </w:rPr>
              <w:t xml:space="preserve">Alt-2: the value of interference power is determined based on the inter-site </w:t>
            </w:r>
            <w:proofErr w:type="spellStart"/>
            <w:r>
              <w:rPr>
                <w:rFonts w:cs="Times"/>
              </w:rPr>
              <w:t>gNB-gNB</w:t>
            </w:r>
            <w:proofErr w:type="spellEnd"/>
            <w:r>
              <w:rPr>
                <w:rFonts w:cs="Times"/>
              </w:rPr>
              <w:t xml:space="preserve"> co-channel inter-</w:t>
            </w:r>
            <w:proofErr w:type="spellStart"/>
            <w:r>
              <w:rPr>
                <w:rFonts w:cs="Times"/>
              </w:rPr>
              <w:t>subband</w:t>
            </w:r>
            <w:proofErr w:type="spellEnd"/>
            <w:r>
              <w:rPr>
                <w:rFonts w:cs="Times"/>
              </w:rPr>
              <w:t xml:space="preserve"> CLI model agreed for SLS taking into account the locations of victim </w:t>
            </w:r>
            <w:proofErr w:type="spellStart"/>
            <w:r>
              <w:rPr>
                <w:rFonts w:cs="Times"/>
              </w:rPr>
              <w:t>gNB</w:t>
            </w:r>
            <w:proofErr w:type="spellEnd"/>
            <w:r>
              <w:rPr>
                <w:rFonts w:cs="Times"/>
              </w:rPr>
              <w:t xml:space="preserve"> and several aggressor </w:t>
            </w:r>
            <w:proofErr w:type="spellStart"/>
            <w:r>
              <w:rPr>
                <w:rFonts w:cs="Times"/>
              </w:rPr>
              <w:t>gNBs</w:t>
            </w:r>
            <w:proofErr w:type="spellEnd"/>
            <w:r>
              <w:rPr>
                <w:rFonts w:cs="Times"/>
              </w:rPr>
              <w:t xml:space="preserve">, and the </w:t>
            </w:r>
            <w:proofErr w:type="spellStart"/>
            <w:r>
              <w:rPr>
                <w:rFonts w:cs="Times"/>
              </w:rPr>
              <w:t>gNB-gNB</w:t>
            </w:r>
            <w:proofErr w:type="spellEnd"/>
            <w:r>
              <w:rPr>
                <w:rFonts w:cs="Times"/>
              </w:rPr>
              <w:t xml:space="preserve"> channel </w:t>
            </w:r>
            <w:proofErr w:type="gramStart"/>
            <w:r>
              <w:rPr>
                <w:rFonts w:cs="Times"/>
              </w:rPr>
              <w:t>model</w:t>
            </w:r>
            <w:proofErr w:type="gramEnd"/>
          </w:p>
          <w:p w14:paraId="05252293" w14:textId="77777777" w:rsidR="00E33F66" w:rsidRDefault="00000000">
            <w:pPr>
              <w:numPr>
                <w:ilvl w:val="0"/>
                <w:numId w:val="8"/>
              </w:numPr>
              <w:spacing w:after="0"/>
            </w:pPr>
            <w:r>
              <w:rPr>
                <w:rFonts w:eastAsia="MS Mincho" w:cs="Times"/>
                <w:lang w:eastAsia="ko-KR"/>
              </w:rPr>
              <w:t>FFS: Receiver blocking model</w:t>
            </w:r>
          </w:p>
        </w:tc>
      </w:tr>
    </w:tbl>
    <w:p w14:paraId="7033F2B6" w14:textId="77777777" w:rsidR="00E33F66" w:rsidRDefault="00E33F66">
      <w:pPr>
        <w:rPr>
          <w:rFonts w:cs="Times"/>
          <w:b/>
          <w:bCs/>
          <w:i/>
          <w:iCs/>
          <w:sz w:val="20"/>
          <w:szCs w:val="20"/>
          <w:highlight w:val="green"/>
          <w:lang w:eastAsia="ko-KR"/>
        </w:rPr>
      </w:pPr>
    </w:p>
    <w:p w14:paraId="13F31918" w14:textId="77777777" w:rsidR="00E33F66" w:rsidRDefault="00E33F66">
      <w:pPr>
        <w:spacing w:after="0"/>
        <w:rPr>
          <w:rFonts w:cs="Times"/>
        </w:rPr>
      </w:pPr>
    </w:p>
    <w:p w14:paraId="701673A0" w14:textId="77777777" w:rsidR="00E33F66" w:rsidRDefault="00000000">
      <w:pPr>
        <w:spacing w:after="0"/>
        <w:rPr>
          <w:rFonts w:cs="Times"/>
        </w:rPr>
      </w:pPr>
      <w:r>
        <w:rPr>
          <w:rFonts w:cs="Times"/>
        </w:rPr>
        <w:t xml:space="preserve">3. Calculation of </w:t>
      </w:r>
      <w:r>
        <w:fldChar w:fldCharType="begin"/>
      </w:r>
      <w:r>
        <w:rPr>
          <w:rFonts w:cs="Times"/>
        </w:rPr>
        <w:instrText>QUOTE</w:instrText>
      </w:r>
      <w:r>
        <w:rPr>
          <w:rFonts w:cs="Times"/>
        </w:rPr>
        <w:fldChar w:fldCharType="separate"/>
      </w:r>
      <w:r>
        <w:rPr>
          <w:noProof/>
        </w:rPr>
        <w:drawing>
          <wp:inline distT="0" distB="0" distL="0" distR="0" wp14:anchorId="4E06CF80" wp14:editId="76533F88">
            <wp:extent cx="365760" cy="152400"/>
            <wp:effectExtent l="0" t="0" r="0" b="0"/>
            <wp:docPr id="3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
                    <pic:cNvPicPr>
                      <a:picLocks noChangeAspect="1" noChangeArrowheads="1"/>
                    </pic:cNvPicPr>
                  </pic:nvPicPr>
                  <pic:blipFill>
                    <a:blip r:embed="rId12"/>
                    <a:srcRect l="-197" t="-473" r="-197" b="-473"/>
                    <a:stretch>
                      <a:fillRect/>
                    </a:stretch>
                  </pic:blipFill>
                  <pic:spPr bwMode="auto">
                    <a:xfrm>
                      <a:off x="0" y="0"/>
                      <a:ext cx="365760" cy="152400"/>
                    </a:xfrm>
                    <a:prstGeom prst="rect">
                      <a:avLst/>
                    </a:prstGeom>
                  </pic:spPr>
                </pic:pic>
              </a:graphicData>
            </a:graphic>
          </wp:inline>
        </w:drawing>
      </w:r>
      <w:r>
        <w:rPr>
          <w:rFonts w:cs="Times"/>
        </w:rPr>
        <w:fldChar w:fldCharType="end"/>
      </w:r>
      <w:r>
        <w:rPr>
          <w:rFonts w:cs="Times"/>
        </w:rPr>
        <w:t xml:space="preserve"> : Co-site inter-sector interference is modelled as additive white gaussian noise (AWGN) with fixed INR = - 5.44 </w:t>
      </w:r>
      <w:proofErr w:type="spellStart"/>
      <w:r>
        <w:rPr>
          <w:rFonts w:cs="Times"/>
        </w:rPr>
        <w:t>dB.</w:t>
      </w:r>
      <w:proofErr w:type="spellEnd"/>
      <w:r>
        <w:rPr>
          <w:rFonts w:cs="Times"/>
        </w:rPr>
        <w:t xml:space="preserve"> This value is directly taken from [4].</w:t>
      </w:r>
    </w:p>
    <w:p w14:paraId="285EAD06" w14:textId="77777777" w:rsidR="00E33F66" w:rsidRDefault="00E33F66">
      <w:pPr>
        <w:spacing w:after="0"/>
      </w:pPr>
    </w:p>
    <w:p w14:paraId="5320883C" w14:textId="77777777" w:rsidR="00E33F66" w:rsidRDefault="00000000">
      <w:pPr>
        <w:spacing w:after="0"/>
        <w:rPr>
          <w:rFonts w:cs="Times"/>
        </w:rPr>
      </w:pPr>
      <w:r>
        <w:rPr>
          <w:rFonts w:cs="Times"/>
        </w:rPr>
        <w:t xml:space="preserve">4. Calculation of </w:t>
      </w:r>
      <w:r>
        <w:fldChar w:fldCharType="begin"/>
      </w:r>
      <w:r>
        <w:rPr>
          <w:rFonts w:cs="Times"/>
        </w:rPr>
        <w:instrText>QUOTE</w:instrText>
      </w:r>
      <w:r>
        <w:rPr>
          <w:rFonts w:cs="Times"/>
        </w:rPr>
        <w:fldChar w:fldCharType="separate"/>
      </w:r>
      <w:r>
        <w:rPr>
          <w:noProof/>
        </w:rPr>
        <w:drawing>
          <wp:inline distT="0" distB="0" distL="0" distR="0" wp14:anchorId="72B94308" wp14:editId="484D8936">
            <wp:extent cx="464820" cy="167640"/>
            <wp:effectExtent l="0" t="0" r="0" b="0"/>
            <wp:docPr id="33"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3"/>
                    <pic:cNvPicPr>
                      <a:picLocks noChangeAspect="1" noChangeArrowheads="1"/>
                    </pic:cNvPicPr>
                  </pic:nvPicPr>
                  <pic:blipFill>
                    <a:blip r:embed="rId13"/>
                    <a:srcRect l="-155" t="-430" r="-155" b="-430"/>
                    <a:stretch>
                      <a:fillRect/>
                    </a:stretch>
                  </pic:blipFill>
                  <pic:spPr bwMode="auto">
                    <a:xfrm>
                      <a:off x="0" y="0"/>
                      <a:ext cx="464820" cy="167640"/>
                    </a:xfrm>
                    <a:prstGeom prst="rect">
                      <a:avLst/>
                    </a:prstGeom>
                  </pic:spPr>
                </pic:pic>
              </a:graphicData>
            </a:graphic>
          </wp:inline>
        </w:drawing>
      </w:r>
      <w:r>
        <w:rPr>
          <w:rFonts w:cs="Times"/>
        </w:rPr>
        <w:fldChar w:fldCharType="end"/>
      </w:r>
      <w:r>
        <w:rPr>
          <w:rFonts w:cs="Times"/>
        </w:rPr>
        <w:t xml:space="preserve"> : Inter-site </w:t>
      </w:r>
      <w:proofErr w:type="spellStart"/>
      <w:r>
        <w:rPr>
          <w:rFonts w:cs="Times"/>
        </w:rPr>
        <w:t>gNB-gNB</w:t>
      </w:r>
      <w:proofErr w:type="spellEnd"/>
      <w:r>
        <w:rPr>
          <w:rFonts w:cs="Times"/>
        </w:rPr>
        <w:t xml:space="preserve"> co-channel inter-</w:t>
      </w:r>
      <w:proofErr w:type="spellStart"/>
      <w:r>
        <w:rPr>
          <w:rFonts w:cs="Times"/>
        </w:rPr>
        <w:t>subband</w:t>
      </w:r>
      <w:proofErr w:type="spellEnd"/>
      <w:r>
        <w:rPr>
          <w:rFonts w:cs="Times"/>
        </w:rPr>
        <w:t xml:space="preserve"> CLI is modelled as AWGN with INR = 10.65 </w:t>
      </w:r>
      <w:proofErr w:type="spellStart"/>
      <w:r>
        <w:rPr>
          <w:rFonts w:cs="Times"/>
        </w:rPr>
        <w:t>dB.</w:t>
      </w:r>
      <w:proofErr w:type="spellEnd"/>
      <w:r>
        <w:rPr>
          <w:rFonts w:cs="Times"/>
        </w:rPr>
        <w:t xml:space="preserve"> This value is obtained from the i</w:t>
      </w:r>
      <w:r>
        <w:rPr>
          <w:rFonts w:cs="Times"/>
          <w:color w:val="000000"/>
        </w:rPr>
        <w:t xml:space="preserve">nter-site </w:t>
      </w:r>
      <w:proofErr w:type="spellStart"/>
      <w:r>
        <w:rPr>
          <w:rFonts w:cs="Times"/>
          <w:color w:val="000000"/>
        </w:rPr>
        <w:t>gNB-gNB</w:t>
      </w:r>
      <w:proofErr w:type="spellEnd"/>
      <w:r>
        <w:rPr>
          <w:rFonts w:cs="Times"/>
          <w:color w:val="000000"/>
        </w:rPr>
        <w:t xml:space="preserve"> co-channel inter-</w:t>
      </w:r>
      <w:proofErr w:type="spellStart"/>
      <w:r>
        <w:rPr>
          <w:rFonts w:cs="Times"/>
          <w:color w:val="000000"/>
        </w:rPr>
        <w:t>subband</w:t>
      </w:r>
      <w:proofErr w:type="spellEnd"/>
      <w:r>
        <w:rPr>
          <w:rFonts w:cs="Times"/>
          <w:color w:val="000000"/>
        </w:rPr>
        <w:t xml:space="preserve"> CLI model agreed for SLS </w:t>
      </w:r>
      <w:proofErr w:type="gramStart"/>
      <w:r>
        <w:rPr>
          <w:rFonts w:cs="Times"/>
          <w:color w:val="000000"/>
        </w:rPr>
        <w:t>taking into account</w:t>
      </w:r>
      <w:proofErr w:type="gramEnd"/>
      <w:r>
        <w:rPr>
          <w:rFonts w:cs="Times"/>
          <w:color w:val="000000"/>
        </w:rPr>
        <w:t xml:space="preserve"> the locations of victim </w:t>
      </w:r>
      <w:proofErr w:type="spellStart"/>
      <w:r>
        <w:rPr>
          <w:rFonts w:cs="Times"/>
          <w:color w:val="000000"/>
        </w:rPr>
        <w:t>gNB</w:t>
      </w:r>
      <w:proofErr w:type="spellEnd"/>
      <w:r>
        <w:rPr>
          <w:rFonts w:cs="Times"/>
          <w:color w:val="000000"/>
        </w:rPr>
        <w:t xml:space="preserve"> and several aggressor </w:t>
      </w:r>
      <w:proofErr w:type="spellStart"/>
      <w:r>
        <w:rPr>
          <w:rFonts w:cs="Times"/>
          <w:color w:val="000000"/>
        </w:rPr>
        <w:t>gNBs</w:t>
      </w:r>
      <w:proofErr w:type="spellEnd"/>
      <w:r>
        <w:rPr>
          <w:rFonts w:cs="Times"/>
          <w:color w:val="000000"/>
        </w:rPr>
        <w:t xml:space="preserve">, and the </w:t>
      </w:r>
      <w:proofErr w:type="spellStart"/>
      <w:r>
        <w:rPr>
          <w:rFonts w:cs="Times"/>
          <w:color w:val="000000"/>
        </w:rPr>
        <w:t>gNB-gNB</w:t>
      </w:r>
      <w:proofErr w:type="spellEnd"/>
      <w:r>
        <w:rPr>
          <w:rFonts w:cs="Times"/>
          <w:color w:val="000000"/>
        </w:rPr>
        <w:t xml:space="preserve"> channel model. From the coupling losses between </w:t>
      </w:r>
      <w:proofErr w:type="spellStart"/>
      <w:r>
        <w:rPr>
          <w:rFonts w:cs="Times"/>
          <w:color w:val="000000"/>
        </w:rPr>
        <w:t>gNBs</w:t>
      </w:r>
      <w:proofErr w:type="spellEnd"/>
      <w:r>
        <w:rPr>
          <w:rFonts w:cs="Times"/>
          <w:color w:val="000000"/>
        </w:rPr>
        <w:t xml:space="preserve"> in SLS, it is observed that a </w:t>
      </w:r>
      <w:proofErr w:type="spellStart"/>
      <w:r>
        <w:rPr>
          <w:rFonts w:cs="Times"/>
          <w:color w:val="000000"/>
        </w:rPr>
        <w:t>gNB</w:t>
      </w:r>
      <w:proofErr w:type="spellEnd"/>
      <w:r>
        <w:rPr>
          <w:rFonts w:cs="Times"/>
          <w:color w:val="000000"/>
        </w:rPr>
        <w:t xml:space="preserve"> is mostly affected by </w:t>
      </w:r>
      <w:proofErr w:type="gramStart"/>
      <w:r>
        <w:rPr>
          <w:rFonts w:cs="Times"/>
          <w:color w:val="000000"/>
        </w:rPr>
        <w:t>2 strongest</w:t>
      </w:r>
      <w:proofErr w:type="gramEnd"/>
      <w:r>
        <w:rPr>
          <w:rFonts w:cs="Times"/>
          <w:color w:val="000000"/>
        </w:rPr>
        <w:t xml:space="preserve"> aggressors. For each </w:t>
      </w:r>
      <w:proofErr w:type="spellStart"/>
      <w:r>
        <w:rPr>
          <w:rFonts w:cs="Times"/>
          <w:color w:val="000000"/>
        </w:rPr>
        <w:t>gNB</w:t>
      </w:r>
      <w:proofErr w:type="spellEnd"/>
      <w:r>
        <w:rPr>
          <w:rFonts w:cs="Times"/>
          <w:color w:val="000000"/>
        </w:rPr>
        <w:t>, the total coupling loss from all the aggressors is calculated. The total interference is calculated considering the total observed coupling loss from SLS and assumptions provided in Table 1.</w:t>
      </w:r>
    </w:p>
    <w:p w14:paraId="22174376" w14:textId="77777777" w:rsidR="00E33F66" w:rsidRDefault="00000000">
      <w:pPr>
        <w:spacing w:after="0"/>
        <w:rPr>
          <w:rFonts w:cs="Times"/>
        </w:rPr>
      </w:pPr>
      <w:r>
        <w:rPr>
          <w:rFonts w:cs="Times"/>
        </w:rPr>
        <w:tab/>
      </w:r>
    </w:p>
    <w:p w14:paraId="7183BB4A" w14:textId="77777777" w:rsidR="00E33F66" w:rsidRDefault="00000000">
      <w:pPr>
        <w:spacing w:after="0"/>
        <w:rPr>
          <w:rFonts w:cs="Times"/>
        </w:rPr>
      </w:pPr>
      <w:r>
        <w:rPr>
          <w:rFonts w:cs="Times"/>
        </w:rPr>
        <w:t xml:space="preserve">5. Calculation of </w:t>
      </w:r>
      <w:r>
        <w:fldChar w:fldCharType="begin"/>
      </w:r>
      <w:r>
        <w:rPr>
          <w:rFonts w:cs="Times"/>
        </w:rPr>
        <w:instrText>QUOTE</w:instrText>
      </w:r>
      <w:r>
        <w:rPr>
          <w:rFonts w:cs="Times"/>
        </w:rPr>
        <w:fldChar w:fldCharType="separate"/>
      </w:r>
      <w:r>
        <w:rPr>
          <w:noProof/>
        </w:rPr>
        <w:drawing>
          <wp:inline distT="0" distB="0" distL="0" distR="0" wp14:anchorId="6195A778" wp14:editId="4546920A">
            <wp:extent cx="411480" cy="167640"/>
            <wp:effectExtent l="0" t="0" r="0" b="0"/>
            <wp:docPr id="34"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
                    <pic:cNvPicPr>
                      <a:picLocks noChangeAspect="1" noChangeArrowheads="1"/>
                    </pic:cNvPicPr>
                  </pic:nvPicPr>
                  <pic:blipFill>
                    <a:blip r:embed="rId7"/>
                    <a:srcRect l="-175" t="-430" r="-175" b="-430"/>
                    <a:stretch>
                      <a:fillRect/>
                    </a:stretch>
                  </pic:blipFill>
                  <pic:spPr bwMode="auto">
                    <a:xfrm>
                      <a:off x="0" y="0"/>
                      <a:ext cx="411480" cy="167640"/>
                    </a:xfrm>
                    <a:prstGeom prst="rect">
                      <a:avLst/>
                    </a:prstGeom>
                  </pic:spPr>
                </pic:pic>
              </a:graphicData>
            </a:graphic>
          </wp:inline>
        </w:drawing>
      </w:r>
      <w:r>
        <w:rPr>
          <w:rFonts w:cs="Times"/>
        </w:rPr>
        <w:fldChar w:fldCharType="end"/>
      </w:r>
      <w:r>
        <w:rPr>
          <w:rFonts w:cs="Times"/>
        </w:rPr>
        <w:t>: UE-</w:t>
      </w:r>
      <w:proofErr w:type="spellStart"/>
      <w:r>
        <w:rPr>
          <w:rFonts w:cs="Times"/>
        </w:rPr>
        <w:t>gNB</w:t>
      </w:r>
      <w:proofErr w:type="spellEnd"/>
      <w:r>
        <w:rPr>
          <w:rFonts w:cs="Times"/>
        </w:rPr>
        <w:t xml:space="preserve"> interference is also modelled as AWGN with INR = 37.76 </w:t>
      </w:r>
      <w:proofErr w:type="spellStart"/>
      <w:r>
        <w:rPr>
          <w:rFonts w:cs="Times"/>
        </w:rPr>
        <w:t>dB.</w:t>
      </w:r>
      <w:proofErr w:type="spellEnd"/>
      <w:r>
        <w:rPr>
          <w:rFonts w:cs="Times"/>
        </w:rPr>
        <w:t xml:space="preserve"> For each receiver </w:t>
      </w:r>
      <w:proofErr w:type="spellStart"/>
      <w:r>
        <w:rPr>
          <w:rFonts w:cs="Times"/>
        </w:rPr>
        <w:t>gNB</w:t>
      </w:r>
      <w:proofErr w:type="spellEnd"/>
      <w:r>
        <w:rPr>
          <w:rFonts w:cs="Times"/>
        </w:rPr>
        <w:t xml:space="preserve">, the coupling losses for the interfering UEs are observed from the SLS. Each UE </w:t>
      </w:r>
      <w:proofErr w:type="gramStart"/>
      <w:r>
        <w:rPr>
          <w:rFonts w:cs="Times"/>
        </w:rPr>
        <w:t>is considered to be</w:t>
      </w:r>
      <w:proofErr w:type="gramEnd"/>
      <w:r>
        <w:rPr>
          <w:rFonts w:cs="Times"/>
        </w:rPr>
        <w:t xml:space="preserve"> transmitting at 23dBm. </w:t>
      </w:r>
      <w:r>
        <w:rPr>
          <w:rFonts w:cs="Times"/>
          <w:color w:val="000000"/>
        </w:rPr>
        <w:t>The total UE-</w:t>
      </w:r>
      <w:proofErr w:type="spellStart"/>
      <w:r>
        <w:rPr>
          <w:rFonts w:cs="Times"/>
          <w:color w:val="000000"/>
        </w:rPr>
        <w:t>gNB</w:t>
      </w:r>
      <w:proofErr w:type="spellEnd"/>
      <w:r>
        <w:rPr>
          <w:rFonts w:cs="Times"/>
          <w:color w:val="000000"/>
        </w:rPr>
        <w:t xml:space="preserve"> interference is calculated considering the total observed coupling loss from SLS and transmit power of 23dBm.</w:t>
      </w:r>
    </w:p>
    <w:p w14:paraId="65B4F347" w14:textId="77777777" w:rsidR="00E33F66" w:rsidRDefault="00E33F66">
      <w:pPr>
        <w:spacing w:after="0"/>
        <w:rPr>
          <w:rFonts w:cs="Times"/>
          <w:color w:val="000000" w:themeColor="text1"/>
        </w:rPr>
      </w:pPr>
    </w:p>
    <w:p w14:paraId="69E5CC1F" w14:textId="77777777" w:rsidR="00E33F66" w:rsidRDefault="00000000">
      <w:pPr>
        <w:spacing w:after="0"/>
        <w:rPr>
          <w:rFonts w:cs="Times"/>
          <w:color w:val="000000" w:themeColor="text1"/>
        </w:rPr>
      </w:pPr>
      <w:r>
        <w:rPr>
          <w:rFonts w:cs="Times"/>
          <w:color w:val="000000" w:themeColor="text1"/>
        </w:rPr>
        <w:t>6. The values of INR for various interference types are provided in Table 1. Receiver blocking model is not considered.</w:t>
      </w:r>
    </w:p>
    <w:p w14:paraId="2FD4BF98" w14:textId="77777777" w:rsidR="00E33F66" w:rsidRDefault="00E33F66"/>
    <w:p w14:paraId="0FC6E724" w14:textId="77777777" w:rsidR="00E33F66" w:rsidRDefault="00000000">
      <w:pPr>
        <w:jc w:val="center"/>
        <w:rPr>
          <w:b/>
          <w:bCs/>
        </w:rPr>
      </w:pPr>
      <w:r>
        <w:rPr>
          <w:b/>
          <w:bCs/>
        </w:rPr>
        <w:t xml:space="preserve">Table 1: Various INRs used in </w:t>
      </w:r>
      <w:proofErr w:type="gramStart"/>
      <w:r>
        <w:rPr>
          <w:b/>
          <w:bCs/>
        </w:rPr>
        <w:t>LLS</w:t>
      </w:r>
      <w:proofErr w:type="gramEnd"/>
    </w:p>
    <w:tbl>
      <w:tblPr>
        <w:tblW w:w="9314" w:type="dxa"/>
        <w:tblInd w:w="55" w:type="dxa"/>
        <w:tblCellMar>
          <w:top w:w="55" w:type="dxa"/>
          <w:left w:w="55" w:type="dxa"/>
          <w:bottom w:w="55" w:type="dxa"/>
          <w:right w:w="55" w:type="dxa"/>
        </w:tblCellMar>
        <w:tblLook w:val="04A0" w:firstRow="1" w:lastRow="0" w:firstColumn="1" w:lastColumn="0" w:noHBand="0" w:noVBand="1"/>
      </w:tblPr>
      <w:tblGrid>
        <w:gridCol w:w="2327"/>
        <w:gridCol w:w="2330"/>
        <w:gridCol w:w="4657"/>
      </w:tblGrid>
      <w:tr w:rsidR="00E33F66" w14:paraId="074BEB84" w14:textId="77777777">
        <w:tc>
          <w:tcPr>
            <w:tcW w:w="2327" w:type="dxa"/>
            <w:tcBorders>
              <w:top w:val="single" w:sz="2" w:space="0" w:color="000000"/>
              <w:left w:val="single" w:sz="2" w:space="0" w:color="000000"/>
              <w:bottom w:val="single" w:sz="2" w:space="0" w:color="000000"/>
            </w:tcBorders>
          </w:tcPr>
          <w:p w14:paraId="5C9DF70A" w14:textId="77777777" w:rsidR="00E33F66" w:rsidRDefault="00000000">
            <w:pPr>
              <w:pStyle w:val="TableContents"/>
              <w:rPr>
                <w:b/>
                <w:bCs/>
              </w:rPr>
            </w:pPr>
            <w:r>
              <w:rPr>
                <w:b/>
                <w:bCs/>
              </w:rPr>
              <w:t>Type of Interference</w:t>
            </w:r>
          </w:p>
        </w:tc>
        <w:tc>
          <w:tcPr>
            <w:tcW w:w="2330" w:type="dxa"/>
            <w:tcBorders>
              <w:top w:val="single" w:sz="2" w:space="0" w:color="000000"/>
              <w:left w:val="single" w:sz="2" w:space="0" w:color="000000"/>
              <w:bottom w:val="single" w:sz="2" w:space="0" w:color="000000"/>
            </w:tcBorders>
          </w:tcPr>
          <w:p w14:paraId="331B25DB" w14:textId="77777777" w:rsidR="00E33F66" w:rsidRDefault="00000000">
            <w:pPr>
              <w:pStyle w:val="TableContents"/>
              <w:rPr>
                <w:b/>
                <w:bCs/>
              </w:rPr>
            </w:pPr>
            <w:r>
              <w:rPr>
                <w:b/>
                <w:bCs/>
              </w:rPr>
              <w:t>INR in dB</w:t>
            </w:r>
          </w:p>
        </w:tc>
        <w:tc>
          <w:tcPr>
            <w:tcW w:w="4657" w:type="dxa"/>
            <w:tcBorders>
              <w:top w:val="single" w:sz="2" w:space="0" w:color="000000"/>
              <w:left w:val="single" w:sz="2" w:space="0" w:color="000000"/>
              <w:bottom w:val="single" w:sz="2" w:space="0" w:color="000000"/>
              <w:right w:val="single" w:sz="2" w:space="0" w:color="000000"/>
            </w:tcBorders>
          </w:tcPr>
          <w:p w14:paraId="338819A0" w14:textId="77777777" w:rsidR="00E33F66" w:rsidRDefault="00000000">
            <w:pPr>
              <w:pStyle w:val="TableContents"/>
              <w:rPr>
                <w:b/>
                <w:bCs/>
              </w:rPr>
            </w:pPr>
            <w:r>
              <w:rPr>
                <w:b/>
                <w:bCs/>
              </w:rPr>
              <w:t>Assumptions</w:t>
            </w:r>
          </w:p>
        </w:tc>
      </w:tr>
      <w:tr w:rsidR="00E33F66" w14:paraId="43C57BE5" w14:textId="77777777">
        <w:tc>
          <w:tcPr>
            <w:tcW w:w="2327" w:type="dxa"/>
            <w:tcBorders>
              <w:left w:val="single" w:sz="2" w:space="0" w:color="000000"/>
              <w:bottom w:val="single" w:sz="2" w:space="0" w:color="000000"/>
            </w:tcBorders>
          </w:tcPr>
          <w:p w14:paraId="0696D902" w14:textId="77777777" w:rsidR="00E33F66" w:rsidRDefault="00000000">
            <w:pPr>
              <w:pStyle w:val="TableContents"/>
              <w:rPr>
                <w:rFonts w:cs="Times"/>
              </w:rPr>
            </w:pPr>
            <w:proofErr w:type="spellStart"/>
            <w:r>
              <w:rPr>
                <w:rFonts w:cs="Times"/>
                <w:color w:val="000000"/>
              </w:rPr>
              <w:t>Self interference</w:t>
            </w:r>
            <w:proofErr w:type="spellEnd"/>
            <w:r>
              <w:rPr>
                <w:rFonts w:cs="Times"/>
                <w:color w:val="000000"/>
              </w:rPr>
              <w:t xml:space="preserve"> (SI)</w:t>
            </w:r>
          </w:p>
        </w:tc>
        <w:tc>
          <w:tcPr>
            <w:tcW w:w="2330" w:type="dxa"/>
            <w:tcBorders>
              <w:left w:val="single" w:sz="2" w:space="0" w:color="000000"/>
              <w:bottom w:val="single" w:sz="2" w:space="0" w:color="000000"/>
            </w:tcBorders>
          </w:tcPr>
          <w:p w14:paraId="640FE217" w14:textId="77777777" w:rsidR="00E33F66" w:rsidRDefault="00000000">
            <w:pPr>
              <w:pStyle w:val="TableContents"/>
              <w:rPr>
                <w:rFonts w:cs="Times"/>
              </w:rPr>
            </w:pPr>
            <w:r>
              <w:rPr>
                <w:rFonts w:cs="Times"/>
                <w:color w:val="000000"/>
              </w:rPr>
              <w:t>-6</w:t>
            </w:r>
          </w:p>
        </w:tc>
        <w:tc>
          <w:tcPr>
            <w:tcW w:w="4657" w:type="dxa"/>
            <w:tcBorders>
              <w:left w:val="single" w:sz="2" w:space="0" w:color="000000"/>
              <w:bottom w:val="single" w:sz="2" w:space="0" w:color="000000"/>
              <w:right w:val="single" w:sz="2" w:space="0" w:color="000000"/>
            </w:tcBorders>
          </w:tcPr>
          <w:p w14:paraId="50616751" w14:textId="77777777" w:rsidR="00E33F66" w:rsidRDefault="00000000">
            <w:pPr>
              <w:pStyle w:val="TableContents"/>
              <w:rPr>
                <w:rFonts w:cs="Times"/>
              </w:rPr>
            </w:pPr>
            <w:r>
              <w:rPr>
                <w:rFonts w:cs="Times"/>
                <w:color w:val="000000"/>
              </w:rPr>
              <w:t>Fixed value according to agreement</w:t>
            </w:r>
          </w:p>
        </w:tc>
      </w:tr>
      <w:tr w:rsidR="00E33F66" w14:paraId="348E34E4" w14:textId="77777777">
        <w:tc>
          <w:tcPr>
            <w:tcW w:w="2327" w:type="dxa"/>
            <w:tcBorders>
              <w:left w:val="single" w:sz="2" w:space="0" w:color="000000"/>
              <w:bottom w:val="single" w:sz="2" w:space="0" w:color="000000"/>
            </w:tcBorders>
          </w:tcPr>
          <w:p w14:paraId="0A2EE87F" w14:textId="77777777" w:rsidR="00E33F66" w:rsidRDefault="00000000">
            <w:pPr>
              <w:spacing w:after="0"/>
              <w:jc w:val="left"/>
              <w:rPr>
                <w:rFonts w:cs="Times"/>
              </w:rPr>
            </w:pPr>
            <w:r>
              <w:rPr>
                <w:rFonts w:cs="Times"/>
                <w:color w:val="000000"/>
              </w:rPr>
              <w:t xml:space="preserve">Co-site inter-sector </w:t>
            </w:r>
          </w:p>
        </w:tc>
        <w:tc>
          <w:tcPr>
            <w:tcW w:w="2330" w:type="dxa"/>
            <w:tcBorders>
              <w:left w:val="single" w:sz="2" w:space="0" w:color="000000"/>
              <w:bottom w:val="single" w:sz="2" w:space="0" w:color="000000"/>
            </w:tcBorders>
          </w:tcPr>
          <w:p w14:paraId="4499FD9E" w14:textId="77777777" w:rsidR="00E33F66" w:rsidRDefault="00000000">
            <w:pPr>
              <w:pStyle w:val="TableContents"/>
              <w:rPr>
                <w:rFonts w:cs="Times"/>
              </w:rPr>
            </w:pPr>
            <w:r>
              <w:rPr>
                <w:rFonts w:cs="Times"/>
                <w:color w:val="000000"/>
              </w:rPr>
              <w:t>-5.44</w:t>
            </w:r>
          </w:p>
        </w:tc>
        <w:tc>
          <w:tcPr>
            <w:tcW w:w="4657" w:type="dxa"/>
            <w:tcBorders>
              <w:left w:val="single" w:sz="2" w:space="0" w:color="000000"/>
              <w:bottom w:val="single" w:sz="2" w:space="0" w:color="000000"/>
              <w:right w:val="single" w:sz="2" w:space="0" w:color="000000"/>
            </w:tcBorders>
          </w:tcPr>
          <w:p w14:paraId="62A37A0D" w14:textId="77777777" w:rsidR="00E33F66" w:rsidRDefault="00000000">
            <w:pPr>
              <w:pStyle w:val="TableContents"/>
              <w:rPr>
                <w:rFonts w:cs="Times"/>
              </w:rPr>
            </w:pPr>
            <w:r>
              <w:rPr>
                <w:rFonts w:cs="Times"/>
                <w:color w:val="000000"/>
              </w:rPr>
              <w:t>Taken from [4]</w:t>
            </w:r>
          </w:p>
        </w:tc>
      </w:tr>
      <w:tr w:rsidR="00E33F66" w14:paraId="0049EDF1" w14:textId="77777777">
        <w:tc>
          <w:tcPr>
            <w:tcW w:w="2327" w:type="dxa"/>
            <w:tcBorders>
              <w:left w:val="single" w:sz="2" w:space="0" w:color="000000"/>
              <w:bottom w:val="single" w:sz="2" w:space="0" w:color="000000"/>
            </w:tcBorders>
          </w:tcPr>
          <w:p w14:paraId="4E8FE572" w14:textId="77777777" w:rsidR="00E33F66" w:rsidRDefault="00000000">
            <w:pPr>
              <w:spacing w:after="0"/>
              <w:rPr>
                <w:rFonts w:cs="Times"/>
              </w:rPr>
            </w:pPr>
            <w:r>
              <w:rPr>
                <w:rFonts w:cs="Times"/>
                <w:color w:val="000000"/>
              </w:rPr>
              <w:t xml:space="preserve">Inter-site </w:t>
            </w:r>
            <w:proofErr w:type="spellStart"/>
            <w:r>
              <w:rPr>
                <w:rFonts w:cs="Times"/>
                <w:color w:val="000000"/>
              </w:rPr>
              <w:t>gNB-gNB</w:t>
            </w:r>
            <w:proofErr w:type="spellEnd"/>
          </w:p>
        </w:tc>
        <w:tc>
          <w:tcPr>
            <w:tcW w:w="2330" w:type="dxa"/>
            <w:tcBorders>
              <w:left w:val="single" w:sz="2" w:space="0" w:color="000000"/>
              <w:bottom w:val="single" w:sz="2" w:space="0" w:color="000000"/>
            </w:tcBorders>
          </w:tcPr>
          <w:p w14:paraId="01621F5C" w14:textId="77777777" w:rsidR="00E33F66" w:rsidRDefault="00000000">
            <w:pPr>
              <w:pStyle w:val="TableContents"/>
              <w:rPr>
                <w:rFonts w:cs="Times"/>
              </w:rPr>
            </w:pPr>
            <w:r>
              <w:rPr>
                <w:rFonts w:cs="Times"/>
                <w:color w:val="000000"/>
              </w:rPr>
              <w:t>10.65</w:t>
            </w:r>
          </w:p>
        </w:tc>
        <w:tc>
          <w:tcPr>
            <w:tcW w:w="4657" w:type="dxa"/>
            <w:tcBorders>
              <w:left w:val="single" w:sz="2" w:space="0" w:color="000000"/>
              <w:bottom w:val="single" w:sz="2" w:space="0" w:color="000000"/>
              <w:right w:val="single" w:sz="2" w:space="0" w:color="000000"/>
            </w:tcBorders>
          </w:tcPr>
          <w:p w14:paraId="2C59B0D7" w14:textId="77777777" w:rsidR="00E33F66" w:rsidRDefault="00000000">
            <w:pPr>
              <w:spacing w:after="0"/>
              <w:rPr>
                <w:rFonts w:cs="Times"/>
              </w:rPr>
            </w:pPr>
            <w:r>
              <w:rPr>
                <w:rFonts w:cs="Times"/>
                <w:color w:val="000000"/>
              </w:rPr>
              <w:t>BS Tx Power over 80MHz = 48.03dBm</w:t>
            </w:r>
          </w:p>
          <w:p w14:paraId="07E1E63A" w14:textId="77777777" w:rsidR="00E33F66" w:rsidRDefault="00000000">
            <w:pPr>
              <w:spacing w:after="0"/>
              <w:jc w:val="left"/>
              <w:rPr>
                <w:rFonts w:cs="Times"/>
              </w:rPr>
            </w:pPr>
            <w:r>
              <w:rPr>
                <w:rFonts w:cs="Times"/>
                <w:color w:val="000000"/>
              </w:rPr>
              <w:t>Frequency isolation = 42.46dB</w:t>
            </w:r>
          </w:p>
        </w:tc>
      </w:tr>
      <w:tr w:rsidR="00E33F66" w14:paraId="3F4DD102" w14:textId="77777777">
        <w:tc>
          <w:tcPr>
            <w:tcW w:w="2327" w:type="dxa"/>
            <w:tcBorders>
              <w:left w:val="single" w:sz="2" w:space="0" w:color="000000"/>
              <w:bottom w:val="single" w:sz="2" w:space="0" w:color="000000"/>
            </w:tcBorders>
          </w:tcPr>
          <w:p w14:paraId="2F39EE7C" w14:textId="77777777" w:rsidR="00E33F66" w:rsidRDefault="00000000">
            <w:pPr>
              <w:pStyle w:val="TableContents"/>
              <w:rPr>
                <w:rFonts w:cs="Times"/>
              </w:rPr>
            </w:pPr>
            <w:r>
              <w:rPr>
                <w:rFonts w:cs="Times"/>
                <w:color w:val="000000"/>
              </w:rPr>
              <w:t>UE-</w:t>
            </w:r>
            <w:proofErr w:type="spellStart"/>
            <w:r>
              <w:rPr>
                <w:rFonts w:cs="Times"/>
                <w:color w:val="000000"/>
              </w:rPr>
              <w:t>gNB</w:t>
            </w:r>
            <w:proofErr w:type="spellEnd"/>
            <w:r>
              <w:rPr>
                <w:rFonts w:cs="Times"/>
                <w:color w:val="000000"/>
              </w:rPr>
              <w:t xml:space="preserve"> </w:t>
            </w:r>
          </w:p>
        </w:tc>
        <w:tc>
          <w:tcPr>
            <w:tcW w:w="2330" w:type="dxa"/>
            <w:tcBorders>
              <w:left w:val="single" w:sz="2" w:space="0" w:color="000000"/>
              <w:bottom w:val="single" w:sz="2" w:space="0" w:color="000000"/>
            </w:tcBorders>
          </w:tcPr>
          <w:p w14:paraId="5C7EE885" w14:textId="77777777" w:rsidR="00E33F66" w:rsidRDefault="00000000">
            <w:pPr>
              <w:pStyle w:val="TableContents"/>
              <w:rPr>
                <w:rFonts w:cs="Times"/>
              </w:rPr>
            </w:pPr>
            <w:r>
              <w:rPr>
                <w:rFonts w:cs="Times"/>
                <w:color w:val="000000"/>
              </w:rPr>
              <w:t>37.76</w:t>
            </w:r>
          </w:p>
        </w:tc>
        <w:tc>
          <w:tcPr>
            <w:tcW w:w="4657" w:type="dxa"/>
            <w:tcBorders>
              <w:left w:val="single" w:sz="2" w:space="0" w:color="000000"/>
              <w:bottom w:val="single" w:sz="2" w:space="0" w:color="000000"/>
              <w:right w:val="single" w:sz="2" w:space="0" w:color="000000"/>
            </w:tcBorders>
          </w:tcPr>
          <w:p w14:paraId="0BAB2241" w14:textId="77777777" w:rsidR="00E33F66" w:rsidRDefault="00000000">
            <w:pPr>
              <w:pStyle w:val="TableContents"/>
              <w:rPr>
                <w:rFonts w:cs="Times"/>
              </w:rPr>
            </w:pPr>
            <w:r>
              <w:rPr>
                <w:rFonts w:cs="Times"/>
                <w:color w:val="000000"/>
              </w:rPr>
              <w:t>UE Tx power = 23dBm</w:t>
            </w:r>
          </w:p>
        </w:tc>
      </w:tr>
    </w:tbl>
    <w:p w14:paraId="275818D0" w14:textId="77777777" w:rsidR="00E33F66" w:rsidRDefault="00E33F66">
      <w:pPr>
        <w:jc w:val="center"/>
      </w:pPr>
    </w:p>
    <w:p w14:paraId="79BCAA4B" w14:textId="77777777" w:rsidR="00E33F66" w:rsidRDefault="00000000">
      <w:pPr>
        <w:jc w:val="left"/>
      </w:pPr>
      <w:r>
        <w:rPr>
          <w:rFonts w:cs="Times"/>
          <w:color w:val="000000"/>
        </w:rPr>
        <w:t xml:space="preserve">7. The BLER vs SNR is plotted for TDD and SBFD systems. It is observed that the required SNR for TDD system is 1dB approx. and for SBFD system is -3.8dB approx. The observed gain is around 4.8dB from the repetition of PUSCH over the 5 slots. Fig. 1 shows the </w:t>
      </w:r>
      <w:proofErr w:type="gramStart"/>
      <w:r>
        <w:rPr>
          <w:rFonts w:cs="Times"/>
          <w:color w:val="000000"/>
        </w:rPr>
        <w:t>plots</w:t>
      </w:r>
      <w:proofErr w:type="gramEnd"/>
      <w:r>
        <w:rPr>
          <w:rFonts w:cs="Times"/>
          <w:color w:val="000000"/>
        </w:rPr>
        <w:t>.</w:t>
      </w:r>
    </w:p>
    <w:p w14:paraId="55DDEB11" w14:textId="77777777" w:rsidR="00E33F66" w:rsidRDefault="00000000">
      <w:pPr>
        <w:jc w:val="center"/>
        <w:rPr>
          <w:b/>
          <w:bCs/>
        </w:rPr>
      </w:pPr>
      <w:r>
        <w:rPr>
          <w:b/>
          <w:bCs/>
          <w:color w:val="000000"/>
        </w:rPr>
        <w:lastRenderedPageBreak/>
        <w:t> </w:t>
      </w:r>
      <w:r>
        <w:rPr>
          <w:noProof/>
        </w:rPr>
        <w:drawing>
          <wp:inline distT="0" distB="0" distL="0" distR="0" wp14:anchorId="3F5D759B" wp14:editId="7F758B54">
            <wp:extent cx="2926080" cy="2139315"/>
            <wp:effectExtent l="0" t="0" r="0" b="0"/>
            <wp:docPr id="35" name="Image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333"/>
                    <pic:cNvPicPr>
                      <a:picLocks noChangeAspect="1" noChangeArrowheads="1"/>
                    </pic:cNvPicPr>
                  </pic:nvPicPr>
                  <pic:blipFill>
                    <a:blip r:embed="rId24"/>
                    <a:stretch>
                      <a:fillRect/>
                    </a:stretch>
                  </pic:blipFill>
                  <pic:spPr bwMode="auto">
                    <a:xfrm>
                      <a:off x="0" y="0"/>
                      <a:ext cx="2926080" cy="2139315"/>
                    </a:xfrm>
                    <a:prstGeom prst="rect">
                      <a:avLst/>
                    </a:prstGeom>
                  </pic:spPr>
                </pic:pic>
              </a:graphicData>
            </a:graphic>
          </wp:inline>
        </w:drawing>
      </w:r>
    </w:p>
    <w:p w14:paraId="3D8FD3B4" w14:textId="77777777" w:rsidR="00E33F66" w:rsidRDefault="00000000">
      <w:pPr>
        <w:jc w:val="center"/>
        <w:rPr>
          <w:b/>
          <w:bCs/>
        </w:rPr>
      </w:pPr>
      <w:r>
        <w:rPr>
          <w:b/>
          <w:bCs/>
        </w:rPr>
        <w:t>Fig. 1: BLER vs SNR (dB) plot</w:t>
      </w:r>
    </w:p>
    <w:p w14:paraId="51B962C7" w14:textId="77777777" w:rsidR="00E33F66" w:rsidRDefault="00E33F66">
      <w:pPr>
        <w:jc w:val="center"/>
        <w:rPr>
          <w:b/>
          <w:bCs/>
        </w:rPr>
      </w:pPr>
    </w:p>
    <w:p w14:paraId="500F4395" w14:textId="77777777" w:rsidR="00E33F66" w:rsidRDefault="00000000">
      <w:r>
        <w:t xml:space="preserve">8. The MCL, MIL and MPL values are calculated for TDD and SBFD systems and captured in table 2. </w:t>
      </w:r>
    </w:p>
    <w:p w14:paraId="74A09C6B" w14:textId="77777777" w:rsidR="00E33F66" w:rsidRDefault="00000000">
      <w:pPr>
        <w:rPr>
          <w:b/>
          <w:bCs/>
        </w:rPr>
      </w:pPr>
      <w:r>
        <w:rPr>
          <w:b/>
          <w:bCs/>
        </w:rPr>
        <w:t xml:space="preserve">Observation 1: </w:t>
      </w:r>
    </w:p>
    <w:p w14:paraId="509DA749" w14:textId="77777777" w:rsidR="00E33F66" w:rsidRDefault="00000000">
      <w:pPr>
        <w:jc w:val="left"/>
      </w:pPr>
      <w:r>
        <w:rPr>
          <w:b/>
          <w:bCs/>
        </w:rPr>
        <w:t>LLS to evaluate coverage enhancements for PUSCH repetition type A in FR</w:t>
      </w:r>
      <w:proofErr w:type="gramStart"/>
      <w:r>
        <w:rPr>
          <w:b/>
          <w:bCs/>
        </w:rPr>
        <w:t>1  has</w:t>
      </w:r>
      <w:proofErr w:type="gramEnd"/>
      <w:r>
        <w:rPr>
          <w:b/>
          <w:bCs/>
        </w:rPr>
        <w:t xml:space="preserve"> been conducted for TDD and SBFD  and the results are captured in the table below.</w:t>
      </w:r>
    </w:p>
    <w:p w14:paraId="4B278372" w14:textId="77777777" w:rsidR="00E33F66" w:rsidRDefault="00000000">
      <w:pPr>
        <w:jc w:val="center"/>
        <w:rPr>
          <w:b/>
          <w:bCs/>
        </w:rPr>
      </w:pPr>
      <w:r>
        <w:rPr>
          <w:b/>
          <w:bCs/>
        </w:rPr>
        <w:t>Table: 2 LLS results</w:t>
      </w:r>
    </w:p>
    <w:tbl>
      <w:tblPr>
        <w:tblW w:w="4700" w:type="pct"/>
        <w:jc w:val="center"/>
        <w:tblLook w:val="04A0" w:firstRow="1" w:lastRow="0" w:firstColumn="1" w:lastColumn="0" w:noHBand="0" w:noVBand="1"/>
      </w:tblPr>
      <w:tblGrid>
        <w:gridCol w:w="1202"/>
        <w:gridCol w:w="1146"/>
        <w:gridCol w:w="1071"/>
        <w:gridCol w:w="940"/>
        <w:gridCol w:w="934"/>
        <w:gridCol w:w="938"/>
        <w:gridCol w:w="2727"/>
      </w:tblGrid>
      <w:tr w:rsidR="00E33F66" w14:paraId="50CE618D" w14:textId="77777777">
        <w:trPr>
          <w:trHeight w:val="348"/>
          <w:jc w:val="center"/>
        </w:trPr>
        <w:tc>
          <w:tcPr>
            <w:tcW w:w="8754" w:type="dxa"/>
            <w:gridSpan w:val="7"/>
            <w:tcBorders>
              <w:top w:val="single" w:sz="4" w:space="0" w:color="000000"/>
              <w:left w:val="single" w:sz="4" w:space="0" w:color="000000"/>
              <w:bottom w:val="single" w:sz="4" w:space="0" w:color="000000"/>
              <w:right w:val="single" w:sz="4" w:space="0" w:color="000000"/>
            </w:tcBorders>
            <w:vAlign w:val="center"/>
          </w:tcPr>
          <w:p w14:paraId="45EA83C8" w14:textId="77777777" w:rsidR="00E33F66" w:rsidRDefault="00000000">
            <w:pPr>
              <w:jc w:val="center"/>
              <w:rPr>
                <w:rFonts w:cs="Times"/>
                <w:szCs w:val="20"/>
              </w:rPr>
            </w:pPr>
            <w:r>
              <w:rPr>
                <w:rFonts w:cs="Times"/>
                <w:szCs w:val="20"/>
              </w:rPr>
              <w:t>PUSCH-FR1-Urban Macro</w:t>
            </w:r>
          </w:p>
        </w:tc>
      </w:tr>
      <w:tr w:rsidR="00E33F66" w14:paraId="608E1EB9" w14:textId="77777777">
        <w:trPr>
          <w:trHeight w:val="707"/>
          <w:jc w:val="center"/>
        </w:trPr>
        <w:tc>
          <w:tcPr>
            <w:tcW w:w="1174" w:type="dxa"/>
            <w:tcBorders>
              <w:top w:val="single" w:sz="4" w:space="0" w:color="000000"/>
              <w:left w:val="single" w:sz="4" w:space="0" w:color="000000"/>
              <w:bottom w:val="single" w:sz="4" w:space="0" w:color="000000"/>
            </w:tcBorders>
            <w:vAlign w:val="center"/>
          </w:tcPr>
          <w:p w14:paraId="18814C85" w14:textId="77777777" w:rsidR="00E33F66" w:rsidRDefault="00000000">
            <w:pPr>
              <w:jc w:val="center"/>
              <w:rPr>
                <w:rFonts w:cs="Times"/>
                <w:sz w:val="18"/>
                <w:szCs w:val="18"/>
              </w:rPr>
            </w:pPr>
            <w:r>
              <w:rPr>
                <w:rFonts w:cs="Times"/>
                <w:sz w:val="18"/>
                <w:szCs w:val="18"/>
              </w:rPr>
              <w:t>Company name</w:t>
            </w:r>
          </w:p>
        </w:tc>
        <w:tc>
          <w:tcPr>
            <w:tcW w:w="1119" w:type="dxa"/>
            <w:tcBorders>
              <w:top w:val="single" w:sz="4" w:space="0" w:color="000000"/>
              <w:left w:val="single" w:sz="4" w:space="0" w:color="000000"/>
              <w:bottom w:val="single" w:sz="4" w:space="0" w:color="000000"/>
            </w:tcBorders>
            <w:vAlign w:val="center"/>
          </w:tcPr>
          <w:p w14:paraId="33614C2E" w14:textId="77777777" w:rsidR="00E33F66" w:rsidRDefault="00000000">
            <w:pPr>
              <w:jc w:val="center"/>
              <w:rPr>
                <w:rFonts w:cs="Times"/>
                <w:sz w:val="18"/>
                <w:szCs w:val="18"/>
              </w:rPr>
            </w:pPr>
            <w:r>
              <w:rPr>
                <w:rFonts w:cs="Times"/>
                <w:sz w:val="18"/>
                <w:szCs w:val="18"/>
              </w:rPr>
              <w:t>TDD/SBFD</w:t>
            </w:r>
          </w:p>
        </w:tc>
        <w:tc>
          <w:tcPr>
            <w:tcW w:w="1047" w:type="dxa"/>
            <w:tcBorders>
              <w:top w:val="single" w:sz="4" w:space="0" w:color="000000"/>
              <w:left w:val="single" w:sz="4" w:space="0" w:color="000000"/>
              <w:bottom w:val="single" w:sz="4" w:space="0" w:color="000000"/>
            </w:tcBorders>
            <w:vAlign w:val="center"/>
          </w:tcPr>
          <w:p w14:paraId="36B44D97" w14:textId="77777777" w:rsidR="00E33F66" w:rsidRDefault="00000000">
            <w:pPr>
              <w:jc w:val="center"/>
              <w:rPr>
                <w:rFonts w:cs="Times"/>
                <w:sz w:val="18"/>
                <w:szCs w:val="18"/>
              </w:rPr>
            </w:pPr>
            <w:r>
              <w:rPr>
                <w:rFonts w:cs="Times"/>
                <w:sz w:val="18"/>
                <w:szCs w:val="18"/>
              </w:rPr>
              <w:t>Required SNR</w:t>
            </w:r>
          </w:p>
        </w:tc>
        <w:tc>
          <w:tcPr>
            <w:tcW w:w="919" w:type="dxa"/>
            <w:tcBorders>
              <w:top w:val="single" w:sz="4" w:space="0" w:color="000000"/>
              <w:left w:val="single" w:sz="4" w:space="0" w:color="000000"/>
              <w:bottom w:val="single" w:sz="4" w:space="0" w:color="000000"/>
            </w:tcBorders>
            <w:vAlign w:val="center"/>
          </w:tcPr>
          <w:p w14:paraId="3E115B45" w14:textId="77777777" w:rsidR="00E33F66" w:rsidRDefault="00000000">
            <w:pPr>
              <w:jc w:val="center"/>
              <w:rPr>
                <w:rFonts w:cs="Times"/>
                <w:sz w:val="18"/>
                <w:szCs w:val="18"/>
              </w:rPr>
            </w:pPr>
            <w:r>
              <w:rPr>
                <w:rFonts w:cs="Times"/>
                <w:sz w:val="18"/>
                <w:szCs w:val="18"/>
              </w:rPr>
              <w:t>MCL</w:t>
            </w:r>
          </w:p>
        </w:tc>
        <w:tc>
          <w:tcPr>
            <w:tcW w:w="913" w:type="dxa"/>
            <w:tcBorders>
              <w:top w:val="single" w:sz="4" w:space="0" w:color="000000"/>
              <w:left w:val="single" w:sz="4" w:space="0" w:color="000000"/>
              <w:bottom w:val="single" w:sz="4" w:space="0" w:color="000000"/>
            </w:tcBorders>
            <w:vAlign w:val="center"/>
          </w:tcPr>
          <w:p w14:paraId="3AE72F7F" w14:textId="77777777" w:rsidR="00E33F66" w:rsidRDefault="00000000">
            <w:pPr>
              <w:jc w:val="center"/>
              <w:rPr>
                <w:rFonts w:cs="Times"/>
                <w:sz w:val="18"/>
                <w:szCs w:val="18"/>
              </w:rPr>
            </w:pPr>
            <w:r>
              <w:rPr>
                <w:rFonts w:cs="Times"/>
                <w:sz w:val="18"/>
                <w:szCs w:val="18"/>
              </w:rPr>
              <w:t>MIL</w:t>
            </w:r>
          </w:p>
        </w:tc>
        <w:tc>
          <w:tcPr>
            <w:tcW w:w="917" w:type="dxa"/>
            <w:tcBorders>
              <w:top w:val="single" w:sz="4" w:space="0" w:color="000000"/>
              <w:left w:val="single" w:sz="4" w:space="0" w:color="000000"/>
              <w:bottom w:val="single" w:sz="4" w:space="0" w:color="000000"/>
            </w:tcBorders>
            <w:vAlign w:val="center"/>
          </w:tcPr>
          <w:p w14:paraId="5215F546" w14:textId="77777777" w:rsidR="00E33F66" w:rsidRDefault="00000000">
            <w:pPr>
              <w:jc w:val="center"/>
              <w:rPr>
                <w:rFonts w:cs="Times"/>
                <w:sz w:val="18"/>
                <w:szCs w:val="18"/>
              </w:rPr>
            </w:pPr>
            <w:r>
              <w:rPr>
                <w:rFonts w:cs="Times"/>
                <w:sz w:val="18"/>
                <w:szCs w:val="18"/>
              </w:rPr>
              <w:t>MPL</w:t>
            </w:r>
          </w:p>
        </w:tc>
        <w:tc>
          <w:tcPr>
            <w:tcW w:w="2665" w:type="dxa"/>
            <w:tcBorders>
              <w:top w:val="single" w:sz="4" w:space="0" w:color="000000"/>
              <w:left w:val="single" w:sz="4" w:space="0" w:color="000000"/>
              <w:bottom w:val="single" w:sz="4" w:space="0" w:color="000000"/>
              <w:right w:val="single" w:sz="4" w:space="0" w:color="000000"/>
            </w:tcBorders>
            <w:vAlign w:val="center"/>
          </w:tcPr>
          <w:p w14:paraId="2F6F6BFA" w14:textId="77777777" w:rsidR="00E33F66" w:rsidRDefault="00000000">
            <w:pPr>
              <w:jc w:val="center"/>
              <w:rPr>
                <w:rFonts w:cs="Times"/>
                <w:sz w:val="18"/>
                <w:szCs w:val="18"/>
              </w:rPr>
            </w:pPr>
            <w:r>
              <w:rPr>
                <w:rFonts w:cs="Times"/>
                <w:sz w:val="18"/>
                <w:szCs w:val="18"/>
              </w:rPr>
              <w:t>Key assumptions</w:t>
            </w:r>
          </w:p>
        </w:tc>
      </w:tr>
      <w:tr w:rsidR="00E33F66" w14:paraId="266B7767" w14:textId="77777777">
        <w:trPr>
          <w:trHeight w:val="348"/>
          <w:jc w:val="center"/>
        </w:trPr>
        <w:tc>
          <w:tcPr>
            <w:tcW w:w="1174" w:type="dxa"/>
            <w:vMerge w:val="restart"/>
            <w:tcBorders>
              <w:top w:val="single" w:sz="4" w:space="0" w:color="000000"/>
              <w:left w:val="single" w:sz="4" w:space="0" w:color="000000"/>
              <w:bottom w:val="single" w:sz="4" w:space="0" w:color="000000"/>
            </w:tcBorders>
            <w:vAlign w:val="center"/>
          </w:tcPr>
          <w:p w14:paraId="473D954B" w14:textId="77777777" w:rsidR="00E33F66" w:rsidRDefault="00000000">
            <w:pPr>
              <w:jc w:val="center"/>
              <w:rPr>
                <w:rFonts w:cs="Times"/>
                <w:sz w:val="18"/>
                <w:szCs w:val="18"/>
              </w:rPr>
            </w:pPr>
            <w:r>
              <w:rPr>
                <w:rFonts w:cs="Times"/>
                <w:sz w:val="18"/>
                <w:szCs w:val="18"/>
              </w:rPr>
              <w:t>CEWiT</w:t>
            </w:r>
          </w:p>
        </w:tc>
        <w:tc>
          <w:tcPr>
            <w:tcW w:w="1119" w:type="dxa"/>
            <w:tcBorders>
              <w:top w:val="single" w:sz="4" w:space="0" w:color="000000"/>
              <w:left w:val="single" w:sz="4" w:space="0" w:color="000000"/>
              <w:bottom w:val="single" w:sz="4" w:space="0" w:color="000000"/>
            </w:tcBorders>
            <w:vAlign w:val="center"/>
          </w:tcPr>
          <w:p w14:paraId="20954247" w14:textId="77777777" w:rsidR="00E33F66" w:rsidRDefault="00000000">
            <w:pPr>
              <w:jc w:val="center"/>
              <w:rPr>
                <w:rFonts w:cs="Times"/>
                <w:sz w:val="18"/>
                <w:szCs w:val="18"/>
              </w:rPr>
            </w:pPr>
            <w:r>
              <w:rPr>
                <w:rFonts w:cs="Times"/>
                <w:sz w:val="18"/>
                <w:szCs w:val="18"/>
              </w:rPr>
              <w:t>TDD</w:t>
            </w:r>
          </w:p>
        </w:tc>
        <w:tc>
          <w:tcPr>
            <w:tcW w:w="1047" w:type="dxa"/>
            <w:tcBorders>
              <w:top w:val="single" w:sz="4" w:space="0" w:color="000000"/>
              <w:left w:val="single" w:sz="4" w:space="0" w:color="000000"/>
              <w:bottom w:val="single" w:sz="4" w:space="0" w:color="000000"/>
            </w:tcBorders>
            <w:vAlign w:val="center"/>
          </w:tcPr>
          <w:p w14:paraId="191C6414" w14:textId="77777777" w:rsidR="00E33F66" w:rsidRDefault="00000000">
            <w:pPr>
              <w:jc w:val="center"/>
              <w:rPr>
                <w:rFonts w:cs="Times"/>
                <w:sz w:val="18"/>
                <w:szCs w:val="18"/>
              </w:rPr>
            </w:pPr>
            <w:r>
              <w:rPr>
                <w:rFonts w:cs="Times"/>
                <w:sz w:val="18"/>
                <w:szCs w:val="18"/>
              </w:rPr>
              <w:t>1 dB</w:t>
            </w:r>
          </w:p>
        </w:tc>
        <w:tc>
          <w:tcPr>
            <w:tcW w:w="919" w:type="dxa"/>
            <w:tcBorders>
              <w:top w:val="single" w:sz="4" w:space="0" w:color="000000"/>
              <w:left w:val="single" w:sz="4" w:space="0" w:color="000000"/>
              <w:bottom w:val="single" w:sz="4" w:space="0" w:color="000000"/>
            </w:tcBorders>
            <w:vAlign w:val="center"/>
          </w:tcPr>
          <w:p w14:paraId="71381546" w14:textId="77777777" w:rsidR="00E33F66" w:rsidRDefault="00000000">
            <w:pPr>
              <w:jc w:val="center"/>
              <w:rPr>
                <w:rFonts w:cs="Times"/>
                <w:sz w:val="18"/>
                <w:szCs w:val="18"/>
              </w:rPr>
            </w:pPr>
            <w:r>
              <w:rPr>
                <w:rFonts w:cs="Times"/>
                <w:sz w:val="18"/>
                <w:szCs w:val="18"/>
              </w:rPr>
              <w:t>129.25</w:t>
            </w:r>
          </w:p>
        </w:tc>
        <w:tc>
          <w:tcPr>
            <w:tcW w:w="913" w:type="dxa"/>
            <w:tcBorders>
              <w:top w:val="single" w:sz="4" w:space="0" w:color="000000"/>
              <w:left w:val="single" w:sz="4" w:space="0" w:color="000000"/>
              <w:bottom w:val="single" w:sz="4" w:space="0" w:color="000000"/>
            </w:tcBorders>
            <w:vAlign w:val="center"/>
          </w:tcPr>
          <w:p w14:paraId="0F951F9C" w14:textId="77777777" w:rsidR="00E33F66" w:rsidRDefault="00000000">
            <w:pPr>
              <w:jc w:val="center"/>
              <w:rPr>
                <w:rFonts w:cs="Times"/>
                <w:sz w:val="18"/>
                <w:szCs w:val="18"/>
              </w:rPr>
            </w:pPr>
            <w:r>
              <w:rPr>
                <w:rFonts w:cs="Times"/>
                <w:sz w:val="18"/>
                <w:szCs w:val="18"/>
              </w:rPr>
              <w:t>139.02</w:t>
            </w:r>
          </w:p>
        </w:tc>
        <w:tc>
          <w:tcPr>
            <w:tcW w:w="917" w:type="dxa"/>
            <w:tcBorders>
              <w:top w:val="single" w:sz="4" w:space="0" w:color="000000"/>
              <w:left w:val="single" w:sz="4" w:space="0" w:color="000000"/>
              <w:bottom w:val="single" w:sz="4" w:space="0" w:color="000000"/>
            </w:tcBorders>
            <w:vAlign w:val="center"/>
          </w:tcPr>
          <w:p w14:paraId="66EA5CD7" w14:textId="77777777" w:rsidR="00E33F66" w:rsidRDefault="00000000">
            <w:pPr>
              <w:jc w:val="center"/>
              <w:rPr>
                <w:rFonts w:cs="Times"/>
                <w:sz w:val="18"/>
                <w:szCs w:val="18"/>
              </w:rPr>
            </w:pPr>
            <w:r>
              <w:rPr>
                <w:rFonts w:cs="Times"/>
                <w:sz w:val="18"/>
                <w:szCs w:val="18"/>
              </w:rPr>
              <w:t>108.29</w:t>
            </w:r>
          </w:p>
        </w:tc>
        <w:tc>
          <w:tcPr>
            <w:tcW w:w="2665" w:type="dxa"/>
            <w:vMerge w:val="restart"/>
            <w:tcBorders>
              <w:top w:val="single" w:sz="4" w:space="0" w:color="000000"/>
              <w:left w:val="single" w:sz="4" w:space="0" w:color="000000"/>
              <w:bottom w:val="single" w:sz="4" w:space="0" w:color="000000"/>
              <w:right w:val="single" w:sz="4" w:space="0" w:color="000000"/>
            </w:tcBorders>
            <w:vAlign w:val="center"/>
          </w:tcPr>
          <w:p w14:paraId="47F894A6" w14:textId="77777777" w:rsidR="00E33F66" w:rsidRDefault="00000000">
            <w:pPr>
              <w:pStyle w:val="TableContents"/>
              <w:jc w:val="left"/>
              <w:rPr>
                <w:rFonts w:cs="Times"/>
                <w:sz w:val="18"/>
                <w:szCs w:val="18"/>
              </w:rPr>
            </w:pPr>
            <w:r>
              <w:rPr>
                <w:rFonts w:cs="Times"/>
                <w:sz w:val="18"/>
                <w:szCs w:val="18"/>
              </w:rPr>
              <w:t>Evaluation method: Option-1 (Example-1)</w:t>
            </w:r>
            <w:r>
              <w:rPr>
                <w:rFonts w:cs="Times"/>
                <w:sz w:val="18"/>
                <w:szCs w:val="18"/>
              </w:rPr>
              <w:br/>
              <w:t>- INR of co-site inter-sector interference (dB): -5.44</w:t>
            </w:r>
            <w:r>
              <w:rPr>
                <w:rFonts w:cs="Times"/>
                <w:sz w:val="18"/>
                <w:szCs w:val="18"/>
              </w:rPr>
              <w:br/>
              <w:t xml:space="preserve">- total INR of all inter-site </w:t>
            </w:r>
            <w:proofErr w:type="spellStart"/>
            <w:r>
              <w:rPr>
                <w:rFonts w:cs="Times"/>
                <w:sz w:val="18"/>
                <w:szCs w:val="18"/>
              </w:rPr>
              <w:t>gNB-gNB</w:t>
            </w:r>
            <w:proofErr w:type="spellEnd"/>
            <w:r>
              <w:rPr>
                <w:rFonts w:cs="Times"/>
                <w:sz w:val="18"/>
                <w:szCs w:val="18"/>
              </w:rPr>
              <w:t xml:space="preserve"> CLI (dB): 10.65</w:t>
            </w:r>
            <w:r>
              <w:rPr>
                <w:rFonts w:cs="Times"/>
                <w:sz w:val="18"/>
                <w:szCs w:val="18"/>
              </w:rPr>
              <w:br/>
              <w:t>- total INR of all UE-</w:t>
            </w:r>
            <w:proofErr w:type="spellStart"/>
            <w:r>
              <w:rPr>
                <w:rFonts w:cs="Times"/>
                <w:sz w:val="18"/>
                <w:szCs w:val="18"/>
              </w:rPr>
              <w:t>gNB</w:t>
            </w:r>
            <w:proofErr w:type="spellEnd"/>
            <w:r>
              <w:rPr>
                <w:rFonts w:cs="Times"/>
                <w:sz w:val="18"/>
                <w:szCs w:val="18"/>
              </w:rPr>
              <w:t xml:space="preserve"> CLI (dB): 37.76</w:t>
            </w:r>
            <w:r>
              <w:rPr>
                <w:rFonts w:cs="Times"/>
                <w:sz w:val="18"/>
                <w:szCs w:val="18"/>
              </w:rPr>
              <w:br/>
              <w:t xml:space="preserve">Others: 30RB, Repetition=5 </w:t>
            </w:r>
          </w:p>
        </w:tc>
      </w:tr>
      <w:tr w:rsidR="00E33F66" w14:paraId="1C8A36A1" w14:textId="77777777">
        <w:trPr>
          <w:trHeight w:val="198"/>
          <w:jc w:val="center"/>
        </w:trPr>
        <w:tc>
          <w:tcPr>
            <w:tcW w:w="1174" w:type="dxa"/>
            <w:vMerge/>
            <w:tcBorders>
              <w:top w:val="single" w:sz="4" w:space="0" w:color="000000"/>
              <w:left w:val="single" w:sz="4" w:space="0" w:color="000000"/>
              <w:bottom w:val="single" w:sz="4" w:space="0" w:color="000000"/>
            </w:tcBorders>
            <w:vAlign w:val="center"/>
          </w:tcPr>
          <w:p w14:paraId="03D06EC2" w14:textId="77777777" w:rsidR="00E33F66" w:rsidRDefault="00E33F66"/>
        </w:tc>
        <w:tc>
          <w:tcPr>
            <w:tcW w:w="1119" w:type="dxa"/>
            <w:tcBorders>
              <w:top w:val="single" w:sz="4" w:space="0" w:color="000000"/>
              <w:left w:val="single" w:sz="4" w:space="0" w:color="000000"/>
              <w:bottom w:val="single" w:sz="4" w:space="0" w:color="000000"/>
            </w:tcBorders>
            <w:vAlign w:val="center"/>
          </w:tcPr>
          <w:p w14:paraId="6E35AEC3" w14:textId="77777777" w:rsidR="00E33F66" w:rsidRDefault="00000000">
            <w:pPr>
              <w:jc w:val="center"/>
              <w:rPr>
                <w:rFonts w:cs="Times"/>
                <w:sz w:val="18"/>
                <w:szCs w:val="18"/>
              </w:rPr>
            </w:pPr>
            <w:r>
              <w:rPr>
                <w:rFonts w:cs="Times"/>
                <w:sz w:val="18"/>
                <w:szCs w:val="18"/>
              </w:rPr>
              <w:t>SBFD</w:t>
            </w:r>
          </w:p>
        </w:tc>
        <w:tc>
          <w:tcPr>
            <w:tcW w:w="1047" w:type="dxa"/>
            <w:tcBorders>
              <w:top w:val="single" w:sz="4" w:space="0" w:color="000000"/>
              <w:left w:val="single" w:sz="4" w:space="0" w:color="000000"/>
              <w:bottom w:val="single" w:sz="4" w:space="0" w:color="000000"/>
            </w:tcBorders>
            <w:vAlign w:val="center"/>
          </w:tcPr>
          <w:p w14:paraId="1C7E6814" w14:textId="77777777" w:rsidR="00E33F66" w:rsidRDefault="00000000">
            <w:pPr>
              <w:jc w:val="center"/>
              <w:rPr>
                <w:rFonts w:cs="Times"/>
                <w:sz w:val="18"/>
                <w:szCs w:val="18"/>
              </w:rPr>
            </w:pPr>
            <w:r>
              <w:rPr>
                <w:rFonts w:cs="Times"/>
                <w:sz w:val="18"/>
                <w:szCs w:val="18"/>
              </w:rPr>
              <w:t>-3.8 dB</w:t>
            </w:r>
          </w:p>
        </w:tc>
        <w:tc>
          <w:tcPr>
            <w:tcW w:w="919" w:type="dxa"/>
            <w:tcBorders>
              <w:top w:val="single" w:sz="4" w:space="0" w:color="000000"/>
              <w:left w:val="single" w:sz="4" w:space="0" w:color="000000"/>
              <w:bottom w:val="single" w:sz="4" w:space="0" w:color="000000"/>
            </w:tcBorders>
            <w:vAlign w:val="center"/>
          </w:tcPr>
          <w:p w14:paraId="386B76D9" w14:textId="77777777" w:rsidR="00E33F66" w:rsidRDefault="00000000">
            <w:pPr>
              <w:jc w:val="center"/>
              <w:rPr>
                <w:rFonts w:cs="Times"/>
                <w:sz w:val="18"/>
                <w:szCs w:val="18"/>
              </w:rPr>
            </w:pPr>
            <w:r>
              <w:rPr>
                <w:rFonts w:cs="Times"/>
                <w:sz w:val="18"/>
                <w:szCs w:val="18"/>
              </w:rPr>
              <w:t>134.05</w:t>
            </w:r>
          </w:p>
        </w:tc>
        <w:tc>
          <w:tcPr>
            <w:tcW w:w="913" w:type="dxa"/>
            <w:tcBorders>
              <w:top w:val="single" w:sz="4" w:space="0" w:color="000000"/>
              <w:left w:val="single" w:sz="4" w:space="0" w:color="000000"/>
              <w:bottom w:val="single" w:sz="4" w:space="0" w:color="000000"/>
            </w:tcBorders>
            <w:vAlign w:val="center"/>
          </w:tcPr>
          <w:p w14:paraId="0DBB236C" w14:textId="77777777" w:rsidR="00E33F66" w:rsidRDefault="00000000">
            <w:pPr>
              <w:jc w:val="center"/>
              <w:rPr>
                <w:rFonts w:cs="Times"/>
                <w:sz w:val="18"/>
                <w:szCs w:val="18"/>
              </w:rPr>
            </w:pPr>
            <w:r>
              <w:rPr>
                <w:rFonts w:cs="Times"/>
                <w:sz w:val="18"/>
                <w:szCs w:val="18"/>
              </w:rPr>
              <w:t>143.82</w:t>
            </w:r>
          </w:p>
        </w:tc>
        <w:tc>
          <w:tcPr>
            <w:tcW w:w="917" w:type="dxa"/>
            <w:tcBorders>
              <w:top w:val="single" w:sz="4" w:space="0" w:color="000000"/>
              <w:left w:val="single" w:sz="4" w:space="0" w:color="000000"/>
              <w:bottom w:val="single" w:sz="4" w:space="0" w:color="000000"/>
            </w:tcBorders>
            <w:vAlign w:val="center"/>
          </w:tcPr>
          <w:p w14:paraId="5F4AAFBD" w14:textId="77777777" w:rsidR="00E33F66" w:rsidRDefault="00000000">
            <w:pPr>
              <w:jc w:val="center"/>
              <w:rPr>
                <w:rFonts w:cs="Times"/>
                <w:sz w:val="18"/>
                <w:szCs w:val="18"/>
              </w:rPr>
            </w:pPr>
            <w:r>
              <w:rPr>
                <w:rFonts w:cs="Times"/>
                <w:sz w:val="18"/>
                <w:szCs w:val="18"/>
              </w:rPr>
              <w:t>113.09</w:t>
            </w:r>
          </w:p>
        </w:tc>
        <w:tc>
          <w:tcPr>
            <w:tcW w:w="2665" w:type="dxa"/>
            <w:vMerge/>
            <w:tcBorders>
              <w:top w:val="single" w:sz="4" w:space="0" w:color="000000"/>
              <w:left w:val="single" w:sz="4" w:space="0" w:color="000000"/>
              <w:bottom w:val="single" w:sz="4" w:space="0" w:color="000000"/>
              <w:right w:val="single" w:sz="4" w:space="0" w:color="000000"/>
            </w:tcBorders>
            <w:vAlign w:val="center"/>
          </w:tcPr>
          <w:p w14:paraId="4F44C6C4" w14:textId="77777777" w:rsidR="00E33F66" w:rsidRDefault="00E33F66"/>
        </w:tc>
      </w:tr>
      <w:tr w:rsidR="00E33F66" w14:paraId="53C4F49E" w14:textId="77777777">
        <w:trPr>
          <w:trHeight w:val="198"/>
          <w:jc w:val="center"/>
        </w:trPr>
        <w:tc>
          <w:tcPr>
            <w:tcW w:w="1174" w:type="dxa"/>
            <w:vMerge/>
            <w:tcBorders>
              <w:top w:val="single" w:sz="4" w:space="0" w:color="000000"/>
              <w:left w:val="single" w:sz="4" w:space="0" w:color="000000"/>
              <w:bottom w:val="single" w:sz="4" w:space="0" w:color="000000"/>
            </w:tcBorders>
            <w:vAlign w:val="center"/>
          </w:tcPr>
          <w:p w14:paraId="7D5E87C4" w14:textId="77777777" w:rsidR="00E33F66" w:rsidRDefault="00E33F66"/>
        </w:tc>
        <w:tc>
          <w:tcPr>
            <w:tcW w:w="1119" w:type="dxa"/>
            <w:tcBorders>
              <w:top w:val="single" w:sz="4" w:space="0" w:color="000000"/>
              <w:left w:val="single" w:sz="4" w:space="0" w:color="000000"/>
              <w:bottom w:val="single" w:sz="4" w:space="0" w:color="000000"/>
            </w:tcBorders>
            <w:vAlign w:val="center"/>
          </w:tcPr>
          <w:p w14:paraId="2E8B5CC5" w14:textId="77777777" w:rsidR="00E33F66" w:rsidRDefault="00000000">
            <w:pPr>
              <w:jc w:val="center"/>
              <w:rPr>
                <w:rFonts w:cs="Times"/>
                <w:sz w:val="18"/>
                <w:szCs w:val="18"/>
              </w:rPr>
            </w:pPr>
            <w:r>
              <w:rPr>
                <w:rFonts w:cs="Times"/>
                <w:sz w:val="18"/>
                <w:szCs w:val="18"/>
              </w:rPr>
              <w:t>Gain</w:t>
            </w:r>
          </w:p>
        </w:tc>
        <w:tc>
          <w:tcPr>
            <w:tcW w:w="3796" w:type="dxa"/>
            <w:gridSpan w:val="4"/>
            <w:tcBorders>
              <w:top w:val="single" w:sz="4" w:space="0" w:color="000000"/>
              <w:left w:val="single" w:sz="4" w:space="0" w:color="000000"/>
              <w:bottom w:val="single" w:sz="4" w:space="0" w:color="000000"/>
            </w:tcBorders>
            <w:vAlign w:val="center"/>
          </w:tcPr>
          <w:p w14:paraId="3372C111" w14:textId="77777777" w:rsidR="00E33F66" w:rsidRDefault="00000000">
            <w:pPr>
              <w:jc w:val="center"/>
              <w:rPr>
                <w:rFonts w:cs="Times"/>
                <w:sz w:val="18"/>
                <w:szCs w:val="18"/>
              </w:rPr>
            </w:pPr>
            <w:r>
              <w:rPr>
                <w:rFonts w:cs="Times"/>
                <w:sz w:val="18"/>
                <w:szCs w:val="18"/>
              </w:rPr>
              <w:t>4.8dB</w:t>
            </w:r>
          </w:p>
        </w:tc>
        <w:tc>
          <w:tcPr>
            <w:tcW w:w="2665" w:type="dxa"/>
            <w:vMerge/>
            <w:tcBorders>
              <w:top w:val="single" w:sz="4" w:space="0" w:color="000000"/>
              <w:left w:val="single" w:sz="4" w:space="0" w:color="000000"/>
              <w:bottom w:val="single" w:sz="4" w:space="0" w:color="000000"/>
              <w:right w:val="single" w:sz="4" w:space="0" w:color="000000"/>
            </w:tcBorders>
            <w:vAlign w:val="center"/>
          </w:tcPr>
          <w:p w14:paraId="5465784D" w14:textId="77777777" w:rsidR="00E33F66" w:rsidRDefault="00E33F66"/>
        </w:tc>
      </w:tr>
    </w:tbl>
    <w:p w14:paraId="45E938A6" w14:textId="77777777" w:rsidR="00E33F66" w:rsidRDefault="00E33F66">
      <w:pPr>
        <w:rPr>
          <w:b/>
          <w:bCs/>
        </w:rPr>
      </w:pPr>
    </w:p>
    <w:p w14:paraId="1F2F1DAF" w14:textId="77777777" w:rsidR="00E33F66" w:rsidRDefault="00000000">
      <w:pPr>
        <w:rPr>
          <w:b/>
          <w:bCs/>
        </w:rPr>
      </w:pPr>
      <w:r>
        <w:rPr>
          <w:b/>
          <w:bCs/>
        </w:rPr>
        <w:t>A gain of around 4.8dB is observed.</w:t>
      </w:r>
    </w:p>
    <w:p w14:paraId="6D929332" w14:textId="77777777" w:rsidR="00E33F66" w:rsidRDefault="00E33F66">
      <w:pPr>
        <w:ind w:left="432"/>
        <w:rPr>
          <w:b/>
          <w:bCs/>
        </w:rPr>
      </w:pPr>
    </w:p>
    <w:p w14:paraId="2B25D017" w14:textId="77777777" w:rsidR="00E33F66" w:rsidRDefault="00000000">
      <w:pPr>
        <w:pStyle w:val="Heading1"/>
        <w:numPr>
          <w:ilvl w:val="0"/>
          <w:numId w:val="3"/>
        </w:numPr>
        <w:rPr>
          <w:rFonts w:eastAsia="Wingdings" w:cs="Wingdings"/>
        </w:rPr>
      </w:pPr>
      <w:r>
        <w:rPr>
          <w:rFonts w:eastAsia="Wingdings" w:cs="Wingdings"/>
        </w:rPr>
        <w:t>Conclusion</w:t>
      </w:r>
    </w:p>
    <w:p w14:paraId="64ACBD9F" w14:textId="77777777" w:rsidR="00E33F66" w:rsidRDefault="00000000">
      <w:r>
        <w:rPr>
          <w:rFonts w:eastAsia="Wingdings" w:cs="Wingdings"/>
          <w:kern w:val="2"/>
          <w:lang w:val="en-GB"/>
        </w:rPr>
        <w:t>In this contribution, the following o</w:t>
      </w:r>
      <w:r>
        <w:rPr>
          <w:rFonts w:eastAsia="Calibri" w:cs="Calibri"/>
          <w:color w:val="000000" w:themeColor="text1"/>
          <w:kern w:val="2"/>
          <w:lang w:val="en-GB"/>
        </w:rPr>
        <w:t>bservation</w:t>
      </w:r>
      <w:r>
        <w:rPr>
          <w:rFonts w:eastAsia="Wingdings" w:cs="Wingdings"/>
          <w:kern w:val="2"/>
          <w:lang w:val="en-GB"/>
        </w:rPr>
        <w:t xml:space="preserve"> is made: </w:t>
      </w:r>
    </w:p>
    <w:p w14:paraId="51F3709A" w14:textId="77777777" w:rsidR="00E33F66" w:rsidRDefault="00000000">
      <w:pPr>
        <w:rPr>
          <w:b/>
          <w:bCs/>
        </w:rPr>
      </w:pPr>
      <w:r>
        <w:rPr>
          <w:b/>
          <w:bCs/>
        </w:rPr>
        <w:t xml:space="preserve">Observation 1: </w:t>
      </w:r>
    </w:p>
    <w:p w14:paraId="033396BF" w14:textId="77777777" w:rsidR="00E33F66" w:rsidRDefault="00000000">
      <w:pPr>
        <w:jc w:val="left"/>
        <w:rPr>
          <w:b/>
          <w:bCs/>
        </w:rPr>
      </w:pPr>
      <w:r>
        <w:rPr>
          <w:b/>
          <w:bCs/>
        </w:rPr>
        <w:t>LLS to evaluate coverage enhancements for PUSCH repetition type A in FR</w:t>
      </w:r>
      <w:proofErr w:type="gramStart"/>
      <w:r>
        <w:rPr>
          <w:b/>
          <w:bCs/>
        </w:rPr>
        <w:t>1  has</w:t>
      </w:r>
      <w:proofErr w:type="gramEnd"/>
      <w:r>
        <w:rPr>
          <w:b/>
          <w:bCs/>
        </w:rPr>
        <w:t xml:space="preserve"> been conducted for TDD and SBFD  and the results are captured in the table below.</w:t>
      </w:r>
    </w:p>
    <w:p w14:paraId="6D2AC5D8" w14:textId="77777777" w:rsidR="00E33F66" w:rsidRDefault="00000000">
      <w:pPr>
        <w:jc w:val="center"/>
        <w:rPr>
          <w:b/>
          <w:bCs/>
        </w:rPr>
      </w:pPr>
      <w:r>
        <w:rPr>
          <w:b/>
          <w:bCs/>
        </w:rPr>
        <w:t>Table: 2 LLS results</w:t>
      </w:r>
    </w:p>
    <w:tbl>
      <w:tblPr>
        <w:tblW w:w="4700" w:type="pct"/>
        <w:jc w:val="center"/>
        <w:tblLook w:val="04A0" w:firstRow="1" w:lastRow="0" w:firstColumn="1" w:lastColumn="0" w:noHBand="0" w:noVBand="1"/>
      </w:tblPr>
      <w:tblGrid>
        <w:gridCol w:w="1202"/>
        <w:gridCol w:w="1146"/>
        <w:gridCol w:w="1071"/>
        <w:gridCol w:w="940"/>
        <w:gridCol w:w="934"/>
        <w:gridCol w:w="938"/>
        <w:gridCol w:w="2727"/>
      </w:tblGrid>
      <w:tr w:rsidR="00E33F66" w14:paraId="7C19FC77" w14:textId="77777777">
        <w:trPr>
          <w:trHeight w:val="348"/>
          <w:jc w:val="center"/>
        </w:trPr>
        <w:tc>
          <w:tcPr>
            <w:tcW w:w="8754" w:type="dxa"/>
            <w:gridSpan w:val="7"/>
            <w:tcBorders>
              <w:top w:val="single" w:sz="4" w:space="0" w:color="000000"/>
              <w:left w:val="single" w:sz="4" w:space="0" w:color="000000"/>
              <w:bottom w:val="single" w:sz="4" w:space="0" w:color="000000"/>
              <w:right w:val="single" w:sz="4" w:space="0" w:color="000000"/>
            </w:tcBorders>
            <w:vAlign w:val="center"/>
          </w:tcPr>
          <w:p w14:paraId="1CF4F2F9" w14:textId="77777777" w:rsidR="00E33F66" w:rsidRDefault="00000000">
            <w:pPr>
              <w:jc w:val="center"/>
              <w:rPr>
                <w:rFonts w:cs="Times"/>
                <w:szCs w:val="20"/>
              </w:rPr>
            </w:pPr>
            <w:r>
              <w:rPr>
                <w:rFonts w:cs="Times"/>
                <w:szCs w:val="20"/>
              </w:rPr>
              <w:t>PUSCH-FR1-Urban Macro</w:t>
            </w:r>
          </w:p>
        </w:tc>
      </w:tr>
      <w:tr w:rsidR="00E33F66" w14:paraId="7A983482" w14:textId="77777777">
        <w:trPr>
          <w:trHeight w:val="707"/>
          <w:jc w:val="center"/>
        </w:trPr>
        <w:tc>
          <w:tcPr>
            <w:tcW w:w="1174" w:type="dxa"/>
            <w:tcBorders>
              <w:top w:val="single" w:sz="4" w:space="0" w:color="000000"/>
              <w:left w:val="single" w:sz="4" w:space="0" w:color="000000"/>
              <w:bottom w:val="single" w:sz="4" w:space="0" w:color="000000"/>
            </w:tcBorders>
            <w:vAlign w:val="center"/>
          </w:tcPr>
          <w:p w14:paraId="0BF76269" w14:textId="77777777" w:rsidR="00E33F66" w:rsidRDefault="00000000">
            <w:pPr>
              <w:jc w:val="center"/>
              <w:rPr>
                <w:rFonts w:cs="Times"/>
                <w:sz w:val="18"/>
                <w:szCs w:val="18"/>
              </w:rPr>
            </w:pPr>
            <w:r>
              <w:rPr>
                <w:rFonts w:cs="Times"/>
                <w:sz w:val="18"/>
                <w:szCs w:val="18"/>
              </w:rPr>
              <w:t>Company name</w:t>
            </w:r>
          </w:p>
        </w:tc>
        <w:tc>
          <w:tcPr>
            <w:tcW w:w="1119" w:type="dxa"/>
            <w:tcBorders>
              <w:top w:val="single" w:sz="4" w:space="0" w:color="000000"/>
              <w:left w:val="single" w:sz="4" w:space="0" w:color="000000"/>
              <w:bottom w:val="single" w:sz="4" w:space="0" w:color="000000"/>
            </w:tcBorders>
            <w:vAlign w:val="center"/>
          </w:tcPr>
          <w:p w14:paraId="2C870F51" w14:textId="77777777" w:rsidR="00E33F66" w:rsidRDefault="00000000">
            <w:pPr>
              <w:jc w:val="center"/>
              <w:rPr>
                <w:rFonts w:cs="Times"/>
                <w:sz w:val="18"/>
                <w:szCs w:val="18"/>
              </w:rPr>
            </w:pPr>
            <w:r>
              <w:rPr>
                <w:rFonts w:cs="Times"/>
                <w:sz w:val="18"/>
                <w:szCs w:val="18"/>
              </w:rPr>
              <w:t>TDD/SBFD</w:t>
            </w:r>
          </w:p>
        </w:tc>
        <w:tc>
          <w:tcPr>
            <w:tcW w:w="1047" w:type="dxa"/>
            <w:tcBorders>
              <w:top w:val="single" w:sz="4" w:space="0" w:color="000000"/>
              <w:left w:val="single" w:sz="4" w:space="0" w:color="000000"/>
              <w:bottom w:val="single" w:sz="4" w:space="0" w:color="000000"/>
            </w:tcBorders>
            <w:vAlign w:val="center"/>
          </w:tcPr>
          <w:p w14:paraId="5463609B" w14:textId="77777777" w:rsidR="00E33F66" w:rsidRDefault="00000000">
            <w:pPr>
              <w:jc w:val="center"/>
              <w:rPr>
                <w:rFonts w:cs="Times"/>
                <w:sz w:val="18"/>
                <w:szCs w:val="18"/>
              </w:rPr>
            </w:pPr>
            <w:r>
              <w:rPr>
                <w:rFonts w:cs="Times"/>
                <w:sz w:val="18"/>
                <w:szCs w:val="18"/>
              </w:rPr>
              <w:t>Required SNR</w:t>
            </w:r>
          </w:p>
        </w:tc>
        <w:tc>
          <w:tcPr>
            <w:tcW w:w="919" w:type="dxa"/>
            <w:tcBorders>
              <w:top w:val="single" w:sz="4" w:space="0" w:color="000000"/>
              <w:left w:val="single" w:sz="4" w:space="0" w:color="000000"/>
              <w:bottom w:val="single" w:sz="4" w:space="0" w:color="000000"/>
            </w:tcBorders>
            <w:vAlign w:val="center"/>
          </w:tcPr>
          <w:p w14:paraId="037DED68" w14:textId="77777777" w:rsidR="00E33F66" w:rsidRDefault="00000000">
            <w:pPr>
              <w:jc w:val="center"/>
              <w:rPr>
                <w:rFonts w:cs="Times"/>
                <w:sz w:val="18"/>
                <w:szCs w:val="18"/>
              </w:rPr>
            </w:pPr>
            <w:r>
              <w:rPr>
                <w:rFonts w:cs="Times"/>
                <w:sz w:val="18"/>
                <w:szCs w:val="18"/>
              </w:rPr>
              <w:t>MCL</w:t>
            </w:r>
          </w:p>
        </w:tc>
        <w:tc>
          <w:tcPr>
            <w:tcW w:w="913" w:type="dxa"/>
            <w:tcBorders>
              <w:top w:val="single" w:sz="4" w:space="0" w:color="000000"/>
              <w:left w:val="single" w:sz="4" w:space="0" w:color="000000"/>
              <w:bottom w:val="single" w:sz="4" w:space="0" w:color="000000"/>
            </w:tcBorders>
            <w:vAlign w:val="center"/>
          </w:tcPr>
          <w:p w14:paraId="1109731E" w14:textId="77777777" w:rsidR="00E33F66" w:rsidRDefault="00000000">
            <w:pPr>
              <w:jc w:val="center"/>
              <w:rPr>
                <w:rFonts w:cs="Times"/>
                <w:sz w:val="18"/>
                <w:szCs w:val="18"/>
              </w:rPr>
            </w:pPr>
            <w:r>
              <w:rPr>
                <w:rFonts w:cs="Times"/>
                <w:sz w:val="18"/>
                <w:szCs w:val="18"/>
              </w:rPr>
              <w:t>MIL</w:t>
            </w:r>
          </w:p>
        </w:tc>
        <w:tc>
          <w:tcPr>
            <w:tcW w:w="917" w:type="dxa"/>
            <w:tcBorders>
              <w:top w:val="single" w:sz="4" w:space="0" w:color="000000"/>
              <w:left w:val="single" w:sz="4" w:space="0" w:color="000000"/>
              <w:bottom w:val="single" w:sz="4" w:space="0" w:color="000000"/>
            </w:tcBorders>
            <w:vAlign w:val="center"/>
          </w:tcPr>
          <w:p w14:paraId="3292128D" w14:textId="77777777" w:rsidR="00E33F66" w:rsidRDefault="00000000">
            <w:pPr>
              <w:jc w:val="center"/>
              <w:rPr>
                <w:rFonts w:cs="Times"/>
                <w:sz w:val="18"/>
                <w:szCs w:val="18"/>
              </w:rPr>
            </w:pPr>
            <w:r>
              <w:rPr>
                <w:rFonts w:cs="Times"/>
                <w:sz w:val="18"/>
                <w:szCs w:val="18"/>
              </w:rPr>
              <w:t>MPL</w:t>
            </w:r>
          </w:p>
        </w:tc>
        <w:tc>
          <w:tcPr>
            <w:tcW w:w="2665" w:type="dxa"/>
            <w:tcBorders>
              <w:top w:val="single" w:sz="4" w:space="0" w:color="000000"/>
              <w:left w:val="single" w:sz="4" w:space="0" w:color="000000"/>
              <w:bottom w:val="single" w:sz="4" w:space="0" w:color="000000"/>
              <w:right w:val="single" w:sz="4" w:space="0" w:color="000000"/>
            </w:tcBorders>
            <w:vAlign w:val="center"/>
          </w:tcPr>
          <w:p w14:paraId="28DE7E18" w14:textId="77777777" w:rsidR="00E33F66" w:rsidRDefault="00000000">
            <w:pPr>
              <w:jc w:val="center"/>
              <w:rPr>
                <w:rFonts w:cs="Times"/>
                <w:sz w:val="18"/>
                <w:szCs w:val="18"/>
              </w:rPr>
            </w:pPr>
            <w:r>
              <w:rPr>
                <w:rFonts w:cs="Times"/>
                <w:sz w:val="18"/>
                <w:szCs w:val="18"/>
              </w:rPr>
              <w:t>Key assumptions</w:t>
            </w:r>
          </w:p>
        </w:tc>
      </w:tr>
      <w:tr w:rsidR="00E33F66" w14:paraId="4E9D8546" w14:textId="77777777">
        <w:trPr>
          <w:trHeight w:val="348"/>
          <w:jc w:val="center"/>
        </w:trPr>
        <w:tc>
          <w:tcPr>
            <w:tcW w:w="1174" w:type="dxa"/>
            <w:vMerge w:val="restart"/>
            <w:tcBorders>
              <w:top w:val="single" w:sz="4" w:space="0" w:color="000000"/>
              <w:left w:val="single" w:sz="4" w:space="0" w:color="000000"/>
              <w:bottom w:val="single" w:sz="4" w:space="0" w:color="000000"/>
            </w:tcBorders>
            <w:vAlign w:val="center"/>
          </w:tcPr>
          <w:p w14:paraId="3C235E9B" w14:textId="77777777" w:rsidR="00E33F66" w:rsidRDefault="00000000">
            <w:pPr>
              <w:jc w:val="center"/>
              <w:rPr>
                <w:rFonts w:cs="Times"/>
                <w:sz w:val="18"/>
                <w:szCs w:val="18"/>
              </w:rPr>
            </w:pPr>
            <w:r>
              <w:rPr>
                <w:rFonts w:cs="Times"/>
                <w:sz w:val="18"/>
                <w:szCs w:val="18"/>
              </w:rPr>
              <w:t>CEWiT</w:t>
            </w:r>
          </w:p>
        </w:tc>
        <w:tc>
          <w:tcPr>
            <w:tcW w:w="1119" w:type="dxa"/>
            <w:tcBorders>
              <w:top w:val="single" w:sz="4" w:space="0" w:color="000000"/>
              <w:left w:val="single" w:sz="4" w:space="0" w:color="000000"/>
              <w:bottom w:val="single" w:sz="4" w:space="0" w:color="000000"/>
            </w:tcBorders>
            <w:vAlign w:val="center"/>
          </w:tcPr>
          <w:p w14:paraId="33F1320E" w14:textId="77777777" w:rsidR="00E33F66" w:rsidRDefault="00000000">
            <w:pPr>
              <w:jc w:val="center"/>
              <w:rPr>
                <w:rFonts w:cs="Times"/>
                <w:sz w:val="18"/>
                <w:szCs w:val="18"/>
              </w:rPr>
            </w:pPr>
            <w:r>
              <w:rPr>
                <w:rFonts w:cs="Times"/>
                <w:sz w:val="18"/>
                <w:szCs w:val="18"/>
              </w:rPr>
              <w:t>TDD</w:t>
            </w:r>
          </w:p>
        </w:tc>
        <w:tc>
          <w:tcPr>
            <w:tcW w:w="1047" w:type="dxa"/>
            <w:tcBorders>
              <w:top w:val="single" w:sz="4" w:space="0" w:color="000000"/>
              <w:left w:val="single" w:sz="4" w:space="0" w:color="000000"/>
              <w:bottom w:val="single" w:sz="4" w:space="0" w:color="000000"/>
            </w:tcBorders>
            <w:vAlign w:val="center"/>
          </w:tcPr>
          <w:p w14:paraId="471A2372" w14:textId="77777777" w:rsidR="00E33F66" w:rsidRDefault="00000000">
            <w:pPr>
              <w:jc w:val="center"/>
              <w:rPr>
                <w:rFonts w:cs="Times"/>
                <w:sz w:val="18"/>
                <w:szCs w:val="18"/>
              </w:rPr>
            </w:pPr>
            <w:r>
              <w:rPr>
                <w:rFonts w:cs="Times"/>
                <w:sz w:val="18"/>
                <w:szCs w:val="18"/>
              </w:rPr>
              <w:t>1 dB</w:t>
            </w:r>
          </w:p>
        </w:tc>
        <w:tc>
          <w:tcPr>
            <w:tcW w:w="919" w:type="dxa"/>
            <w:tcBorders>
              <w:top w:val="single" w:sz="4" w:space="0" w:color="000000"/>
              <w:left w:val="single" w:sz="4" w:space="0" w:color="000000"/>
              <w:bottom w:val="single" w:sz="4" w:space="0" w:color="000000"/>
            </w:tcBorders>
            <w:vAlign w:val="center"/>
          </w:tcPr>
          <w:p w14:paraId="50CE9684" w14:textId="77777777" w:rsidR="00E33F66" w:rsidRDefault="00000000">
            <w:pPr>
              <w:jc w:val="center"/>
              <w:rPr>
                <w:rFonts w:cs="Times"/>
                <w:sz w:val="18"/>
                <w:szCs w:val="18"/>
              </w:rPr>
            </w:pPr>
            <w:r>
              <w:rPr>
                <w:rFonts w:cs="Times"/>
                <w:sz w:val="18"/>
                <w:szCs w:val="18"/>
              </w:rPr>
              <w:t>129.25</w:t>
            </w:r>
          </w:p>
        </w:tc>
        <w:tc>
          <w:tcPr>
            <w:tcW w:w="913" w:type="dxa"/>
            <w:tcBorders>
              <w:top w:val="single" w:sz="4" w:space="0" w:color="000000"/>
              <w:left w:val="single" w:sz="4" w:space="0" w:color="000000"/>
              <w:bottom w:val="single" w:sz="4" w:space="0" w:color="000000"/>
            </w:tcBorders>
            <w:vAlign w:val="center"/>
          </w:tcPr>
          <w:p w14:paraId="20713872" w14:textId="77777777" w:rsidR="00E33F66" w:rsidRDefault="00000000">
            <w:pPr>
              <w:jc w:val="center"/>
              <w:rPr>
                <w:rFonts w:cs="Times"/>
                <w:sz w:val="18"/>
                <w:szCs w:val="18"/>
              </w:rPr>
            </w:pPr>
            <w:r>
              <w:rPr>
                <w:rFonts w:cs="Times"/>
                <w:sz w:val="18"/>
                <w:szCs w:val="18"/>
              </w:rPr>
              <w:t>139.02</w:t>
            </w:r>
          </w:p>
        </w:tc>
        <w:tc>
          <w:tcPr>
            <w:tcW w:w="917" w:type="dxa"/>
            <w:tcBorders>
              <w:top w:val="single" w:sz="4" w:space="0" w:color="000000"/>
              <w:left w:val="single" w:sz="4" w:space="0" w:color="000000"/>
              <w:bottom w:val="single" w:sz="4" w:space="0" w:color="000000"/>
            </w:tcBorders>
            <w:vAlign w:val="center"/>
          </w:tcPr>
          <w:p w14:paraId="328F35DF" w14:textId="77777777" w:rsidR="00E33F66" w:rsidRDefault="00000000">
            <w:pPr>
              <w:jc w:val="center"/>
              <w:rPr>
                <w:rFonts w:cs="Times"/>
                <w:sz w:val="18"/>
                <w:szCs w:val="18"/>
              </w:rPr>
            </w:pPr>
            <w:r>
              <w:rPr>
                <w:rFonts w:cs="Times"/>
                <w:sz w:val="18"/>
                <w:szCs w:val="18"/>
              </w:rPr>
              <w:t>108.29</w:t>
            </w:r>
          </w:p>
        </w:tc>
        <w:tc>
          <w:tcPr>
            <w:tcW w:w="2665" w:type="dxa"/>
            <w:vMerge w:val="restart"/>
            <w:tcBorders>
              <w:top w:val="single" w:sz="4" w:space="0" w:color="000000"/>
              <w:left w:val="single" w:sz="4" w:space="0" w:color="000000"/>
              <w:bottom w:val="single" w:sz="4" w:space="0" w:color="000000"/>
              <w:right w:val="single" w:sz="4" w:space="0" w:color="000000"/>
            </w:tcBorders>
            <w:vAlign w:val="center"/>
          </w:tcPr>
          <w:p w14:paraId="3B12784A" w14:textId="77777777" w:rsidR="00E33F66" w:rsidRDefault="00000000">
            <w:pPr>
              <w:pStyle w:val="TableContents"/>
              <w:jc w:val="left"/>
              <w:rPr>
                <w:rFonts w:cs="Times"/>
                <w:sz w:val="18"/>
                <w:szCs w:val="18"/>
              </w:rPr>
            </w:pPr>
            <w:r>
              <w:rPr>
                <w:rFonts w:cs="Times"/>
                <w:sz w:val="18"/>
                <w:szCs w:val="18"/>
              </w:rPr>
              <w:t xml:space="preserve">Evaluation method: Option-1 </w:t>
            </w:r>
            <w:r>
              <w:rPr>
                <w:rFonts w:cs="Times"/>
                <w:sz w:val="18"/>
                <w:szCs w:val="18"/>
              </w:rPr>
              <w:lastRenderedPageBreak/>
              <w:t>(Example-1)</w:t>
            </w:r>
            <w:r>
              <w:rPr>
                <w:rFonts w:cs="Times"/>
                <w:sz w:val="18"/>
                <w:szCs w:val="18"/>
              </w:rPr>
              <w:br/>
              <w:t>- INR of co-site inter-sector interference (dB): -5.44</w:t>
            </w:r>
            <w:r>
              <w:rPr>
                <w:rFonts w:cs="Times"/>
                <w:sz w:val="18"/>
                <w:szCs w:val="18"/>
              </w:rPr>
              <w:br/>
              <w:t xml:space="preserve">- total INR of all inter-site </w:t>
            </w:r>
            <w:proofErr w:type="spellStart"/>
            <w:r>
              <w:rPr>
                <w:rFonts w:cs="Times"/>
                <w:sz w:val="18"/>
                <w:szCs w:val="18"/>
              </w:rPr>
              <w:t>gNB-gNB</w:t>
            </w:r>
            <w:proofErr w:type="spellEnd"/>
            <w:r>
              <w:rPr>
                <w:rFonts w:cs="Times"/>
                <w:sz w:val="18"/>
                <w:szCs w:val="18"/>
              </w:rPr>
              <w:t xml:space="preserve"> CLI (dB): 10.65</w:t>
            </w:r>
            <w:r>
              <w:rPr>
                <w:rFonts w:cs="Times"/>
                <w:sz w:val="18"/>
                <w:szCs w:val="18"/>
              </w:rPr>
              <w:br/>
              <w:t>- total INR of all UE-</w:t>
            </w:r>
            <w:proofErr w:type="spellStart"/>
            <w:r>
              <w:rPr>
                <w:rFonts w:cs="Times"/>
                <w:sz w:val="18"/>
                <w:szCs w:val="18"/>
              </w:rPr>
              <w:t>gNB</w:t>
            </w:r>
            <w:proofErr w:type="spellEnd"/>
            <w:r>
              <w:rPr>
                <w:rFonts w:cs="Times"/>
                <w:sz w:val="18"/>
                <w:szCs w:val="18"/>
              </w:rPr>
              <w:t xml:space="preserve"> CLI (dB): 37.76</w:t>
            </w:r>
            <w:r>
              <w:rPr>
                <w:rFonts w:cs="Times"/>
                <w:sz w:val="18"/>
                <w:szCs w:val="18"/>
              </w:rPr>
              <w:br/>
              <w:t xml:space="preserve">Others: 30RB, Repetition=5 </w:t>
            </w:r>
          </w:p>
        </w:tc>
      </w:tr>
      <w:tr w:rsidR="00E33F66" w14:paraId="59198E12" w14:textId="77777777">
        <w:trPr>
          <w:trHeight w:val="198"/>
          <w:jc w:val="center"/>
        </w:trPr>
        <w:tc>
          <w:tcPr>
            <w:tcW w:w="1174" w:type="dxa"/>
            <w:vMerge/>
            <w:tcBorders>
              <w:top w:val="single" w:sz="4" w:space="0" w:color="000000"/>
              <w:left w:val="single" w:sz="4" w:space="0" w:color="000000"/>
              <w:bottom w:val="single" w:sz="4" w:space="0" w:color="000000"/>
            </w:tcBorders>
            <w:vAlign w:val="center"/>
          </w:tcPr>
          <w:p w14:paraId="0C0EB8D5" w14:textId="77777777" w:rsidR="00E33F66" w:rsidRDefault="00E33F66"/>
        </w:tc>
        <w:tc>
          <w:tcPr>
            <w:tcW w:w="1119" w:type="dxa"/>
            <w:tcBorders>
              <w:top w:val="single" w:sz="4" w:space="0" w:color="000000"/>
              <w:left w:val="single" w:sz="4" w:space="0" w:color="000000"/>
              <w:bottom w:val="single" w:sz="4" w:space="0" w:color="000000"/>
            </w:tcBorders>
            <w:vAlign w:val="center"/>
          </w:tcPr>
          <w:p w14:paraId="2BD57429" w14:textId="77777777" w:rsidR="00E33F66" w:rsidRDefault="00000000">
            <w:pPr>
              <w:jc w:val="center"/>
              <w:rPr>
                <w:rFonts w:cs="Times"/>
                <w:sz w:val="18"/>
                <w:szCs w:val="18"/>
              </w:rPr>
            </w:pPr>
            <w:r>
              <w:rPr>
                <w:rFonts w:cs="Times"/>
                <w:sz w:val="18"/>
                <w:szCs w:val="18"/>
              </w:rPr>
              <w:t>SBFD</w:t>
            </w:r>
          </w:p>
        </w:tc>
        <w:tc>
          <w:tcPr>
            <w:tcW w:w="1047" w:type="dxa"/>
            <w:tcBorders>
              <w:top w:val="single" w:sz="4" w:space="0" w:color="000000"/>
              <w:left w:val="single" w:sz="4" w:space="0" w:color="000000"/>
              <w:bottom w:val="single" w:sz="4" w:space="0" w:color="000000"/>
            </w:tcBorders>
            <w:vAlign w:val="center"/>
          </w:tcPr>
          <w:p w14:paraId="36D605E3" w14:textId="77777777" w:rsidR="00E33F66" w:rsidRDefault="00000000">
            <w:pPr>
              <w:jc w:val="center"/>
              <w:rPr>
                <w:rFonts w:cs="Times"/>
                <w:sz w:val="18"/>
                <w:szCs w:val="18"/>
              </w:rPr>
            </w:pPr>
            <w:r>
              <w:rPr>
                <w:rFonts w:cs="Times"/>
                <w:sz w:val="18"/>
                <w:szCs w:val="18"/>
              </w:rPr>
              <w:t>-3.8 dB</w:t>
            </w:r>
          </w:p>
        </w:tc>
        <w:tc>
          <w:tcPr>
            <w:tcW w:w="919" w:type="dxa"/>
            <w:tcBorders>
              <w:top w:val="single" w:sz="4" w:space="0" w:color="000000"/>
              <w:left w:val="single" w:sz="4" w:space="0" w:color="000000"/>
              <w:bottom w:val="single" w:sz="4" w:space="0" w:color="000000"/>
            </w:tcBorders>
            <w:vAlign w:val="center"/>
          </w:tcPr>
          <w:p w14:paraId="4BACA9C2" w14:textId="77777777" w:rsidR="00E33F66" w:rsidRDefault="00000000">
            <w:pPr>
              <w:jc w:val="center"/>
              <w:rPr>
                <w:rFonts w:cs="Times"/>
                <w:sz w:val="18"/>
                <w:szCs w:val="18"/>
              </w:rPr>
            </w:pPr>
            <w:r>
              <w:rPr>
                <w:rFonts w:cs="Times"/>
                <w:sz w:val="18"/>
                <w:szCs w:val="18"/>
              </w:rPr>
              <w:t>134.05</w:t>
            </w:r>
          </w:p>
        </w:tc>
        <w:tc>
          <w:tcPr>
            <w:tcW w:w="913" w:type="dxa"/>
            <w:tcBorders>
              <w:top w:val="single" w:sz="4" w:space="0" w:color="000000"/>
              <w:left w:val="single" w:sz="4" w:space="0" w:color="000000"/>
              <w:bottom w:val="single" w:sz="4" w:space="0" w:color="000000"/>
            </w:tcBorders>
            <w:vAlign w:val="center"/>
          </w:tcPr>
          <w:p w14:paraId="39F95E94" w14:textId="77777777" w:rsidR="00E33F66" w:rsidRDefault="00000000">
            <w:pPr>
              <w:jc w:val="center"/>
              <w:rPr>
                <w:rFonts w:cs="Times"/>
                <w:sz w:val="18"/>
                <w:szCs w:val="18"/>
              </w:rPr>
            </w:pPr>
            <w:r>
              <w:rPr>
                <w:rFonts w:cs="Times"/>
                <w:sz w:val="18"/>
                <w:szCs w:val="18"/>
              </w:rPr>
              <w:t>143.82</w:t>
            </w:r>
          </w:p>
        </w:tc>
        <w:tc>
          <w:tcPr>
            <w:tcW w:w="917" w:type="dxa"/>
            <w:tcBorders>
              <w:top w:val="single" w:sz="4" w:space="0" w:color="000000"/>
              <w:left w:val="single" w:sz="4" w:space="0" w:color="000000"/>
              <w:bottom w:val="single" w:sz="4" w:space="0" w:color="000000"/>
            </w:tcBorders>
            <w:vAlign w:val="center"/>
          </w:tcPr>
          <w:p w14:paraId="2EAE2B35" w14:textId="77777777" w:rsidR="00E33F66" w:rsidRDefault="00000000">
            <w:pPr>
              <w:jc w:val="center"/>
              <w:rPr>
                <w:rFonts w:cs="Times"/>
                <w:sz w:val="18"/>
                <w:szCs w:val="18"/>
              </w:rPr>
            </w:pPr>
            <w:r>
              <w:rPr>
                <w:rFonts w:cs="Times"/>
                <w:sz w:val="18"/>
                <w:szCs w:val="18"/>
              </w:rPr>
              <w:t>113.09</w:t>
            </w:r>
          </w:p>
        </w:tc>
        <w:tc>
          <w:tcPr>
            <w:tcW w:w="2665" w:type="dxa"/>
            <w:vMerge/>
            <w:tcBorders>
              <w:top w:val="single" w:sz="4" w:space="0" w:color="000000"/>
              <w:left w:val="single" w:sz="4" w:space="0" w:color="000000"/>
              <w:bottom w:val="single" w:sz="4" w:space="0" w:color="000000"/>
              <w:right w:val="single" w:sz="4" w:space="0" w:color="000000"/>
            </w:tcBorders>
            <w:vAlign w:val="center"/>
          </w:tcPr>
          <w:p w14:paraId="6ABC691E" w14:textId="77777777" w:rsidR="00E33F66" w:rsidRDefault="00E33F66"/>
        </w:tc>
      </w:tr>
      <w:tr w:rsidR="00E33F66" w14:paraId="2CD72295" w14:textId="77777777">
        <w:trPr>
          <w:trHeight w:val="198"/>
          <w:jc w:val="center"/>
        </w:trPr>
        <w:tc>
          <w:tcPr>
            <w:tcW w:w="1174" w:type="dxa"/>
            <w:vMerge/>
            <w:tcBorders>
              <w:top w:val="single" w:sz="4" w:space="0" w:color="000000"/>
              <w:left w:val="single" w:sz="4" w:space="0" w:color="000000"/>
              <w:bottom w:val="single" w:sz="4" w:space="0" w:color="000000"/>
            </w:tcBorders>
            <w:vAlign w:val="center"/>
          </w:tcPr>
          <w:p w14:paraId="446C3124" w14:textId="77777777" w:rsidR="00E33F66" w:rsidRDefault="00E33F66"/>
        </w:tc>
        <w:tc>
          <w:tcPr>
            <w:tcW w:w="1119" w:type="dxa"/>
            <w:tcBorders>
              <w:top w:val="single" w:sz="4" w:space="0" w:color="000000"/>
              <w:left w:val="single" w:sz="4" w:space="0" w:color="000000"/>
              <w:bottom w:val="single" w:sz="4" w:space="0" w:color="000000"/>
            </w:tcBorders>
            <w:vAlign w:val="center"/>
          </w:tcPr>
          <w:p w14:paraId="05A5FB70" w14:textId="77777777" w:rsidR="00E33F66" w:rsidRDefault="00000000">
            <w:pPr>
              <w:jc w:val="center"/>
              <w:rPr>
                <w:rFonts w:cs="Times"/>
                <w:sz w:val="18"/>
                <w:szCs w:val="18"/>
              </w:rPr>
            </w:pPr>
            <w:r>
              <w:rPr>
                <w:rFonts w:cs="Times"/>
                <w:sz w:val="18"/>
                <w:szCs w:val="18"/>
              </w:rPr>
              <w:t>Gain</w:t>
            </w:r>
          </w:p>
        </w:tc>
        <w:tc>
          <w:tcPr>
            <w:tcW w:w="3796" w:type="dxa"/>
            <w:gridSpan w:val="4"/>
            <w:tcBorders>
              <w:top w:val="single" w:sz="4" w:space="0" w:color="000000"/>
              <w:left w:val="single" w:sz="4" w:space="0" w:color="000000"/>
              <w:bottom w:val="single" w:sz="4" w:space="0" w:color="000000"/>
            </w:tcBorders>
            <w:vAlign w:val="center"/>
          </w:tcPr>
          <w:p w14:paraId="4BABA47F" w14:textId="77777777" w:rsidR="00E33F66" w:rsidRDefault="00000000">
            <w:pPr>
              <w:jc w:val="center"/>
              <w:rPr>
                <w:rFonts w:cs="Times"/>
                <w:sz w:val="18"/>
                <w:szCs w:val="18"/>
              </w:rPr>
            </w:pPr>
            <w:r>
              <w:rPr>
                <w:rFonts w:cs="Times"/>
                <w:sz w:val="18"/>
                <w:szCs w:val="18"/>
              </w:rPr>
              <w:t>4.8dB</w:t>
            </w:r>
          </w:p>
        </w:tc>
        <w:tc>
          <w:tcPr>
            <w:tcW w:w="2665" w:type="dxa"/>
            <w:vMerge/>
            <w:tcBorders>
              <w:top w:val="single" w:sz="4" w:space="0" w:color="000000"/>
              <w:left w:val="single" w:sz="4" w:space="0" w:color="000000"/>
              <w:bottom w:val="single" w:sz="4" w:space="0" w:color="000000"/>
              <w:right w:val="single" w:sz="4" w:space="0" w:color="000000"/>
            </w:tcBorders>
            <w:vAlign w:val="center"/>
          </w:tcPr>
          <w:p w14:paraId="12D26771" w14:textId="77777777" w:rsidR="00E33F66" w:rsidRDefault="00E33F66"/>
        </w:tc>
      </w:tr>
    </w:tbl>
    <w:p w14:paraId="54568160" w14:textId="77777777" w:rsidR="00E33F66" w:rsidRDefault="00000000">
      <w:pPr>
        <w:rPr>
          <w:b/>
          <w:bCs/>
        </w:rPr>
      </w:pPr>
      <w:r>
        <w:rPr>
          <w:b/>
          <w:bCs/>
        </w:rPr>
        <w:t>A gain of around 4.8dB is observed.</w:t>
      </w:r>
    </w:p>
    <w:p w14:paraId="15AE1226" w14:textId="77777777" w:rsidR="00E33F66" w:rsidRDefault="00E33F66">
      <w:pPr>
        <w:ind w:left="432"/>
        <w:rPr>
          <w:b/>
          <w:bCs/>
        </w:rPr>
      </w:pPr>
    </w:p>
    <w:p w14:paraId="51FB0037" w14:textId="77777777" w:rsidR="00E33F66" w:rsidRDefault="00000000">
      <w:pPr>
        <w:pStyle w:val="Heading1"/>
        <w:numPr>
          <w:ilvl w:val="0"/>
          <w:numId w:val="3"/>
        </w:numPr>
        <w:rPr>
          <w:rFonts w:eastAsia="Wingdings" w:cs="Wingdings"/>
        </w:rPr>
      </w:pPr>
      <w:r>
        <w:rPr>
          <w:rFonts w:eastAsia="Wingdings" w:cs="Wingdings"/>
        </w:rPr>
        <w:t>References</w:t>
      </w:r>
    </w:p>
    <w:p w14:paraId="2544119A" w14:textId="77777777" w:rsidR="00E33F66" w:rsidRDefault="00000000">
      <w:pPr>
        <w:pStyle w:val="TdocHeader2"/>
        <w:numPr>
          <w:ilvl w:val="0"/>
          <w:numId w:val="2"/>
        </w:numPr>
        <w:rPr>
          <w:b w:val="0"/>
        </w:rPr>
      </w:pPr>
      <w:r>
        <w:rPr>
          <w:rFonts w:ascii="Times New Roman" w:hAnsi="Times New Roman" w:cs="Times New Roman"/>
          <w:b w:val="0"/>
          <w:sz w:val="20"/>
        </w:rPr>
        <w:t>RP-21</w:t>
      </w:r>
      <w:r>
        <w:rPr>
          <w:rFonts w:ascii="Times New Roman" w:hAnsi="Times New Roman" w:cs="Times New Roman"/>
          <w:b w:val="0"/>
          <w:sz w:val="20"/>
          <w:lang w:val="en-GB"/>
        </w:rPr>
        <w:t>3591, New SI: Study on evolution of NR duplex operation, RAN#94-e, Dec. 2021</w:t>
      </w:r>
    </w:p>
    <w:p w14:paraId="3F640FB2" w14:textId="77777777" w:rsidR="00E33F66" w:rsidRDefault="00000000">
      <w:pPr>
        <w:pStyle w:val="TdocHeader2"/>
        <w:numPr>
          <w:ilvl w:val="0"/>
          <w:numId w:val="2"/>
        </w:numPr>
        <w:rPr>
          <w:b w:val="0"/>
        </w:rPr>
      </w:pPr>
      <w:r>
        <w:rPr>
          <w:rFonts w:ascii="Times New Roman" w:hAnsi="Times New Roman" w:cs="Times New Roman"/>
          <w:b w:val="0"/>
          <w:sz w:val="20"/>
          <w:lang w:val="en-GB"/>
        </w:rPr>
        <w:t>RAN1 Chairman’s Notes, 3GPP TSG RAN WG1 Meeting #112bis-e, April 2023</w:t>
      </w:r>
    </w:p>
    <w:p w14:paraId="7CBAF5D4" w14:textId="77777777" w:rsidR="00E33F66" w:rsidRDefault="00000000">
      <w:pPr>
        <w:pStyle w:val="TdocHeader2"/>
        <w:numPr>
          <w:ilvl w:val="0"/>
          <w:numId w:val="2"/>
        </w:numPr>
        <w:rPr>
          <w:b w:val="0"/>
        </w:rPr>
      </w:pPr>
      <w:r>
        <w:rPr>
          <w:rFonts w:ascii="Times New Roman" w:hAnsi="Times New Roman" w:cs="Times New Roman"/>
          <w:b w:val="0"/>
          <w:sz w:val="20"/>
          <w:lang w:val="en-GB"/>
        </w:rPr>
        <w:t>RAN1 Chairman’s Notes, 3GPP TSG RAN WG1 Meeting #112, Feb. 2023</w:t>
      </w:r>
    </w:p>
    <w:p w14:paraId="2B75C1E0" w14:textId="77777777" w:rsidR="00E33F66" w:rsidRDefault="00000000">
      <w:pPr>
        <w:numPr>
          <w:ilvl w:val="0"/>
          <w:numId w:val="2"/>
        </w:numPr>
        <w:tabs>
          <w:tab w:val="right" w:pos="9639"/>
        </w:tabs>
        <w:spacing w:after="0"/>
        <w:rPr>
          <w:sz w:val="20"/>
          <w:szCs w:val="20"/>
          <w:lang w:val="en-GB"/>
        </w:rPr>
      </w:pPr>
      <w:r>
        <w:rPr>
          <w:sz w:val="20"/>
          <w:szCs w:val="20"/>
          <w:lang w:val="en-GB"/>
        </w:rPr>
        <w:t>R1- 2303126, Discussion on Evaluation for NR duplex evolution, RAN1 #112bis-e, April 2023</w:t>
      </w:r>
    </w:p>
    <w:p w14:paraId="5F9B6B97" w14:textId="77777777" w:rsidR="00E33F66" w:rsidRDefault="00E33F66">
      <w:pPr>
        <w:pStyle w:val="TdocHeader2"/>
        <w:rPr>
          <w:rFonts w:ascii="Times New Roman" w:hAnsi="Times New Roman" w:cs="Times New Roman"/>
          <w:b w:val="0"/>
          <w:sz w:val="20"/>
          <w:lang w:val="en-GB"/>
        </w:rPr>
      </w:pPr>
    </w:p>
    <w:p w14:paraId="687B690D" w14:textId="77777777" w:rsidR="00E33F66" w:rsidRDefault="00000000">
      <w:pPr>
        <w:pStyle w:val="TdocHeader2"/>
        <w:numPr>
          <w:ilvl w:val="0"/>
          <w:numId w:val="1"/>
        </w:numPr>
        <w:ind w:left="450" w:hanging="450"/>
        <w:rPr>
          <w:rFonts w:eastAsia="Wingdings" w:cs="Wingdings"/>
          <w:bCs/>
          <w:sz w:val="28"/>
          <w:szCs w:val="28"/>
        </w:rPr>
      </w:pPr>
      <w:r>
        <w:rPr>
          <w:rFonts w:ascii="Times New Roman" w:eastAsia="Wingdings" w:hAnsi="Times New Roman" w:cs="Wingdings"/>
          <w:bCs/>
          <w:sz w:val="28"/>
          <w:szCs w:val="28"/>
        </w:rPr>
        <w:t>Appendix</w:t>
      </w:r>
    </w:p>
    <w:p w14:paraId="617A18D3" w14:textId="77777777" w:rsidR="00E33F66" w:rsidRDefault="00000000">
      <w:r>
        <w:rPr>
          <w:rFonts w:eastAsia="Wingdings" w:cs="Wingdings"/>
        </w:rPr>
        <w:t>The following agreement was made in RAN1 #112bis-e meeting [2]. The parameters for the LLS are considered based on this.</w:t>
      </w:r>
    </w:p>
    <w:p w14:paraId="24172F38" w14:textId="77777777" w:rsidR="00E33F66" w:rsidRDefault="00000000">
      <w:pPr>
        <w:rPr>
          <w:b/>
          <w:bCs/>
          <w:highlight w:val="green"/>
          <w:lang w:eastAsia="ko-KR"/>
        </w:rPr>
      </w:pPr>
      <w:r>
        <w:rPr>
          <w:b/>
          <w:bCs/>
          <w:highlight w:val="green"/>
          <w:lang w:eastAsia="ko-KR"/>
        </w:rPr>
        <w:t>Agreement</w:t>
      </w:r>
    </w:p>
    <w:p w14:paraId="287B45A5" w14:textId="77777777" w:rsidR="00E33F66" w:rsidRDefault="00000000">
      <w:r>
        <w:t>Adopt the following evaluation assumptions for LLS for coverage performance evaluation.</w:t>
      </w:r>
    </w:p>
    <w:p w14:paraId="1C2B9DAA" w14:textId="77777777" w:rsidR="00E33F66" w:rsidRDefault="00000000">
      <w:pPr>
        <w:pStyle w:val="TH"/>
        <w:keepNext w:val="0"/>
        <w:keepLines w:val="0"/>
        <w:spacing w:before="120" w:after="0"/>
        <w:rPr>
          <w:rFonts w:ascii="Times New Roman" w:hAnsi="Times New Roman" w:cs="Times New Roman"/>
          <w:b w:val="0"/>
        </w:rPr>
      </w:pPr>
      <w:r>
        <w:rPr>
          <w:rFonts w:ascii="Times New Roman" w:hAnsi="Times New Roman" w:cs="Times New Roman"/>
          <w:b w:val="0"/>
        </w:rPr>
        <w:t>Table X-1: General parameters for FR1</w:t>
      </w:r>
    </w:p>
    <w:tbl>
      <w:tblPr>
        <w:tblW w:w="9077" w:type="dxa"/>
        <w:jc w:val="center"/>
        <w:tblLook w:val="04A0" w:firstRow="1" w:lastRow="0" w:firstColumn="1" w:lastColumn="0" w:noHBand="0" w:noVBand="1"/>
      </w:tblPr>
      <w:tblGrid>
        <w:gridCol w:w="3114"/>
        <w:gridCol w:w="5963"/>
      </w:tblGrid>
      <w:tr w:rsidR="00E33F66" w14:paraId="7349F03E" w14:textId="77777777">
        <w:trPr>
          <w:trHeight w:val="379"/>
          <w:jc w:val="center"/>
        </w:trPr>
        <w:tc>
          <w:tcPr>
            <w:tcW w:w="3114" w:type="dxa"/>
            <w:tcBorders>
              <w:top w:val="single" w:sz="4" w:space="0" w:color="000000"/>
              <w:left w:val="single" w:sz="4" w:space="0" w:color="000000"/>
              <w:bottom w:val="single" w:sz="4" w:space="0" w:color="000000"/>
            </w:tcBorders>
            <w:shd w:val="clear" w:color="auto" w:fill="D9E2F3"/>
            <w:vAlign w:val="center"/>
          </w:tcPr>
          <w:p w14:paraId="504C4A9D" w14:textId="77777777" w:rsidR="00E33F66" w:rsidRDefault="00000000">
            <w:pPr>
              <w:spacing w:before="72" w:after="0"/>
              <w:jc w:val="center"/>
              <w:rPr>
                <w:rFonts w:cs="Times"/>
                <w:bCs/>
                <w:szCs w:val="20"/>
              </w:rPr>
            </w:pPr>
            <w:r>
              <w:rPr>
                <w:rFonts w:cs="Times"/>
                <w:bCs/>
                <w:szCs w:val="20"/>
              </w:rPr>
              <w:t>Parameter</w:t>
            </w:r>
          </w:p>
        </w:tc>
        <w:tc>
          <w:tcPr>
            <w:tcW w:w="5962" w:type="dxa"/>
            <w:tcBorders>
              <w:top w:val="single" w:sz="4" w:space="0" w:color="000000"/>
              <w:left w:val="single" w:sz="4" w:space="0" w:color="000000"/>
              <w:bottom w:val="single" w:sz="4" w:space="0" w:color="000000"/>
              <w:right w:val="single" w:sz="4" w:space="0" w:color="000000"/>
            </w:tcBorders>
            <w:shd w:val="clear" w:color="auto" w:fill="D9E2F3"/>
            <w:tcMar>
              <w:left w:w="0" w:type="dxa"/>
              <w:right w:w="0" w:type="dxa"/>
            </w:tcMar>
            <w:vAlign w:val="center"/>
          </w:tcPr>
          <w:p w14:paraId="19D74A4B" w14:textId="77777777" w:rsidR="00E33F66" w:rsidRDefault="00000000">
            <w:pPr>
              <w:spacing w:before="72" w:after="0"/>
              <w:jc w:val="center"/>
              <w:rPr>
                <w:rFonts w:cs="Times"/>
                <w:bCs/>
                <w:szCs w:val="20"/>
              </w:rPr>
            </w:pPr>
            <w:r>
              <w:rPr>
                <w:rFonts w:cs="Times"/>
                <w:bCs/>
                <w:szCs w:val="20"/>
              </w:rPr>
              <w:t>Value</w:t>
            </w:r>
          </w:p>
        </w:tc>
      </w:tr>
      <w:tr w:rsidR="00E33F66" w14:paraId="312D512E"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769261EC" w14:textId="77777777" w:rsidR="00E33F66" w:rsidRDefault="00000000">
            <w:pPr>
              <w:rPr>
                <w:rFonts w:cs="Times"/>
                <w:sz w:val="18"/>
                <w:szCs w:val="18"/>
              </w:rPr>
            </w:pPr>
            <w:r>
              <w:rPr>
                <w:rFonts w:cs="Times"/>
                <w:sz w:val="18"/>
                <w:szCs w:val="18"/>
              </w:rPr>
              <w:t>Scenario and frequency</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8C38E0C" w14:textId="77777777" w:rsidR="00E33F66" w:rsidRDefault="00000000">
            <w:pPr>
              <w:rPr>
                <w:rFonts w:cs="Times"/>
                <w:sz w:val="18"/>
                <w:szCs w:val="18"/>
              </w:rPr>
            </w:pPr>
            <w:r>
              <w:rPr>
                <w:rFonts w:cs="Times"/>
                <w:sz w:val="18"/>
                <w:szCs w:val="18"/>
              </w:rPr>
              <w:t>Urban Macro: 4GHz</w:t>
            </w:r>
          </w:p>
        </w:tc>
      </w:tr>
      <w:tr w:rsidR="00E33F66" w14:paraId="43588479"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32901DFD" w14:textId="77777777" w:rsidR="00E33F66" w:rsidRDefault="00000000">
            <w:pPr>
              <w:rPr>
                <w:rFonts w:cs="Times"/>
                <w:sz w:val="18"/>
                <w:szCs w:val="18"/>
              </w:rPr>
            </w:pPr>
            <w:r>
              <w:rPr>
                <w:rFonts w:cs="Times"/>
                <w:sz w:val="18"/>
                <w:szCs w:val="18"/>
              </w:rPr>
              <w:t>Frame structure for TDD</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DDB494D" w14:textId="77777777" w:rsidR="00E33F66" w:rsidRDefault="00000000">
            <w:pPr>
              <w:rPr>
                <w:rFonts w:cs="Times"/>
                <w:sz w:val="18"/>
                <w:szCs w:val="18"/>
              </w:rPr>
            </w:pPr>
            <w:r>
              <w:rPr>
                <w:rFonts w:cs="Times"/>
                <w:sz w:val="18"/>
                <w:szCs w:val="18"/>
              </w:rPr>
              <w:t>TDD: DDDSU (S: 10D:2G:2U)</w:t>
            </w:r>
          </w:p>
          <w:p w14:paraId="4097F95F" w14:textId="77777777" w:rsidR="00E33F66" w:rsidRDefault="00000000">
            <w:r>
              <w:rPr>
                <w:rFonts w:cs="Times"/>
                <w:sz w:val="18"/>
                <w:szCs w:val="18"/>
              </w:rPr>
              <w:t>SBFD: XXXXU</w:t>
            </w:r>
            <w:r>
              <w:rPr>
                <w:rFonts w:cs="Times"/>
                <w:color w:val="FF0000"/>
                <w:sz w:val="18"/>
                <w:szCs w:val="18"/>
              </w:rPr>
              <w:t>, where X denotes SBFD slot.</w:t>
            </w:r>
          </w:p>
          <w:p w14:paraId="214688A8" w14:textId="77777777" w:rsidR="00E33F66" w:rsidRDefault="00000000">
            <w:pPr>
              <w:pStyle w:val="a8"/>
              <w:keepNext/>
              <w:numPr>
                <w:ilvl w:val="0"/>
                <w:numId w:val="4"/>
              </w:numPr>
              <w:rPr>
                <w:rFonts w:cs="Times"/>
                <w:color w:val="FF0000"/>
                <w:sz w:val="18"/>
                <w:szCs w:val="18"/>
              </w:rPr>
            </w:pPr>
            <w:r>
              <w:rPr>
                <w:rFonts w:cs="Times"/>
                <w:color w:val="FF0000"/>
                <w:sz w:val="18"/>
                <w:szCs w:val="18"/>
              </w:rPr>
              <w:t>For SBFD slot, {DUD} pattern is assumed.</w:t>
            </w:r>
          </w:p>
          <w:p w14:paraId="29F55206" w14:textId="77777777" w:rsidR="00E33F66" w:rsidRDefault="00000000">
            <w:pPr>
              <w:pStyle w:val="a8"/>
              <w:numPr>
                <w:ilvl w:val="0"/>
                <w:numId w:val="4"/>
              </w:numPr>
            </w:pPr>
            <w:r>
              <w:rPr>
                <w:rFonts w:cs="Times"/>
                <w:color w:val="FF0000"/>
                <w:sz w:val="18"/>
                <w:szCs w:val="18"/>
              </w:rPr>
              <w:t>100MHz channel bandwidth and 30kHz SCS (273 PRB): &lt; N</w:t>
            </w:r>
            <w:r>
              <w:rPr>
                <w:rFonts w:cs="Times"/>
                <w:color w:val="FF0000"/>
                <w:sz w:val="18"/>
                <w:szCs w:val="18"/>
                <w:vertAlign w:val="subscript"/>
              </w:rPr>
              <w:t>D</w:t>
            </w:r>
            <w:r>
              <w:rPr>
                <w:rFonts w:cs="Times"/>
                <w:color w:val="FF0000"/>
                <w:sz w:val="18"/>
                <w:szCs w:val="18"/>
              </w:rPr>
              <w:t>, N</w:t>
            </w:r>
            <w:r>
              <w:rPr>
                <w:rFonts w:cs="Times"/>
                <w:color w:val="FF0000"/>
                <w:sz w:val="18"/>
                <w:szCs w:val="18"/>
                <w:vertAlign w:val="subscript"/>
              </w:rPr>
              <w:t>U</w:t>
            </w:r>
            <w:r>
              <w:rPr>
                <w:rFonts w:cs="Times"/>
                <w:color w:val="FF0000"/>
                <w:sz w:val="18"/>
                <w:szCs w:val="18"/>
              </w:rPr>
              <w:t>,</w:t>
            </w:r>
            <w:r>
              <w:rPr>
                <w:rFonts w:cs="Times"/>
                <w:color w:val="FF0000"/>
                <w:sz w:val="18"/>
                <w:szCs w:val="18"/>
                <w:vertAlign w:val="subscript"/>
              </w:rPr>
              <w:t xml:space="preserve"> </w:t>
            </w:r>
            <w:r>
              <w:rPr>
                <w:rFonts w:cs="Times"/>
                <w:color w:val="FF0000"/>
                <w:sz w:val="18"/>
                <w:szCs w:val="18"/>
              </w:rPr>
              <w:t>N</w:t>
            </w:r>
            <w:r>
              <w:rPr>
                <w:rFonts w:cs="Times"/>
                <w:color w:val="FF0000"/>
                <w:sz w:val="18"/>
                <w:szCs w:val="18"/>
                <w:vertAlign w:val="subscript"/>
              </w:rPr>
              <w:t>G</w:t>
            </w:r>
            <w:r>
              <w:rPr>
                <w:rFonts w:cs="Times"/>
                <w:color w:val="FF0000"/>
                <w:sz w:val="18"/>
                <w:szCs w:val="18"/>
              </w:rPr>
              <w:t xml:space="preserve"> &gt; = &lt;104, 55, 5&gt;</w:t>
            </w:r>
          </w:p>
        </w:tc>
      </w:tr>
      <w:tr w:rsidR="00E33F66" w14:paraId="5CCBA6B1"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35DEFD0F" w14:textId="77777777" w:rsidR="00E33F66" w:rsidRDefault="00000000">
            <w:pPr>
              <w:rPr>
                <w:rFonts w:cs="Times"/>
                <w:sz w:val="18"/>
                <w:szCs w:val="18"/>
              </w:rPr>
            </w:pPr>
            <w:r>
              <w:rPr>
                <w:rFonts w:cs="Times"/>
                <w:sz w:val="18"/>
                <w:szCs w:val="18"/>
              </w:rPr>
              <w:t xml:space="preserve">Target data rates for </w:t>
            </w:r>
            <w:proofErr w:type="spellStart"/>
            <w:r>
              <w:rPr>
                <w:rFonts w:cs="Times"/>
                <w:sz w:val="18"/>
                <w:szCs w:val="18"/>
              </w:rPr>
              <w:t>eMBB</w:t>
            </w:r>
            <w:proofErr w:type="spellEnd"/>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469EFFE4" w14:textId="77777777" w:rsidR="00E33F66" w:rsidRDefault="00000000">
            <w:pPr>
              <w:rPr>
                <w:rFonts w:cs="Times"/>
                <w:sz w:val="18"/>
                <w:szCs w:val="18"/>
              </w:rPr>
            </w:pPr>
            <w:r>
              <w:rPr>
                <w:rFonts w:cs="Times"/>
                <w:sz w:val="18"/>
                <w:szCs w:val="18"/>
              </w:rPr>
              <w:t>UL 1Mbps</w:t>
            </w:r>
          </w:p>
        </w:tc>
      </w:tr>
      <w:tr w:rsidR="00E33F66" w14:paraId="4FC30E81"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0BC6BE7A" w14:textId="77777777" w:rsidR="00E33F66" w:rsidRDefault="00000000">
            <w:pPr>
              <w:rPr>
                <w:rFonts w:cs="Times"/>
                <w:sz w:val="18"/>
                <w:szCs w:val="18"/>
              </w:rPr>
            </w:pPr>
            <w:r>
              <w:rPr>
                <w:rFonts w:cs="Times"/>
                <w:sz w:val="18"/>
                <w:szCs w:val="18"/>
              </w:rPr>
              <w:t xml:space="preserve">Pathloss model (select from </w:t>
            </w:r>
            <w:proofErr w:type="spellStart"/>
            <w:r>
              <w:rPr>
                <w:rFonts w:cs="Times"/>
                <w:sz w:val="18"/>
                <w:szCs w:val="18"/>
              </w:rPr>
              <w:t>LoS</w:t>
            </w:r>
            <w:proofErr w:type="spellEnd"/>
            <w:r>
              <w:rPr>
                <w:rFonts w:cs="Times"/>
                <w:sz w:val="18"/>
                <w:szCs w:val="18"/>
              </w:rPr>
              <w:t xml:space="preserve"> or </w:t>
            </w:r>
            <w:proofErr w:type="spellStart"/>
            <w:r>
              <w:rPr>
                <w:rFonts w:cs="Times"/>
                <w:sz w:val="18"/>
                <w:szCs w:val="18"/>
              </w:rPr>
              <w:t>NLoS</w:t>
            </w:r>
            <w:proofErr w:type="spellEnd"/>
            <w:r>
              <w:rPr>
                <w:rFonts w:cs="Times"/>
                <w:sz w:val="18"/>
                <w:szCs w:val="18"/>
              </w:rPr>
              <w:t>)</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286108E" w14:textId="77777777" w:rsidR="00E33F66" w:rsidRDefault="00000000">
            <w:pPr>
              <w:rPr>
                <w:rFonts w:cs="Times"/>
                <w:sz w:val="18"/>
                <w:szCs w:val="18"/>
              </w:rPr>
            </w:pPr>
            <w:proofErr w:type="spellStart"/>
            <w:r>
              <w:rPr>
                <w:rFonts w:cs="Times"/>
                <w:sz w:val="18"/>
                <w:szCs w:val="18"/>
              </w:rPr>
              <w:t>gNB</w:t>
            </w:r>
            <w:proofErr w:type="spellEnd"/>
            <w:r>
              <w:rPr>
                <w:rFonts w:cs="Times"/>
                <w:sz w:val="18"/>
                <w:szCs w:val="18"/>
              </w:rPr>
              <w:t>-UE: NLOS</w:t>
            </w:r>
          </w:p>
          <w:p w14:paraId="4C36074E" w14:textId="77777777" w:rsidR="00E33F66" w:rsidRDefault="00000000">
            <w:pPr>
              <w:rPr>
                <w:rFonts w:cs="Times"/>
                <w:sz w:val="18"/>
                <w:szCs w:val="18"/>
              </w:rPr>
            </w:pPr>
            <w:proofErr w:type="spellStart"/>
            <w:r>
              <w:rPr>
                <w:rFonts w:cs="Times"/>
                <w:sz w:val="18"/>
                <w:szCs w:val="18"/>
              </w:rPr>
              <w:t>gNB-gNB</w:t>
            </w:r>
            <w:proofErr w:type="spellEnd"/>
            <w:r>
              <w:rPr>
                <w:rFonts w:cs="Times"/>
                <w:sz w:val="18"/>
                <w:szCs w:val="18"/>
              </w:rPr>
              <w:t xml:space="preserve"> (if modelled in LLS): LOS: NLOS = 3:1</w:t>
            </w:r>
          </w:p>
        </w:tc>
      </w:tr>
      <w:tr w:rsidR="00E33F66" w14:paraId="3816EB6F"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09105C88" w14:textId="77777777" w:rsidR="00E33F66" w:rsidRDefault="00000000">
            <w:pPr>
              <w:rPr>
                <w:rFonts w:cs="Times"/>
                <w:bCs/>
                <w:sz w:val="18"/>
                <w:szCs w:val="18"/>
              </w:rPr>
            </w:pPr>
            <w:r>
              <w:rPr>
                <w:rFonts w:cs="Times"/>
                <w:bCs/>
                <w:sz w:val="18"/>
                <w:szCs w:val="18"/>
              </w:rPr>
              <w:t>BWP</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3BA95F0" w14:textId="77777777" w:rsidR="00E33F66" w:rsidRDefault="00000000">
            <w:pPr>
              <w:rPr>
                <w:rFonts w:cs="Times"/>
                <w:sz w:val="18"/>
                <w:szCs w:val="18"/>
              </w:rPr>
            </w:pPr>
            <w:r>
              <w:rPr>
                <w:rFonts w:cs="Times"/>
                <w:sz w:val="18"/>
                <w:szCs w:val="18"/>
              </w:rPr>
              <w:t>100MHz</w:t>
            </w:r>
          </w:p>
        </w:tc>
      </w:tr>
      <w:tr w:rsidR="00E33F66" w14:paraId="08F229B9"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6252D398" w14:textId="77777777" w:rsidR="00E33F66" w:rsidRDefault="00000000">
            <w:pPr>
              <w:rPr>
                <w:rFonts w:cs="Times"/>
                <w:sz w:val="18"/>
                <w:szCs w:val="18"/>
              </w:rPr>
            </w:pPr>
            <w:r>
              <w:rPr>
                <w:rFonts w:cs="Times"/>
                <w:sz w:val="18"/>
                <w:szCs w:val="18"/>
              </w:rPr>
              <w:t>Channel model for link-level simulation</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E8C58FE" w14:textId="77777777" w:rsidR="00E33F66" w:rsidRDefault="00000000">
            <w:pPr>
              <w:rPr>
                <w:rFonts w:cs="Times"/>
                <w:sz w:val="18"/>
                <w:szCs w:val="18"/>
              </w:rPr>
            </w:pPr>
            <w:proofErr w:type="spellStart"/>
            <w:r>
              <w:rPr>
                <w:rFonts w:cs="Times"/>
                <w:sz w:val="18"/>
                <w:szCs w:val="18"/>
              </w:rPr>
              <w:t>gNB</w:t>
            </w:r>
            <w:proofErr w:type="spellEnd"/>
            <w:r>
              <w:rPr>
                <w:rFonts w:cs="Times"/>
                <w:sz w:val="18"/>
                <w:szCs w:val="18"/>
              </w:rPr>
              <w:t>-UE: TDL-C, CDL-C</w:t>
            </w:r>
          </w:p>
          <w:p w14:paraId="093EDBE6" w14:textId="77777777" w:rsidR="00E33F66" w:rsidRDefault="00000000">
            <w:pPr>
              <w:rPr>
                <w:rFonts w:cs="Times"/>
                <w:sz w:val="18"/>
                <w:szCs w:val="18"/>
              </w:rPr>
            </w:pPr>
            <w:r>
              <w:rPr>
                <w:rFonts w:cs="Times"/>
                <w:sz w:val="18"/>
                <w:szCs w:val="18"/>
              </w:rPr>
              <w:t xml:space="preserve">Note: Company can provide simulation results based on either TDL channel or CDL model </w:t>
            </w:r>
          </w:p>
          <w:p w14:paraId="4B86AEF1" w14:textId="77777777" w:rsidR="00E33F66" w:rsidRDefault="00000000">
            <w:pPr>
              <w:rPr>
                <w:rFonts w:cs="Times"/>
                <w:sz w:val="18"/>
                <w:szCs w:val="18"/>
              </w:rPr>
            </w:pPr>
            <w:r>
              <w:rPr>
                <w:rFonts w:cs="Times"/>
                <w:sz w:val="18"/>
                <w:szCs w:val="18"/>
              </w:rPr>
              <w:t xml:space="preserve">Note: Companies can report </w:t>
            </w:r>
            <w:proofErr w:type="spellStart"/>
            <w:r>
              <w:rPr>
                <w:rFonts w:cs="Times"/>
                <w:sz w:val="18"/>
                <w:szCs w:val="18"/>
              </w:rPr>
              <w:t>gNB-gNB</w:t>
            </w:r>
            <w:proofErr w:type="spellEnd"/>
            <w:r>
              <w:rPr>
                <w:rFonts w:cs="Times"/>
                <w:sz w:val="18"/>
                <w:szCs w:val="18"/>
              </w:rPr>
              <w:t xml:space="preserve"> channel model if modelled in LLS.</w:t>
            </w:r>
          </w:p>
        </w:tc>
      </w:tr>
      <w:tr w:rsidR="00E33F66" w14:paraId="58056042"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4D374D56" w14:textId="77777777" w:rsidR="00E33F66" w:rsidRDefault="00000000">
            <w:pPr>
              <w:rPr>
                <w:rFonts w:cs="Times"/>
                <w:sz w:val="18"/>
                <w:szCs w:val="18"/>
              </w:rPr>
            </w:pPr>
            <w:r>
              <w:rPr>
                <w:rFonts w:cs="Times"/>
                <w:sz w:val="18"/>
                <w:szCs w:val="18"/>
              </w:rPr>
              <w:t>Delay spread</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D9EBFBF" w14:textId="77777777" w:rsidR="00E33F66" w:rsidRDefault="00000000">
            <w:pPr>
              <w:rPr>
                <w:rFonts w:cs="Times"/>
                <w:sz w:val="18"/>
                <w:szCs w:val="18"/>
              </w:rPr>
            </w:pPr>
            <w:r>
              <w:rPr>
                <w:rFonts w:cs="Times"/>
                <w:sz w:val="18"/>
                <w:szCs w:val="18"/>
              </w:rPr>
              <w:t>300ns</w:t>
            </w:r>
          </w:p>
          <w:p w14:paraId="2E2EE49E" w14:textId="77777777" w:rsidR="00E33F66" w:rsidRDefault="00000000">
            <w:pPr>
              <w:rPr>
                <w:rFonts w:cs="Times"/>
                <w:color w:val="FF0000"/>
                <w:sz w:val="18"/>
                <w:szCs w:val="18"/>
              </w:rPr>
            </w:pPr>
            <w:r>
              <w:rPr>
                <w:rFonts w:cs="Times"/>
                <w:color w:val="FF0000"/>
                <w:sz w:val="18"/>
                <w:szCs w:val="18"/>
              </w:rPr>
              <w:t>Note: Other values can be reported by companies.</w:t>
            </w:r>
          </w:p>
        </w:tc>
      </w:tr>
      <w:tr w:rsidR="00E33F66" w14:paraId="29CFA961"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614A9C2A" w14:textId="77777777" w:rsidR="00E33F66" w:rsidRDefault="00000000">
            <w:pPr>
              <w:rPr>
                <w:rFonts w:cs="Times"/>
                <w:sz w:val="18"/>
                <w:szCs w:val="18"/>
              </w:rPr>
            </w:pPr>
            <w:r>
              <w:rPr>
                <w:rFonts w:cs="Times"/>
                <w:sz w:val="18"/>
                <w:szCs w:val="18"/>
              </w:rPr>
              <w:t>UE velocity</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655EF72" w14:textId="77777777" w:rsidR="00E33F66" w:rsidRDefault="00000000">
            <w:pPr>
              <w:rPr>
                <w:rFonts w:cs="Times"/>
                <w:sz w:val="18"/>
                <w:szCs w:val="18"/>
              </w:rPr>
            </w:pPr>
            <w:r>
              <w:rPr>
                <w:rFonts w:cs="Times"/>
                <w:sz w:val="18"/>
                <w:szCs w:val="18"/>
              </w:rPr>
              <w:t>3km/h for indoor</w:t>
            </w:r>
          </w:p>
        </w:tc>
      </w:tr>
      <w:tr w:rsidR="00E33F66" w14:paraId="75649893"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1EA1B439" w14:textId="77777777" w:rsidR="00E33F66" w:rsidRDefault="00000000">
            <w:pPr>
              <w:rPr>
                <w:rFonts w:cs="Times"/>
                <w:sz w:val="18"/>
                <w:szCs w:val="18"/>
              </w:rPr>
            </w:pPr>
            <w:r>
              <w:rPr>
                <w:rFonts w:cs="Times"/>
                <w:sz w:val="18"/>
                <w:szCs w:val="18"/>
              </w:rPr>
              <w:t>Number of antenna elements for BS</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C8BBB36" w14:textId="77777777" w:rsidR="00E33F66" w:rsidRDefault="00000000">
            <w:pPr>
              <w:pStyle w:val="B1"/>
              <w:spacing w:after="0"/>
              <w:ind w:left="0" w:firstLine="0"/>
              <w:rPr>
                <w:rFonts w:ascii="Times" w:hAnsi="Times" w:cs="Times"/>
                <w:sz w:val="18"/>
                <w:szCs w:val="18"/>
              </w:rPr>
            </w:pPr>
            <w:r>
              <w:rPr>
                <w:rFonts w:ascii="Times" w:hAnsi="Times" w:cs="Times"/>
                <w:sz w:val="18"/>
                <w:szCs w:val="18"/>
              </w:rPr>
              <w:t xml:space="preserve">SBFD antenna configuration </w:t>
            </w:r>
            <w:proofErr w:type="gramStart"/>
            <w:r>
              <w:rPr>
                <w:rFonts w:ascii="Times" w:hAnsi="Times" w:cs="Times"/>
                <w:sz w:val="18"/>
                <w:szCs w:val="18"/>
              </w:rPr>
              <w:t>option-2</w:t>
            </w:r>
            <w:proofErr w:type="gramEnd"/>
            <w:r>
              <w:rPr>
                <w:rFonts w:ascii="Times" w:hAnsi="Times" w:cs="Times"/>
                <w:sz w:val="18"/>
                <w:szCs w:val="18"/>
              </w:rPr>
              <w:t>,</w:t>
            </w:r>
          </w:p>
          <w:p w14:paraId="5799CB8D" w14:textId="77777777" w:rsidR="00E33F66" w:rsidRDefault="00000000">
            <w:pPr>
              <w:pStyle w:val="B1"/>
              <w:numPr>
                <w:ilvl w:val="0"/>
                <w:numId w:val="4"/>
              </w:numPr>
              <w:spacing w:after="0"/>
              <w:rPr>
                <w:rFonts w:ascii="Times" w:hAnsi="Times" w:cs="Times"/>
                <w:sz w:val="18"/>
                <w:szCs w:val="18"/>
              </w:rPr>
            </w:pPr>
            <w:r>
              <w:rPr>
                <w:rFonts w:ascii="Times" w:hAnsi="Times" w:cs="Times"/>
                <w:sz w:val="18"/>
                <w:szCs w:val="18"/>
              </w:rPr>
              <w:t xml:space="preserve">192 antenna elements </w:t>
            </w:r>
          </w:p>
          <w:p w14:paraId="4222BE42" w14:textId="77777777" w:rsidR="00E33F66" w:rsidRDefault="00000000">
            <w:pPr>
              <w:pStyle w:val="B1"/>
              <w:numPr>
                <w:ilvl w:val="0"/>
                <w:numId w:val="4"/>
              </w:numPr>
              <w:spacing w:after="0"/>
              <w:rPr>
                <w:rFonts w:ascii="Times" w:hAnsi="Times" w:cs="Times"/>
                <w:sz w:val="18"/>
                <w:szCs w:val="18"/>
              </w:rPr>
            </w:pPr>
            <w:r>
              <w:rPr>
                <w:rFonts w:ascii="Times" w:hAnsi="Times" w:cs="Times"/>
                <w:sz w:val="18"/>
                <w:szCs w:val="18"/>
              </w:rPr>
              <w:t>(</w:t>
            </w:r>
            <w:proofErr w:type="spellStart"/>
            <w:proofErr w:type="gramStart"/>
            <w:r>
              <w:rPr>
                <w:rFonts w:ascii="Times" w:hAnsi="Times" w:cs="Times"/>
                <w:sz w:val="18"/>
                <w:szCs w:val="18"/>
              </w:rPr>
              <w:t>M,N</w:t>
            </w:r>
            <w:proofErr w:type="gramEnd"/>
            <w:r>
              <w:rPr>
                <w:rFonts w:ascii="Times" w:hAnsi="Times" w:cs="Times"/>
                <w:sz w:val="18"/>
                <w:szCs w:val="18"/>
              </w:rPr>
              <w:t>,P,Mg,Ng</w:t>
            </w:r>
            <w:proofErr w:type="spellEnd"/>
            <w:r>
              <w:rPr>
                <w:rFonts w:ascii="Times" w:hAnsi="Times" w:cs="Times"/>
                <w:sz w:val="18"/>
                <w:szCs w:val="18"/>
              </w:rPr>
              <w:t>) = (12,8,2,1,1)</w:t>
            </w:r>
          </w:p>
          <w:p w14:paraId="49E9C23E" w14:textId="77777777" w:rsidR="00E33F66" w:rsidRDefault="00000000">
            <w:pPr>
              <w:pStyle w:val="B1"/>
              <w:numPr>
                <w:ilvl w:val="0"/>
                <w:numId w:val="4"/>
              </w:numPr>
              <w:spacing w:after="0"/>
              <w:rPr>
                <w:rFonts w:ascii="Times" w:hAnsi="Times" w:cs="Times"/>
                <w:sz w:val="18"/>
                <w:szCs w:val="18"/>
              </w:rPr>
            </w:pPr>
            <w:r>
              <w:rPr>
                <w:rFonts w:ascii="Times" w:hAnsi="Times" w:cs="Times"/>
                <w:sz w:val="18"/>
                <w:szCs w:val="18"/>
              </w:rPr>
              <w:t xml:space="preserve">(optional) 128 antenna elements </w:t>
            </w:r>
          </w:p>
          <w:p w14:paraId="27CD9D51" w14:textId="77777777" w:rsidR="00E33F66" w:rsidRDefault="00000000">
            <w:pPr>
              <w:pStyle w:val="B1"/>
              <w:numPr>
                <w:ilvl w:val="0"/>
                <w:numId w:val="4"/>
              </w:numPr>
              <w:spacing w:after="0"/>
              <w:rPr>
                <w:rFonts w:ascii="Times" w:hAnsi="Times" w:cs="Times"/>
                <w:sz w:val="18"/>
                <w:szCs w:val="18"/>
              </w:rPr>
            </w:pPr>
            <w:r>
              <w:rPr>
                <w:rFonts w:ascii="Times" w:hAnsi="Times" w:cs="Times"/>
                <w:sz w:val="18"/>
                <w:szCs w:val="18"/>
              </w:rPr>
              <w:t>(</w:t>
            </w:r>
            <w:proofErr w:type="spellStart"/>
            <w:proofErr w:type="gramStart"/>
            <w:r>
              <w:rPr>
                <w:rFonts w:ascii="Times" w:hAnsi="Times" w:cs="Times"/>
                <w:sz w:val="18"/>
                <w:szCs w:val="18"/>
              </w:rPr>
              <w:t>M,N</w:t>
            </w:r>
            <w:proofErr w:type="gramEnd"/>
            <w:r>
              <w:rPr>
                <w:rFonts w:ascii="Times" w:hAnsi="Times" w:cs="Times"/>
                <w:sz w:val="18"/>
                <w:szCs w:val="18"/>
              </w:rPr>
              <w:t>,P,Mg,Ng</w:t>
            </w:r>
            <w:proofErr w:type="spellEnd"/>
            <w:r>
              <w:rPr>
                <w:rFonts w:ascii="Times" w:hAnsi="Times" w:cs="Times"/>
                <w:sz w:val="18"/>
                <w:szCs w:val="18"/>
              </w:rPr>
              <w:t>) = (8,8,2,1,1)</w:t>
            </w:r>
          </w:p>
          <w:p w14:paraId="1618E945" w14:textId="77777777" w:rsidR="00E33F66" w:rsidRDefault="00000000">
            <w:pPr>
              <w:pStyle w:val="B1"/>
              <w:numPr>
                <w:ilvl w:val="0"/>
                <w:numId w:val="4"/>
              </w:numPr>
              <w:spacing w:after="0"/>
              <w:rPr>
                <w:rFonts w:ascii="Times" w:hAnsi="Times" w:cs="Times"/>
                <w:sz w:val="18"/>
                <w:szCs w:val="18"/>
              </w:rPr>
            </w:pPr>
            <w:r>
              <w:rPr>
                <w:rFonts w:ascii="Times" w:hAnsi="Times" w:cs="Times"/>
                <w:sz w:val="18"/>
                <w:szCs w:val="18"/>
              </w:rPr>
              <w:t>Note: it is the same for both SBFD and non-SBFD slots</w:t>
            </w:r>
          </w:p>
          <w:p w14:paraId="54B9C26C" w14:textId="77777777" w:rsidR="00E33F66" w:rsidRDefault="00000000">
            <w:pPr>
              <w:pStyle w:val="B2"/>
              <w:spacing w:after="0"/>
              <w:ind w:left="0" w:firstLine="0"/>
              <w:rPr>
                <w:rFonts w:ascii="Times" w:hAnsi="Times" w:cs="Times"/>
                <w:sz w:val="18"/>
                <w:szCs w:val="18"/>
              </w:rPr>
            </w:pPr>
            <w:r>
              <w:rPr>
                <w:rFonts w:ascii="Times" w:hAnsi="Times" w:cs="Times"/>
                <w:sz w:val="18"/>
                <w:szCs w:val="18"/>
              </w:rPr>
              <w:lastRenderedPageBreak/>
              <w:t>Note: Companies to report the details if other antenna configurations are used.</w:t>
            </w:r>
          </w:p>
        </w:tc>
      </w:tr>
      <w:tr w:rsidR="00E33F66" w14:paraId="1B4A5423"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2F3E3C76" w14:textId="77777777" w:rsidR="00E33F66" w:rsidRDefault="00000000">
            <w:pPr>
              <w:rPr>
                <w:rFonts w:cs="Times"/>
                <w:sz w:val="18"/>
                <w:szCs w:val="18"/>
              </w:rPr>
            </w:pPr>
            <w:r>
              <w:rPr>
                <w:rFonts w:cs="Times"/>
                <w:sz w:val="18"/>
                <w:szCs w:val="18"/>
              </w:rPr>
              <w:lastRenderedPageBreak/>
              <w:t xml:space="preserve">Number of </w:t>
            </w:r>
            <w:proofErr w:type="spellStart"/>
            <w:r>
              <w:rPr>
                <w:rFonts w:cs="Times"/>
                <w:sz w:val="18"/>
                <w:szCs w:val="18"/>
              </w:rPr>
              <w:t>TxRUs</w:t>
            </w:r>
            <w:proofErr w:type="spellEnd"/>
            <w:r>
              <w:rPr>
                <w:rFonts w:cs="Times"/>
                <w:sz w:val="18"/>
                <w:szCs w:val="18"/>
              </w:rPr>
              <w:t xml:space="preserve"> for BS</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1A2347E" w14:textId="77777777" w:rsidR="00E33F66" w:rsidRDefault="00000000">
            <w:pPr>
              <w:keepNext/>
              <w:rPr>
                <w:rFonts w:cs="Times"/>
                <w:sz w:val="18"/>
                <w:szCs w:val="18"/>
              </w:rPr>
            </w:pPr>
            <w:proofErr w:type="spellStart"/>
            <w:r>
              <w:rPr>
                <w:rFonts w:cs="Times"/>
                <w:sz w:val="18"/>
                <w:szCs w:val="18"/>
              </w:rPr>
              <w:t>gNB</w:t>
            </w:r>
            <w:proofErr w:type="spellEnd"/>
            <w:r>
              <w:rPr>
                <w:rFonts w:cs="Times"/>
                <w:sz w:val="18"/>
                <w:szCs w:val="18"/>
              </w:rPr>
              <w:t xml:space="preserve"> architectures to study:</w:t>
            </w:r>
          </w:p>
          <w:p w14:paraId="46C46D09" w14:textId="77777777" w:rsidR="00E33F66" w:rsidRDefault="00000000">
            <w:pPr>
              <w:pStyle w:val="B1"/>
              <w:spacing w:after="0"/>
              <w:ind w:left="0" w:firstLine="0"/>
              <w:rPr>
                <w:rFonts w:ascii="Times" w:hAnsi="Times" w:cs="Times"/>
                <w:sz w:val="18"/>
                <w:szCs w:val="18"/>
              </w:rPr>
            </w:pPr>
            <w:r>
              <w:rPr>
                <w:rFonts w:ascii="Times" w:hAnsi="Times" w:cs="Times"/>
                <w:sz w:val="18"/>
                <w:szCs w:val="18"/>
              </w:rPr>
              <w:t xml:space="preserve">SBFD antenna configuration </w:t>
            </w:r>
            <w:proofErr w:type="gramStart"/>
            <w:r>
              <w:rPr>
                <w:rFonts w:ascii="Times" w:hAnsi="Times" w:cs="Times"/>
                <w:sz w:val="18"/>
                <w:szCs w:val="18"/>
              </w:rPr>
              <w:t>option-2</w:t>
            </w:r>
            <w:proofErr w:type="gramEnd"/>
            <w:r>
              <w:rPr>
                <w:rFonts w:ascii="Times" w:hAnsi="Times" w:cs="Times"/>
                <w:sz w:val="18"/>
                <w:szCs w:val="18"/>
              </w:rPr>
              <w:t>,</w:t>
            </w:r>
          </w:p>
          <w:p w14:paraId="7897D300" w14:textId="77777777" w:rsidR="00E33F66" w:rsidRDefault="00000000">
            <w:pPr>
              <w:pStyle w:val="B2"/>
              <w:numPr>
                <w:ilvl w:val="0"/>
                <w:numId w:val="5"/>
              </w:numPr>
              <w:spacing w:after="0"/>
              <w:textAlignment w:val="baseline"/>
              <w:rPr>
                <w:rFonts w:ascii="Times" w:hAnsi="Times" w:cs="Times"/>
                <w:sz w:val="18"/>
                <w:szCs w:val="18"/>
              </w:rPr>
            </w:pPr>
            <w:r>
              <w:rPr>
                <w:rFonts w:ascii="Times" w:hAnsi="Times" w:cs="Times"/>
                <w:sz w:val="18"/>
                <w:szCs w:val="18"/>
              </w:rPr>
              <w:t xml:space="preserve">64 </w:t>
            </w:r>
            <w:proofErr w:type="spellStart"/>
            <w:r>
              <w:rPr>
                <w:rFonts w:ascii="Times" w:hAnsi="Times" w:cs="Times"/>
                <w:sz w:val="18"/>
                <w:szCs w:val="18"/>
              </w:rPr>
              <w:t>TxRUs</w:t>
            </w:r>
            <w:proofErr w:type="spellEnd"/>
          </w:p>
          <w:p w14:paraId="73869F68" w14:textId="77777777" w:rsidR="00E33F66" w:rsidRDefault="00000000">
            <w:pPr>
              <w:pStyle w:val="B2"/>
              <w:numPr>
                <w:ilvl w:val="0"/>
                <w:numId w:val="5"/>
              </w:numPr>
              <w:spacing w:after="0"/>
              <w:rPr>
                <w:rFonts w:ascii="Times" w:hAnsi="Times" w:cs="Times"/>
                <w:sz w:val="18"/>
                <w:szCs w:val="18"/>
              </w:rPr>
            </w:pPr>
            <w:r>
              <w:rPr>
                <w:rFonts w:ascii="Times" w:hAnsi="Times" w:cs="Times"/>
                <w:sz w:val="18"/>
                <w:szCs w:val="18"/>
              </w:rPr>
              <w:t>Note: it is the same for both SBFD and non-SBFD slots</w:t>
            </w:r>
          </w:p>
          <w:p w14:paraId="0E9E5517" w14:textId="77777777" w:rsidR="00E33F66" w:rsidRDefault="00000000">
            <w:pPr>
              <w:pStyle w:val="B2"/>
              <w:spacing w:after="0"/>
              <w:ind w:left="0" w:firstLine="0"/>
              <w:rPr>
                <w:rFonts w:ascii="Times" w:hAnsi="Times" w:cs="Times"/>
                <w:sz w:val="18"/>
                <w:szCs w:val="18"/>
              </w:rPr>
            </w:pPr>
            <w:r>
              <w:rPr>
                <w:rFonts w:ascii="Times" w:hAnsi="Times" w:cs="Times"/>
                <w:sz w:val="18"/>
                <w:szCs w:val="18"/>
              </w:rPr>
              <w:t>Note: Companies to report the details if other antenna configurations are used.</w:t>
            </w:r>
          </w:p>
          <w:p w14:paraId="6B331404" w14:textId="77777777" w:rsidR="00E33F66" w:rsidRDefault="00E33F66">
            <w:pPr>
              <w:pStyle w:val="B2"/>
              <w:spacing w:after="0"/>
              <w:ind w:left="0" w:firstLine="0"/>
              <w:rPr>
                <w:rFonts w:ascii="Times" w:hAnsi="Times" w:cs="Times"/>
                <w:sz w:val="18"/>
                <w:szCs w:val="18"/>
              </w:rPr>
            </w:pPr>
          </w:p>
          <w:p w14:paraId="2193D44B" w14:textId="77777777" w:rsidR="00E33F66" w:rsidRDefault="00000000">
            <w:pPr>
              <w:keepNext/>
              <w:rPr>
                <w:rFonts w:cs="Times"/>
                <w:sz w:val="18"/>
                <w:szCs w:val="18"/>
              </w:rPr>
            </w:pPr>
            <w:proofErr w:type="spellStart"/>
            <w:r>
              <w:rPr>
                <w:rFonts w:cs="Times"/>
                <w:sz w:val="18"/>
                <w:szCs w:val="18"/>
              </w:rPr>
              <w:t>gNB</w:t>
            </w:r>
            <w:proofErr w:type="spellEnd"/>
            <w:r>
              <w:rPr>
                <w:rFonts w:cs="Times"/>
                <w:sz w:val="18"/>
                <w:szCs w:val="18"/>
              </w:rPr>
              <w:t xml:space="preserve"> modelling in LLS for TDL:</w:t>
            </w:r>
          </w:p>
          <w:p w14:paraId="3F43F805" w14:textId="77777777" w:rsidR="00E33F66" w:rsidRDefault="00000000">
            <w:pPr>
              <w:pStyle w:val="B1"/>
              <w:spacing w:after="0"/>
              <w:rPr>
                <w:rFonts w:ascii="Times" w:hAnsi="Times" w:cs="Times"/>
                <w:sz w:val="18"/>
                <w:szCs w:val="18"/>
              </w:rPr>
            </w:pPr>
            <w:r>
              <w:rPr>
                <w:rFonts w:ascii="Times" w:hAnsi="Times" w:cs="Times"/>
                <w:sz w:val="18"/>
                <w:szCs w:val="18"/>
              </w:rPr>
              <w:t>-</w:t>
            </w:r>
            <w:r>
              <w:rPr>
                <w:rFonts w:ascii="Times" w:hAnsi="Times" w:cs="Times"/>
                <w:sz w:val="18"/>
                <w:szCs w:val="18"/>
              </w:rPr>
              <w:tab/>
              <w:t xml:space="preserve">Option 1: 2 or 4 </w:t>
            </w:r>
            <w:proofErr w:type="spellStart"/>
            <w:r>
              <w:rPr>
                <w:rFonts w:ascii="Times" w:hAnsi="Times" w:cs="Times"/>
                <w:sz w:val="18"/>
                <w:szCs w:val="18"/>
              </w:rPr>
              <w:t>gNB</w:t>
            </w:r>
            <w:proofErr w:type="spellEnd"/>
            <w:r>
              <w:rPr>
                <w:rFonts w:ascii="Times" w:hAnsi="Times" w:cs="Times"/>
                <w:sz w:val="18"/>
                <w:szCs w:val="18"/>
              </w:rPr>
              <w:t xml:space="preserve"> RF chains in LLS. </w:t>
            </w:r>
          </w:p>
          <w:p w14:paraId="2D8EA931" w14:textId="77777777" w:rsidR="00E33F66" w:rsidRDefault="00000000">
            <w:pPr>
              <w:pStyle w:val="B1"/>
              <w:spacing w:after="0"/>
              <w:rPr>
                <w:rFonts w:ascii="Times" w:hAnsi="Times" w:cs="Times"/>
                <w:sz w:val="18"/>
                <w:szCs w:val="18"/>
              </w:rPr>
            </w:pPr>
            <w:r>
              <w:rPr>
                <w:rFonts w:ascii="Times" w:hAnsi="Times" w:cs="Times"/>
                <w:sz w:val="18"/>
                <w:szCs w:val="18"/>
              </w:rPr>
              <w:t>-</w:t>
            </w:r>
            <w:r>
              <w:rPr>
                <w:rFonts w:ascii="Times" w:hAnsi="Times" w:cs="Times"/>
                <w:sz w:val="18"/>
                <w:szCs w:val="18"/>
              </w:rPr>
              <w:tab/>
              <w:t xml:space="preserve">Option 2 (Optional): Number of </w:t>
            </w:r>
            <w:proofErr w:type="spellStart"/>
            <w:r>
              <w:rPr>
                <w:rFonts w:ascii="Times" w:hAnsi="Times" w:cs="Times"/>
                <w:sz w:val="18"/>
                <w:szCs w:val="18"/>
              </w:rPr>
              <w:t>gNB</w:t>
            </w:r>
            <w:proofErr w:type="spellEnd"/>
            <w:r>
              <w:rPr>
                <w:rFonts w:ascii="Times" w:hAnsi="Times" w:cs="Times"/>
                <w:sz w:val="18"/>
                <w:szCs w:val="18"/>
              </w:rPr>
              <w:t xml:space="preserve"> RF chains = number of TXRUs in LLS. </w:t>
            </w:r>
          </w:p>
          <w:p w14:paraId="54FD7A51" w14:textId="77777777" w:rsidR="00E33F66" w:rsidRDefault="00000000">
            <w:pPr>
              <w:pStyle w:val="B1"/>
              <w:spacing w:after="0"/>
              <w:rPr>
                <w:rFonts w:ascii="Times" w:hAnsi="Times" w:cs="Times"/>
                <w:sz w:val="18"/>
                <w:szCs w:val="18"/>
              </w:rPr>
            </w:pPr>
            <w:r>
              <w:rPr>
                <w:rFonts w:ascii="Times" w:hAnsi="Times" w:cs="Times"/>
                <w:sz w:val="18"/>
                <w:szCs w:val="18"/>
              </w:rPr>
              <w:t>-</w:t>
            </w:r>
            <w:r>
              <w:rPr>
                <w:rFonts w:ascii="Times" w:hAnsi="Times" w:cs="Times"/>
                <w:sz w:val="18"/>
                <w:szCs w:val="18"/>
              </w:rPr>
              <w:tab/>
              <w:t>Companies can report if and how correlation is modelled.</w:t>
            </w:r>
          </w:p>
        </w:tc>
      </w:tr>
    </w:tbl>
    <w:p w14:paraId="0D8A8CF9" w14:textId="77777777" w:rsidR="00E33F66" w:rsidRDefault="00000000">
      <w:pPr>
        <w:pStyle w:val="TH"/>
        <w:keepNext w:val="0"/>
        <w:keepLines w:val="0"/>
        <w:spacing w:before="120" w:after="0"/>
      </w:pPr>
      <w:r>
        <w:rPr>
          <w:rFonts w:ascii="Times New Roman" w:hAnsi="Times New Roman" w:cs="Times New Roman"/>
          <w:b w:val="0"/>
        </w:rPr>
        <w:t xml:space="preserve">Table X-2: </w:t>
      </w:r>
      <w:r>
        <w:t>Channel-specific parameters for PUSCH for FR1</w:t>
      </w:r>
    </w:p>
    <w:tbl>
      <w:tblPr>
        <w:tblW w:w="9077" w:type="dxa"/>
        <w:jc w:val="center"/>
        <w:tblLook w:val="04A0" w:firstRow="1" w:lastRow="0" w:firstColumn="1" w:lastColumn="0" w:noHBand="0" w:noVBand="1"/>
      </w:tblPr>
      <w:tblGrid>
        <w:gridCol w:w="3114"/>
        <w:gridCol w:w="5963"/>
      </w:tblGrid>
      <w:tr w:rsidR="00E33F66" w14:paraId="673A1032" w14:textId="77777777">
        <w:trPr>
          <w:trHeight w:val="379"/>
          <w:jc w:val="center"/>
        </w:trPr>
        <w:tc>
          <w:tcPr>
            <w:tcW w:w="3114" w:type="dxa"/>
            <w:tcBorders>
              <w:top w:val="single" w:sz="4" w:space="0" w:color="000000"/>
              <w:left w:val="single" w:sz="4" w:space="0" w:color="000000"/>
              <w:bottom w:val="single" w:sz="4" w:space="0" w:color="000000"/>
            </w:tcBorders>
            <w:shd w:val="clear" w:color="auto" w:fill="D9E2F3"/>
            <w:vAlign w:val="center"/>
          </w:tcPr>
          <w:p w14:paraId="174EE029" w14:textId="77777777" w:rsidR="00E33F66" w:rsidRDefault="00000000">
            <w:pPr>
              <w:spacing w:before="72" w:after="0"/>
              <w:jc w:val="center"/>
              <w:rPr>
                <w:bCs/>
                <w:szCs w:val="20"/>
              </w:rPr>
            </w:pPr>
            <w:r>
              <w:rPr>
                <w:bCs/>
                <w:szCs w:val="20"/>
              </w:rPr>
              <w:t>Parameter</w:t>
            </w:r>
          </w:p>
        </w:tc>
        <w:tc>
          <w:tcPr>
            <w:tcW w:w="5962" w:type="dxa"/>
            <w:tcBorders>
              <w:top w:val="single" w:sz="4" w:space="0" w:color="000000"/>
              <w:left w:val="single" w:sz="4" w:space="0" w:color="000000"/>
              <w:bottom w:val="single" w:sz="4" w:space="0" w:color="000000"/>
              <w:right w:val="single" w:sz="4" w:space="0" w:color="000000"/>
            </w:tcBorders>
            <w:shd w:val="clear" w:color="auto" w:fill="D9E2F3"/>
            <w:tcMar>
              <w:left w:w="0" w:type="dxa"/>
              <w:right w:w="0" w:type="dxa"/>
            </w:tcMar>
            <w:vAlign w:val="center"/>
          </w:tcPr>
          <w:p w14:paraId="47FA451C" w14:textId="77777777" w:rsidR="00E33F66" w:rsidRDefault="00000000">
            <w:pPr>
              <w:spacing w:before="72" w:after="0"/>
              <w:jc w:val="center"/>
              <w:rPr>
                <w:bCs/>
                <w:szCs w:val="20"/>
              </w:rPr>
            </w:pPr>
            <w:r>
              <w:rPr>
                <w:bCs/>
                <w:szCs w:val="20"/>
              </w:rPr>
              <w:t>Value</w:t>
            </w:r>
          </w:p>
        </w:tc>
      </w:tr>
      <w:tr w:rsidR="00E33F66" w14:paraId="1A7991FD"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398C43E1" w14:textId="77777777" w:rsidR="00E33F66" w:rsidRDefault="00000000">
            <w:pPr>
              <w:rPr>
                <w:sz w:val="18"/>
                <w:szCs w:val="20"/>
              </w:rPr>
            </w:pPr>
            <w:r>
              <w:rPr>
                <w:sz w:val="18"/>
                <w:szCs w:val="20"/>
              </w:rPr>
              <w:t xml:space="preserve">Frequency hopping </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514CFED" w14:textId="77777777" w:rsidR="00E33F66" w:rsidRDefault="00000000">
            <w:pPr>
              <w:rPr>
                <w:sz w:val="18"/>
                <w:szCs w:val="20"/>
              </w:rPr>
            </w:pPr>
            <w:r>
              <w:rPr>
                <w:sz w:val="18"/>
                <w:szCs w:val="20"/>
              </w:rPr>
              <w:t>w/ or w/o frequency hopping</w:t>
            </w:r>
          </w:p>
        </w:tc>
      </w:tr>
      <w:tr w:rsidR="00E33F66" w14:paraId="37C4F321"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44E2570C" w14:textId="77777777" w:rsidR="00E33F66" w:rsidRDefault="00000000">
            <w:pPr>
              <w:rPr>
                <w:sz w:val="18"/>
                <w:szCs w:val="20"/>
              </w:rPr>
            </w:pPr>
            <w:r>
              <w:rPr>
                <w:sz w:val="18"/>
                <w:szCs w:val="20"/>
              </w:rPr>
              <w:t>BLER</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A3253C8" w14:textId="77777777" w:rsidR="00E33F66" w:rsidRDefault="00000000">
            <w:pPr>
              <w:rPr>
                <w:sz w:val="18"/>
                <w:szCs w:val="20"/>
              </w:rPr>
            </w:pPr>
            <w:r>
              <w:rPr>
                <w:sz w:val="18"/>
                <w:szCs w:val="20"/>
              </w:rPr>
              <w:t xml:space="preserve">For </w:t>
            </w:r>
            <w:proofErr w:type="spellStart"/>
            <w:r>
              <w:rPr>
                <w:sz w:val="18"/>
                <w:szCs w:val="20"/>
              </w:rPr>
              <w:t>eMBB</w:t>
            </w:r>
            <w:proofErr w:type="spellEnd"/>
            <w:r>
              <w:rPr>
                <w:sz w:val="18"/>
                <w:szCs w:val="20"/>
              </w:rPr>
              <w:t xml:space="preserve">, w/ HARQ, 10% </w:t>
            </w:r>
            <w:proofErr w:type="spellStart"/>
            <w:r>
              <w:rPr>
                <w:sz w:val="18"/>
                <w:szCs w:val="20"/>
              </w:rPr>
              <w:t>iBLER</w:t>
            </w:r>
            <w:proofErr w:type="spellEnd"/>
            <w:r>
              <w:rPr>
                <w:sz w:val="18"/>
                <w:szCs w:val="20"/>
              </w:rPr>
              <w:t xml:space="preserve">; w/o HARQ, 10% </w:t>
            </w:r>
            <w:proofErr w:type="spellStart"/>
            <w:r>
              <w:rPr>
                <w:sz w:val="18"/>
                <w:szCs w:val="20"/>
              </w:rPr>
              <w:t>iBLER</w:t>
            </w:r>
            <w:proofErr w:type="spellEnd"/>
            <w:r>
              <w:rPr>
                <w:sz w:val="18"/>
                <w:szCs w:val="20"/>
              </w:rPr>
              <w:t>.</w:t>
            </w:r>
          </w:p>
        </w:tc>
      </w:tr>
      <w:tr w:rsidR="00E33F66" w14:paraId="4F47B1D8"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19AFF9CE" w14:textId="77777777" w:rsidR="00E33F66" w:rsidRDefault="00000000">
            <w:pPr>
              <w:rPr>
                <w:sz w:val="18"/>
                <w:szCs w:val="20"/>
              </w:rPr>
            </w:pPr>
            <w:r>
              <w:rPr>
                <w:sz w:val="18"/>
                <w:szCs w:val="20"/>
              </w:rPr>
              <w:t xml:space="preserve">Number of UE transmit chains </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F0F0BE3" w14:textId="77777777" w:rsidR="00E33F66" w:rsidRDefault="00000000">
            <w:pPr>
              <w:rPr>
                <w:sz w:val="18"/>
                <w:szCs w:val="20"/>
              </w:rPr>
            </w:pPr>
            <w:r>
              <w:rPr>
                <w:sz w:val="18"/>
                <w:szCs w:val="20"/>
              </w:rPr>
              <w:t xml:space="preserve">1, 2 (optional) </w:t>
            </w:r>
          </w:p>
        </w:tc>
      </w:tr>
      <w:tr w:rsidR="00E33F66" w14:paraId="3ABD887B"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0C7E9605" w14:textId="77777777" w:rsidR="00E33F66" w:rsidRDefault="00000000">
            <w:pPr>
              <w:rPr>
                <w:sz w:val="18"/>
                <w:szCs w:val="20"/>
              </w:rPr>
            </w:pPr>
            <w:r>
              <w:rPr>
                <w:sz w:val="18"/>
                <w:szCs w:val="20"/>
              </w:rPr>
              <w:t xml:space="preserve">DMRS configuration </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F4DFC87" w14:textId="77777777" w:rsidR="00E33F66" w:rsidRDefault="00000000">
            <w:pPr>
              <w:rPr>
                <w:sz w:val="18"/>
                <w:szCs w:val="20"/>
              </w:rPr>
            </w:pPr>
            <w:r>
              <w:rPr>
                <w:sz w:val="18"/>
                <w:szCs w:val="20"/>
              </w:rPr>
              <w:t>For 3km/h: Type I, 1 or 2 DMRS symbol, no multiplexing with data.</w:t>
            </w:r>
          </w:p>
          <w:p w14:paraId="1DDDC885" w14:textId="77777777" w:rsidR="00E33F66"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8"/>
                <w:szCs w:val="20"/>
              </w:rPr>
            </w:pPr>
            <w:r>
              <w:rPr>
                <w:sz w:val="18"/>
                <w:szCs w:val="20"/>
              </w:rPr>
              <w:t>For frequency hopping: Type I, 1 or 2 DMRS symbol for each hop, no multiplexing with data.</w:t>
            </w:r>
          </w:p>
          <w:p w14:paraId="60626B5C" w14:textId="77777777" w:rsidR="00E33F66" w:rsidRDefault="00000000">
            <w:pPr>
              <w:rPr>
                <w:sz w:val="18"/>
                <w:szCs w:val="20"/>
              </w:rPr>
            </w:pPr>
            <w:r>
              <w:rPr>
                <w:sz w:val="18"/>
                <w:szCs w:val="20"/>
              </w:rPr>
              <w:t>PUSCH mapping Type, the number of DMRS symbols and DMRS position(s) are reported by companies.</w:t>
            </w:r>
          </w:p>
        </w:tc>
      </w:tr>
      <w:tr w:rsidR="00E33F66" w14:paraId="1C9C1FBE"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1429AB48" w14:textId="77777777" w:rsidR="00E33F66" w:rsidRDefault="00000000">
            <w:pPr>
              <w:rPr>
                <w:sz w:val="18"/>
                <w:szCs w:val="20"/>
              </w:rPr>
            </w:pPr>
            <w:r>
              <w:rPr>
                <w:sz w:val="18"/>
                <w:szCs w:val="20"/>
              </w:rPr>
              <w:t>Waveform</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D9C9F68" w14:textId="77777777" w:rsidR="00E33F66" w:rsidRDefault="00000000">
            <w:pPr>
              <w:rPr>
                <w:sz w:val="18"/>
                <w:szCs w:val="20"/>
              </w:rPr>
            </w:pPr>
            <w:r>
              <w:rPr>
                <w:sz w:val="18"/>
                <w:szCs w:val="20"/>
              </w:rPr>
              <w:t>DFT-s-OFDM</w:t>
            </w:r>
          </w:p>
        </w:tc>
      </w:tr>
      <w:tr w:rsidR="00E33F66" w14:paraId="5AB47D9B"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2C7A7006" w14:textId="77777777" w:rsidR="00E33F66" w:rsidRDefault="00000000">
            <w:pPr>
              <w:rPr>
                <w:bCs/>
                <w:sz w:val="18"/>
                <w:szCs w:val="20"/>
              </w:rPr>
            </w:pPr>
            <w:r>
              <w:rPr>
                <w:bCs/>
                <w:sz w:val="18"/>
                <w:szCs w:val="20"/>
              </w:rPr>
              <w:t>SCS</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0287244" w14:textId="77777777" w:rsidR="00E33F66" w:rsidRDefault="00000000">
            <w:pPr>
              <w:rPr>
                <w:sz w:val="18"/>
                <w:szCs w:val="20"/>
              </w:rPr>
            </w:pPr>
            <w:r>
              <w:rPr>
                <w:sz w:val="18"/>
                <w:szCs w:val="20"/>
              </w:rPr>
              <w:t>30kHz</w:t>
            </w:r>
          </w:p>
        </w:tc>
      </w:tr>
      <w:tr w:rsidR="00E33F66" w14:paraId="386302DA"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59439A85" w14:textId="77777777" w:rsidR="00E33F66" w:rsidRDefault="00000000">
            <w:pPr>
              <w:rPr>
                <w:sz w:val="18"/>
                <w:szCs w:val="20"/>
              </w:rPr>
            </w:pPr>
            <w:r>
              <w:rPr>
                <w:sz w:val="18"/>
                <w:szCs w:val="20"/>
              </w:rPr>
              <w:t>PUSCH duration</w:t>
            </w:r>
            <w:r>
              <w:rPr>
                <w:sz w:val="18"/>
                <w:szCs w:val="20"/>
              </w:rPr>
              <w:tab/>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18BB9C9" w14:textId="77777777" w:rsidR="00E33F66" w:rsidRDefault="00000000">
            <w:pPr>
              <w:rPr>
                <w:sz w:val="18"/>
                <w:szCs w:val="20"/>
              </w:rPr>
            </w:pPr>
            <w:r>
              <w:rPr>
                <w:sz w:val="18"/>
                <w:szCs w:val="20"/>
              </w:rPr>
              <w:t>14 OS</w:t>
            </w:r>
          </w:p>
        </w:tc>
      </w:tr>
      <w:tr w:rsidR="00E33F66" w14:paraId="7D9D5D80"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49712CD4" w14:textId="77777777" w:rsidR="00E33F66" w:rsidRDefault="00000000">
            <w:pPr>
              <w:rPr>
                <w:sz w:val="18"/>
                <w:szCs w:val="20"/>
              </w:rPr>
            </w:pPr>
            <w:r>
              <w:rPr>
                <w:sz w:val="18"/>
                <w:szCs w:val="20"/>
              </w:rPr>
              <w:t xml:space="preserve">HARQ configuration </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5D18D5F" w14:textId="77777777" w:rsidR="00E33F66" w:rsidRDefault="00000000">
            <w:pPr>
              <w:rPr>
                <w:sz w:val="18"/>
                <w:szCs w:val="20"/>
              </w:rPr>
            </w:pPr>
            <w:r>
              <w:rPr>
                <w:sz w:val="18"/>
                <w:szCs w:val="20"/>
              </w:rPr>
              <w:t xml:space="preserve">For </w:t>
            </w:r>
            <w:proofErr w:type="spellStart"/>
            <w:r>
              <w:rPr>
                <w:sz w:val="18"/>
                <w:szCs w:val="20"/>
              </w:rPr>
              <w:t>eMBB</w:t>
            </w:r>
            <w:proofErr w:type="spellEnd"/>
            <w:r>
              <w:rPr>
                <w:sz w:val="18"/>
                <w:szCs w:val="20"/>
              </w:rPr>
              <w:t xml:space="preserve">, whether HARQ is adopted is reported by companies. </w:t>
            </w:r>
          </w:p>
          <w:p w14:paraId="23292C83" w14:textId="77777777" w:rsidR="00E33F66" w:rsidRDefault="00000000">
            <w:pPr>
              <w:rPr>
                <w:sz w:val="18"/>
                <w:szCs w:val="20"/>
              </w:rPr>
            </w:pPr>
            <w:r>
              <w:rPr>
                <w:sz w:val="18"/>
                <w:szCs w:val="20"/>
              </w:rPr>
              <w:t>The maximum number of HARQ transmission (limited by frame structure and latency requirements) can be reported by companies.</w:t>
            </w:r>
          </w:p>
        </w:tc>
      </w:tr>
      <w:tr w:rsidR="00E33F66" w14:paraId="084CFBFC" w14:textId="77777777">
        <w:trPr>
          <w:trHeight w:val="147"/>
          <w:jc w:val="center"/>
        </w:trPr>
        <w:tc>
          <w:tcPr>
            <w:tcW w:w="3114" w:type="dxa"/>
            <w:tcBorders>
              <w:top w:val="single" w:sz="4" w:space="0" w:color="000000"/>
              <w:left w:val="single" w:sz="4" w:space="0" w:color="000000"/>
              <w:bottom w:val="single" w:sz="4" w:space="0" w:color="000000"/>
            </w:tcBorders>
            <w:vAlign w:val="center"/>
          </w:tcPr>
          <w:p w14:paraId="1918F562" w14:textId="77777777" w:rsidR="00E33F66" w:rsidRDefault="00000000">
            <w:pPr>
              <w:rPr>
                <w:sz w:val="18"/>
                <w:szCs w:val="20"/>
              </w:rPr>
            </w:pPr>
            <w:r>
              <w:rPr>
                <w:sz w:val="18"/>
                <w:szCs w:val="20"/>
              </w:rPr>
              <w:t xml:space="preserve">PRBs/TBS/MCS for </w:t>
            </w:r>
            <w:proofErr w:type="spellStart"/>
            <w:r>
              <w:rPr>
                <w:sz w:val="18"/>
                <w:szCs w:val="20"/>
              </w:rPr>
              <w:t>eMBB</w:t>
            </w:r>
            <w:proofErr w:type="spellEnd"/>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D8A6A12" w14:textId="77777777" w:rsidR="00E33F66" w:rsidRDefault="00000000">
            <w:pPr>
              <w:rPr>
                <w:sz w:val="18"/>
                <w:szCs w:val="20"/>
              </w:rPr>
            </w:pPr>
            <w:r>
              <w:rPr>
                <w:sz w:val="18"/>
                <w:szCs w:val="20"/>
              </w:rPr>
              <w:t>Any value of PRBs, and corresponding MCS index, reported by companies will be considered in the discussion. Companies are encouraged to use 30 PRBs for 1Mbps as a starting point.</w:t>
            </w:r>
          </w:p>
          <w:p w14:paraId="72141A97" w14:textId="77777777" w:rsidR="00E33F66" w:rsidRDefault="00000000">
            <w:pPr>
              <w:rPr>
                <w:sz w:val="18"/>
                <w:szCs w:val="20"/>
              </w:rPr>
            </w:pPr>
            <w:r>
              <w:rPr>
                <w:sz w:val="18"/>
                <w:szCs w:val="20"/>
              </w:rPr>
              <w:t xml:space="preserve">TBS can be calculated based on </w:t>
            </w:r>
            <w:proofErr w:type="gramStart"/>
            <w:r>
              <w:rPr>
                <w:sz w:val="18"/>
                <w:szCs w:val="20"/>
              </w:rPr>
              <w:t>e.g.</w:t>
            </w:r>
            <w:proofErr w:type="gramEnd"/>
            <w:r>
              <w:rPr>
                <w:sz w:val="18"/>
                <w:szCs w:val="20"/>
              </w:rPr>
              <w:t xml:space="preserve"> the number of PRBs, target data rate, frame structure and overhead.</w:t>
            </w:r>
          </w:p>
        </w:tc>
      </w:tr>
    </w:tbl>
    <w:p w14:paraId="0C6BA008" w14:textId="77777777" w:rsidR="00E33F66" w:rsidRDefault="00E33F66">
      <w:pPr>
        <w:pStyle w:val="TH"/>
        <w:keepNext w:val="0"/>
        <w:keepLines w:val="0"/>
        <w:spacing w:before="120" w:after="0"/>
      </w:pPr>
    </w:p>
    <w:sectPr w:rsidR="00E33F66">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DejaVu San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OpenSymbol">
    <w:altName w:val="Calibri"/>
    <w:charset w:val="01"/>
    <w:family w:val="roman"/>
    <w:pitch w:val="variable"/>
  </w:font>
  <w:font w:name="Times;Times New Roman">
    <w:panose1 w:val="00000000000000000000"/>
    <w:charset w:val="00"/>
    <w:family w:val="roman"/>
    <w:notTrueType/>
    <w:pitch w:val="default"/>
  </w:font>
  <w:font w:name="바탕;Batang">
    <w:panose1 w:val="00000000000000000000"/>
    <w:charset w:val="80"/>
    <w:family w:val="roman"/>
    <w:notTrueType/>
    <w:pitch w:val="default"/>
  </w:font>
  <w:font w:name="Liberation Sans">
    <w:altName w:val="Arial"/>
    <w:charset w:val="01"/>
    <w:family w:val="roman"/>
    <w:pitch w:val="variable"/>
  </w:font>
  <w:font w:name="Noto Sans CJK SC Regular">
    <w:altName w:val="Gubbi"/>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굴림;Gulim">
    <w:panose1 w:val="00000000000000000000"/>
    <w:charset w:val="80"/>
    <w:family w:val="roman"/>
    <w:notTrueType/>
    <w:pitch w:val="default"/>
  </w:font>
  <w:font w:name="MS Mincho;Yu Gothic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70FF"/>
    <w:multiLevelType w:val="multilevel"/>
    <w:tmpl w:val="723E2AD4"/>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1908745F"/>
    <w:multiLevelType w:val="multilevel"/>
    <w:tmpl w:val="5BFA1A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5E623DF"/>
    <w:multiLevelType w:val="multilevel"/>
    <w:tmpl w:val="D67A97A2"/>
    <w:lvl w:ilvl="0">
      <w:start w:val="5"/>
      <w:numFmt w:val="decimal"/>
      <w:lvlText w:val="%1."/>
      <w:lvlJc w:val="left"/>
      <w:pPr>
        <w:tabs>
          <w:tab w:val="num" w:pos="0"/>
        </w:tabs>
        <w:ind w:left="720" w:hanging="360"/>
      </w:pPr>
    </w:lvl>
    <w:lvl w:ilvl="1">
      <w:start w:val="1"/>
      <w:numFmt w:val="decimal"/>
      <w:lvlText w:val="%1.%2."/>
      <w:lvlJc w:val="left"/>
      <w:pPr>
        <w:tabs>
          <w:tab w:val="num" w:pos="0"/>
        </w:tabs>
        <w:ind w:left="1440" w:hanging="360"/>
      </w:pPr>
    </w:lvl>
    <w:lvl w:ilvl="2">
      <w:start w:val="1"/>
      <w:numFmt w:val="decimal"/>
      <w:lvlText w:val="%1.%2.%3."/>
      <w:lvlJc w:val="left"/>
      <w:pPr>
        <w:tabs>
          <w:tab w:val="num" w:pos="0"/>
        </w:tabs>
        <w:ind w:left="2160" w:hanging="18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18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180"/>
      </w:pPr>
    </w:lvl>
  </w:abstractNum>
  <w:abstractNum w:abstractNumId="3" w15:restartNumberingAfterBreak="0">
    <w:nsid w:val="2812710D"/>
    <w:multiLevelType w:val="multilevel"/>
    <w:tmpl w:val="88CA4C70"/>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4BBF15F0"/>
    <w:multiLevelType w:val="multilevel"/>
    <w:tmpl w:val="A0CC6032"/>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Symbol" w:hAnsi="Symbol" w:cs="Symbol"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540173C0"/>
    <w:multiLevelType w:val="multilevel"/>
    <w:tmpl w:val="B3DEFC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2471AA1"/>
    <w:multiLevelType w:val="multilevel"/>
    <w:tmpl w:val="74B2740A"/>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Symbol" w:hAnsi="Symbol" w:cs="Symbol"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70AD6188"/>
    <w:multiLevelType w:val="multilevel"/>
    <w:tmpl w:val="F09AC6F0"/>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72AF66CC"/>
    <w:multiLevelType w:val="multilevel"/>
    <w:tmpl w:val="DB784340"/>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490414732">
    <w:abstractNumId w:val="2"/>
  </w:num>
  <w:num w:numId="2" w16cid:durableId="1318807696">
    <w:abstractNumId w:val="1"/>
  </w:num>
  <w:num w:numId="3" w16cid:durableId="1035272818">
    <w:abstractNumId w:val="8"/>
  </w:num>
  <w:num w:numId="4" w16cid:durableId="36977115">
    <w:abstractNumId w:val="6"/>
  </w:num>
  <w:num w:numId="5" w16cid:durableId="1995991214">
    <w:abstractNumId w:val="4"/>
  </w:num>
  <w:num w:numId="6" w16cid:durableId="1014961832">
    <w:abstractNumId w:val="3"/>
  </w:num>
  <w:num w:numId="7" w16cid:durableId="1108961544">
    <w:abstractNumId w:val="7"/>
  </w:num>
  <w:num w:numId="8" w16cid:durableId="2084914345">
    <w:abstractNumId w:val="0"/>
  </w:num>
  <w:num w:numId="9" w16cid:durableId="5585896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E33F66"/>
    <w:rsid w:val="00591E5F"/>
    <w:rsid w:val="00B64AF2"/>
    <w:rsid w:val="00DB0A70"/>
    <w:rsid w:val="00E33F6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5861B"/>
  <w15:docId w15:val="{D2E9DB56-DA48-4919-9BC6-946338637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val="0"/>
      <w:sz w:val="20"/>
      <w:szCs w:val="16"/>
      <w:lang w:val="en-GB"/>
    </w:rPr>
  </w:style>
  <w:style w:type="character" w:customStyle="1" w:styleId="WW8Num3z0">
    <w:name w:val="WW8Num3z0"/>
    <w:qFormat/>
    <w:rPr>
      <w:rFonts w:ascii="Arial" w:eastAsia="Malgun Gothic" w:hAnsi="Arial" w:cs="Arial"/>
      <w:lang w:eastAsia="ko-KR"/>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Malgun Gothic" w:hAnsi="Arial" w:cs="Arial"/>
      <w:lang w:eastAsia="ko-KR"/>
    </w:rPr>
  </w:style>
  <w:style w:type="character" w:customStyle="1" w:styleId="WW8Num4z1">
    <w:name w:val="WW8Num4z1"/>
    <w:qFormat/>
    <w:rPr>
      <w:rFonts w:ascii="Wingdings" w:hAnsi="Wingdings" w:cs="Wingdings"/>
    </w:rPr>
  </w:style>
  <w:style w:type="character" w:customStyle="1" w:styleId="WW8Num5z0">
    <w:name w:val="WW8Num5z0"/>
    <w:qFormat/>
    <w:rPr>
      <w:rFonts w:ascii="Times New Roman" w:eastAsia="Malgun Gothic" w:hAnsi="Times New Roman" w:cs="Times New Roman"/>
      <w:b/>
      <w:lang w:eastAsia="ko-KR"/>
    </w:rPr>
  </w:style>
  <w:style w:type="character" w:customStyle="1" w:styleId="WW8Num5z1">
    <w:name w:val="WW8Num5z1"/>
    <w:qFormat/>
    <w:rPr>
      <w:rFonts w:ascii="Wingdings" w:eastAsia="Malgun Gothic" w:hAnsi="Wingdings" w:cs="Wingdings"/>
      <w:lang w:eastAsia="ko-KR"/>
    </w:rPr>
  </w:style>
  <w:style w:type="character" w:customStyle="1" w:styleId="WW8Num6z0">
    <w:name w:val="WW8Num6z0"/>
    <w:qFormat/>
    <w:rPr>
      <w:rFonts w:ascii="Times New Roman" w:eastAsia="Malgun Gothic" w:hAnsi="Times New Roman" w:cs="Times New Roman"/>
      <w:b/>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Times New Roman" w:eastAsia="Malgun Gothic" w:hAnsi="Times New Roman" w:cs="Times New Roman"/>
      <w:b/>
      <w:lang w:eastAsia="ko-KR"/>
    </w:rPr>
  </w:style>
  <w:style w:type="character" w:customStyle="1" w:styleId="WW8Num7z1">
    <w:name w:val="WW8Num7z1"/>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color w:val="000000"/>
      <w:szCs w:val="21"/>
      <w:lang w:eastAsia="zh-CN"/>
    </w:rPr>
  </w:style>
  <w:style w:type="character" w:customStyle="1" w:styleId="WW8Num10z1">
    <w:name w:val="WW8Num10z1"/>
    <w:qFormat/>
    <w:rPr>
      <w:rFonts w:ascii="Courier New" w:hAnsi="Courier New" w:cs="Courier New"/>
      <w:color w:val="000000"/>
      <w:szCs w:val="21"/>
      <w:lang w:eastAsia="zh-CN"/>
    </w:rPr>
  </w:style>
  <w:style w:type="character" w:customStyle="1" w:styleId="WW8Num10z2">
    <w:name w:val="WW8Num10z2"/>
    <w:qFormat/>
    <w:rPr>
      <w:rFonts w:ascii="Wingdings" w:hAnsi="Wingdings" w:cs="Wingdings"/>
    </w:rPr>
  </w:style>
  <w:style w:type="character" w:customStyle="1" w:styleId="WW-DefaultParagraphFont">
    <w:name w:val="WW-Default Paragraph Font"/>
    <w:qFormat/>
  </w:style>
  <w:style w:type="character" w:customStyle="1" w:styleId="WW8Num5z2">
    <w:name w:val="WW8Num5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WW8Num27z0">
    <w:name w:val="WW8Num27z0"/>
    <w:qFormat/>
    <w:rPr>
      <w:rFonts w:ascii="Times;Times New Roman" w:eastAsia="Malgun Gothic" w:hAnsi="Times;Times New Roman" w:cs="Times;Times New Roman"/>
      <w:color w:val="FF0000"/>
      <w:szCs w:val="20"/>
      <w:highlight w:val="yellow"/>
      <w:lang w:eastAsia="ko-KR"/>
    </w:rPr>
  </w:style>
  <w:style w:type="character" w:customStyle="1" w:styleId="WW8Num27z1">
    <w:name w:val="WW8Num27z1"/>
    <w:qFormat/>
    <w:rPr>
      <w:rFonts w:ascii="Courier New" w:hAnsi="Courier New" w:cs="Courier New"/>
    </w:rPr>
  </w:style>
  <w:style w:type="character" w:customStyle="1" w:styleId="WW8Num27z2">
    <w:name w:val="WW8Num27z2"/>
    <w:qFormat/>
    <w:rPr>
      <w:rFonts w:ascii="Arial" w:hAnsi="Arial" w:cs="Arial"/>
    </w:rPr>
  </w:style>
  <w:style w:type="character" w:customStyle="1" w:styleId="WW8Num90z0">
    <w:name w:val="WW8Num90z0"/>
    <w:qFormat/>
    <w:rPr>
      <w:rFonts w:ascii="Times" w:eastAsia="바탕;Batang" w:hAnsi="Times" w:cs="Times"/>
      <w:szCs w:val="20"/>
      <w:lang w:eastAsia="ko-KR"/>
    </w:rPr>
  </w:style>
  <w:style w:type="character" w:customStyle="1" w:styleId="WW8Num90z1">
    <w:name w:val="WW8Num90z1"/>
    <w:qFormat/>
    <w:rPr>
      <w:rFonts w:ascii="Wingdings" w:hAnsi="Wingdings" w:cs="Wingdings"/>
      <w:lang w:eastAsia="ko-KR"/>
    </w:rPr>
  </w:style>
  <w:style w:type="character" w:customStyle="1" w:styleId="StrongEmphasis">
    <w:name w:val="Strong Emphasis"/>
    <w:qFormat/>
    <w:rPr>
      <w:b/>
      <w:bCs/>
    </w:rPr>
  </w:style>
  <w:style w:type="character" w:customStyle="1" w:styleId="apple-converted-space">
    <w:name w:val="apple-converted-space"/>
    <w:qFormat/>
  </w:style>
  <w:style w:type="character" w:customStyle="1" w:styleId="WW8Num170z0">
    <w:name w:val="WW8Num170z0"/>
    <w:qFormat/>
    <w:rPr>
      <w:rFonts w:ascii="Symbol" w:hAnsi="Symbol" w:cs="Symbol"/>
      <w:sz w:val="20"/>
      <w:szCs w:val="20"/>
      <w:lang w:eastAsia="ko-KR"/>
    </w:rPr>
  </w:style>
  <w:style w:type="character" w:customStyle="1" w:styleId="WW8Num170z1">
    <w:name w:val="WW8Num170z1"/>
    <w:qFormat/>
    <w:rPr>
      <w:rFonts w:ascii="Courier New" w:hAnsi="Courier New" w:cs="Courier New"/>
    </w:rPr>
  </w:style>
  <w:style w:type="character" w:customStyle="1" w:styleId="WW8Num170z2">
    <w:name w:val="WW8Num170z2"/>
    <w:qFormat/>
    <w:rPr>
      <w:rFonts w:ascii="Wingdings" w:hAnsi="Wingdings" w:cs="Wingdings"/>
    </w:rPr>
  </w:style>
  <w:style w:type="character" w:customStyle="1" w:styleId="WW8Num235z0">
    <w:name w:val="WW8Num235z0"/>
    <w:qFormat/>
    <w:rPr>
      <w:rFonts w:ascii="Wingdings" w:hAnsi="Wingdings" w:cs="Wingdings"/>
    </w:rPr>
  </w:style>
  <w:style w:type="character" w:customStyle="1" w:styleId="WW8Num139z0">
    <w:name w:val="WW8Num139z0"/>
    <w:qFormat/>
    <w:rPr>
      <w:rFonts w:ascii="Times" w:eastAsia="바탕;Batang" w:hAnsi="Times" w:cs="Times"/>
      <w:szCs w:val="20"/>
      <w:highlight w:val="cyan"/>
      <w:lang w:val="en-CA" w:eastAsia="zh-CN"/>
    </w:rPr>
  </w:style>
  <w:style w:type="character" w:customStyle="1" w:styleId="WW8Num139z1">
    <w:name w:val="WW8Num139z1"/>
    <w:qFormat/>
    <w:rPr>
      <w:rFonts w:ascii="Wingdings" w:eastAsia="Times New Roman" w:hAnsi="Wingdings" w:cs="Wingdings"/>
      <w:vertAlign w:val="subscript"/>
    </w:rPr>
  </w:style>
  <w:style w:type="character" w:customStyle="1" w:styleId="WW8Num108z0">
    <w:name w:val="WW8Num108z0"/>
    <w:qFormat/>
    <w:rPr>
      <w:rFonts w:ascii="Times" w:eastAsia="바탕;Batang" w:hAnsi="Times" w:cs="Times"/>
      <w:color w:val="000000"/>
    </w:rPr>
  </w:style>
  <w:style w:type="character" w:customStyle="1" w:styleId="WW8Num108z1">
    <w:name w:val="WW8Num108z1"/>
    <w:qFormat/>
    <w:rPr>
      <w:rFonts w:ascii="Symbol" w:hAnsi="Symbol" w:cs="Symbol"/>
      <w:color w:val="000000"/>
    </w:rPr>
  </w:style>
  <w:style w:type="character" w:customStyle="1" w:styleId="WW8Num108z2">
    <w:name w:val="WW8Num108z2"/>
    <w:qFormat/>
    <w:rPr>
      <w:rFonts w:ascii="Courier New" w:hAnsi="Courier New" w:cs="Courier New"/>
    </w:rPr>
  </w:style>
  <w:style w:type="character" w:customStyle="1" w:styleId="WW8Num108z3">
    <w:name w:val="WW8Num108z3"/>
    <w:qFormat/>
    <w:rPr>
      <w:rFonts w:ascii="Symbol" w:hAnsi="Symbol" w:cs="Symbol"/>
    </w:rPr>
  </w:style>
  <w:style w:type="character" w:customStyle="1" w:styleId="WW8Num108z4">
    <w:name w:val="WW8Num108z4"/>
    <w:qFormat/>
    <w:rPr>
      <w:rFonts w:ascii="Wingdings" w:hAnsi="Wingdings" w:cs="Wingdings"/>
    </w:rPr>
  </w:style>
  <w:style w:type="character" w:customStyle="1" w:styleId="WW8Num33z0">
    <w:name w:val="WW8Num33z0"/>
    <w:qFormat/>
    <w:rPr>
      <w:rFonts w:ascii="Times" w:eastAsia="바탕;Batang" w:hAnsi="Times" w:cs="Times"/>
      <w:color w:val="000000"/>
    </w:rPr>
  </w:style>
  <w:style w:type="character" w:customStyle="1" w:styleId="WW8Num33z1">
    <w:name w:val="WW8Num33z1"/>
    <w:qFormat/>
    <w:rPr>
      <w:rFonts w:ascii="Symbol" w:hAnsi="Symbol" w:cs="Symbol"/>
      <w:color w:val="000000"/>
    </w:rPr>
  </w:style>
  <w:style w:type="character" w:customStyle="1" w:styleId="WW8Num33z2">
    <w:name w:val="WW8Num33z2"/>
    <w:qFormat/>
    <w:rPr>
      <w:rFonts w:ascii="Courier New" w:hAnsi="Courier New" w:cs="Courier New"/>
    </w:rPr>
  </w:style>
  <w:style w:type="character" w:customStyle="1" w:styleId="WW8Num33z3">
    <w:name w:val="WW8Num33z3"/>
    <w:qFormat/>
    <w:rPr>
      <w:rFonts w:ascii="Symbol" w:hAnsi="Symbol" w:cs="Symbol"/>
    </w:rPr>
  </w:style>
  <w:style w:type="character" w:customStyle="1" w:styleId="WW8Num33z4">
    <w:name w:val="WW8Num33z4"/>
    <w:qFormat/>
    <w:rPr>
      <w:rFonts w:ascii="Wingdings" w:hAnsi="Wingdings" w:cs="Wingdings"/>
    </w:rPr>
  </w:style>
  <w:style w:type="character" w:customStyle="1" w:styleId="WW8Num58z0">
    <w:name w:val="WW8Num58z0"/>
    <w:qFormat/>
    <w:rPr>
      <w:rFonts w:ascii="Times" w:eastAsia="바탕;Batang" w:hAnsi="Times" w:cs="Times"/>
      <w:color w:val="000000"/>
      <w:szCs w:val="20"/>
    </w:rPr>
  </w:style>
  <w:style w:type="character" w:customStyle="1" w:styleId="WW8Num58z1">
    <w:name w:val="WW8Num58z1"/>
    <w:qFormat/>
    <w:rPr>
      <w:rFonts w:ascii="Symbol" w:hAnsi="Symbol" w:cs="Symbol"/>
      <w:color w:val="000000"/>
    </w:rPr>
  </w:style>
  <w:style w:type="character" w:customStyle="1" w:styleId="WW8Num58z2">
    <w:name w:val="WW8Num58z2"/>
    <w:qFormat/>
    <w:rPr>
      <w:rFonts w:ascii="Courier New" w:hAnsi="Courier New" w:cs="Courier New"/>
      <w:szCs w:val="20"/>
    </w:rPr>
  </w:style>
  <w:style w:type="character" w:customStyle="1" w:styleId="WW8Num58z3">
    <w:name w:val="WW8Num58z3"/>
    <w:qFormat/>
    <w:rPr>
      <w:rFonts w:ascii="Wingdings" w:hAnsi="Wingdings" w:cs="Wingdings"/>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customStyle="1" w:styleId="B2">
    <w:name w:val="B2"/>
    <w:basedOn w:val="Normal"/>
    <w:qFormat/>
    <w:pPr>
      <w:ind w:left="851" w:hanging="284"/>
    </w:pPr>
  </w:style>
  <w:style w:type="paragraph" w:styleId="Revision">
    <w:name w:val="Revision"/>
    <w:uiPriority w:val="99"/>
    <w:semiHidden/>
    <w:qFormat/>
    <w:rsid w:val="007E62D0"/>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Proposal2">
    <w:name w:val="Proposal2"/>
    <w:basedOn w:val="Heading4"/>
    <w:qFormat/>
    <w:rPr>
      <w:rFonts w:eastAsia="Times New Roman"/>
      <w:bCs w:val="0"/>
      <w:iCs/>
      <w:sz w:val="20"/>
      <w:u w:val="single"/>
      <w:lang w:eastAsia="ja-JP"/>
    </w:rPr>
  </w:style>
  <w:style w:type="paragraph" w:customStyle="1" w:styleId="proposal20">
    <w:name w:val="proposal2"/>
    <w:basedOn w:val="Normal"/>
    <w:qFormat/>
    <w:pPr>
      <w:spacing w:before="280" w:after="280"/>
    </w:pPr>
    <w:rPr>
      <w:rFonts w:ascii="굴림;Gulim" w:eastAsia="굴림;Gulim" w:hAnsi="굴림;Gulim" w:cs="굴림;Gulim"/>
      <w:sz w:val="24"/>
      <w:lang w:eastAsia="ko-KR"/>
    </w:rPr>
  </w:style>
  <w:style w:type="paragraph" w:customStyle="1" w:styleId="ListParagraph1">
    <w:name w:val="List Paragraph1"/>
    <w:basedOn w:val="Normal"/>
    <w:qFormat/>
    <w:pPr>
      <w:spacing w:after="0"/>
      <w:ind w:left="720"/>
      <w:contextualSpacing/>
    </w:pPr>
    <w:rPr>
      <w:rFonts w:eastAsia="Times New Roman"/>
      <w:sz w:val="24"/>
    </w:rPr>
  </w:style>
  <w:style w:type="paragraph" w:customStyle="1" w:styleId="10">
    <w:name w:val="列出段落1"/>
    <w:basedOn w:val="Normal"/>
    <w:qFormat/>
    <w:pPr>
      <w:ind w:firstLine="420"/>
    </w:pPr>
  </w:style>
  <w:style w:type="paragraph" w:customStyle="1" w:styleId="TH">
    <w:name w:val="TH"/>
    <w:basedOn w:val="Normal"/>
    <w:qFormat/>
    <w:pPr>
      <w:keepNext/>
      <w:keepLines/>
      <w:spacing w:before="60" w:after="180"/>
      <w:jc w:val="center"/>
      <w:textAlignment w:val="baseline"/>
    </w:pPr>
    <w:rPr>
      <w:rFonts w:ascii="Arial" w:eastAsia="Times New Roman" w:hAnsi="Arial" w:cs="Arial"/>
      <w:b/>
      <w:szCs w:val="20"/>
    </w:rPr>
  </w:style>
  <w:style w:type="paragraph" w:customStyle="1" w:styleId="B1">
    <w:name w:val="B1"/>
    <w:basedOn w:val="List"/>
    <w:qFormat/>
    <w:pPr>
      <w:spacing w:after="180"/>
      <w:ind w:left="568" w:hanging="284"/>
    </w:pPr>
    <w:rPr>
      <w:rFonts w:eastAsia="MS Mincho;Yu Gothic UI"/>
      <w:szCs w:val="20"/>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27">
    <w:name w:val="WW8Num27"/>
    <w:qFormat/>
  </w:style>
  <w:style w:type="numbering" w:customStyle="1" w:styleId="WW8Num90">
    <w:name w:val="WW8Num90"/>
    <w:qFormat/>
  </w:style>
  <w:style w:type="numbering" w:customStyle="1" w:styleId="WW8Num13">
    <w:name w:val="WW8Num13"/>
    <w:qFormat/>
  </w:style>
  <w:style w:type="numbering" w:customStyle="1" w:styleId="WW8Num9">
    <w:name w:val="WW8Num9"/>
    <w:qFormat/>
  </w:style>
  <w:style w:type="numbering" w:customStyle="1" w:styleId="WW8Num170">
    <w:name w:val="WW8Num170"/>
    <w:qFormat/>
  </w:style>
  <w:style w:type="numbering" w:customStyle="1" w:styleId="WW8Num235">
    <w:name w:val="WW8Num235"/>
    <w:qFormat/>
  </w:style>
  <w:style w:type="numbering" w:customStyle="1" w:styleId="WW8Num10">
    <w:name w:val="WW8Num10"/>
    <w:qFormat/>
  </w:style>
  <w:style w:type="numbering" w:customStyle="1" w:styleId="WW8Num139">
    <w:name w:val="WW8Num139"/>
    <w:qFormat/>
  </w:style>
  <w:style w:type="numbering" w:customStyle="1" w:styleId="WW8Num108">
    <w:name w:val="WW8Num108"/>
    <w:qFormat/>
  </w:style>
  <w:style w:type="numbering" w:customStyle="1" w:styleId="WW8Num33">
    <w:name w:val="WW8Num33"/>
    <w:qFormat/>
  </w:style>
  <w:style w:type="numbering" w:customStyle="1" w:styleId="WW8Num7">
    <w:name w:val="WW8Num7"/>
    <w:qFormat/>
  </w:style>
  <w:style w:type="numbering" w:customStyle="1" w:styleId="WW8Num58">
    <w:name w:val="WW8Num5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jpe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1848</Words>
  <Characters>10537</Characters>
  <Application>Microsoft Office Word</Application>
  <DocSecurity>0</DocSecurity>
  <Lines>87</Lines>
  <Paragraphs>24</Paragraphs>
  <ScaleCrop>false</ScaleCrop>
  <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2</cp:revision>
  <cp:lastPrinted>2007-06-19T00:08:00Z</cp:lastPrinted>
  <dcterms:created xsi:type="dcterms:W3CDTF">2023-08-11T07:58:00Z</dcterms:created>
  <dcterms:modified xsi:type="dcterms:W3CDTF">2023-08-11T07:58:00Z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