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lastRenderedPageBreak/>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lastRenderedPageBreak/>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SimSun"/>
                <w:lang w:val="en-US" w:eastAsia="zh-CN"/>
              </w:rPr>
              <w:lastRenderedPageBreak/>
              <w:t xml:space="preserve">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lastRenderedPageBreak/>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SimSun"/>
                <w:lang w:val="en-US" w:eastAsia="zh-CN"/>
              </w:rPr>
              <w:lastRenderedPageBreak/>
              <w:t xml:space="preserve">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lastRenderedPageBreak/>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lastRenderedPageBreak/>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lastRenderedPageBreak/>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lastRenderedPageBreak/>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lastRenderedPageBreak/>
              <w:t>HiSilicon</w:t>
            </w:r>
            <w:proofErr w:type="spellEnd"/>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lastRenderedPageBreak/>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2E7774">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2E7774">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2E7774">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800E1E">
            <w:pPr>
              <w:jc w:val="left"/>
              <w:rPr>
                <w:rFonts w:eastAsia="PMingLiU"/>
                <w:lang w:val="en-US" w:eastAsia="zh-TW"/>
              </w:rPr>
            </w:pP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2E7774">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2E7774">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2E7774">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2E7774">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800E1E">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800E1E">
            <w:pPr>
              <w:jc w:val="left"/>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 xml:space="preserve">We are fine to consider the cases listed by Ericsson and Qualcomm, i.e., N1+N2+0.5+Xms, </w:t>
            </w:r>
            <w:r>
              <w:rPr>
                <w:rFonts w:eastAsia="Yu Mincho"/>
                <w:lang w:val="en-US" w:eastAsia="ja-JP"/>
              </w:rPr>
              <w:lastRenderedPageBreak/>
              <w:t>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lastRenderedPageBreak/>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2E7774">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800E1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800E1E">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PDSCH (for both unicast and broadcast) and PUSCH, with </w:t>
            </w:r>
            <w:r>
              <w:rPr>
                <w:lang w:val="en-US"/>
              </w:rPr>
              <w:lastRenderedPageBreak/>
              <w:t>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w:t>
            </w:r>
            <w:r>
              <w:rPr>
                <w:rFonts w:eastAsiaTheme="minorEastAsia"/>
                <w:lang w:val="en-US" w:eastAsia="zh-CN"/>
              </w:rPr>
              <w:lastRenderedPageBreak/>
              <w:t xml:space="preserve">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w:t>
            </w:r>
            <w:r>
              <w:rPr>
                <w:rFonts w:eastAsia="Calibri"/>
                <w:lang w:val="en-US" w:eastAsia="ja-JP"/>
              </w:rPr>
              <w:lastRenderedPageBreak/>
              <w:t>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lastRenderedPageBreak/>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w:t>
            </w:r>
            <w:r>
              <w:rPr>
                <w:rFonts w:eastAsia="SimSun"/>
                <w:lang w:val="en-US" w:eastAsia="zh-CN"/>
              </w:rPr>
              <w:lastRenderedPageBreak/>
              <w:t xml:space="preserve">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w:t>
            </w:r>
            <w:r>
              <w:rPr>
                <w:rFonts w:eastAsiaTheme="minorEastAsia"/>
                <w:lang w:val="en-US" w:eastAsia="zh-CN"/>
              </w:rPr>
              <w:lastRenderedPageBreak/>
              <w:t xml:space="preserve">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 xml:space="preserve">At the time of the autonomous SI acquisition, unicast is decoded while it is </w:t>
            </w:r>
            <w:r>
              <w:rPr>
                <w:rFonts w:eastAsia="Yu Mincho"/>
                <w:sz w:val="20"/>
                <w:szCs w:val="21"/>
                <w:lang w:val="en-US"/>
              </w:rPr>
              <w:lastRenderedPageBreak/>
              <w:t>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 xml:space="preserve">If the gNB keep scheduling before PUCCH of the unicast PDSCH, the UE </w:t>
            </w:r>
            <w:r>
              <w:rPr>
                <w:rFonts w:hint="eastAsia"/>
                <w:lang w:val="en-US" w:eastAsia="zh-CN"/>
              </w:rPr>
              <w:lastRenderedPageBreak/>
              <w:t>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lastRenderedPageBreak/>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w:t>
            </w:r>
            <w:r>
              <w:rPr>
                <w:rFonts w:eastAsiaTheme="minorEastAsia"/>
                <w:lang w:val="en-US" w:eastAsia="zh-CN"/>
              </w:rPr>
              <w:lastRenderedPageBreak/>
              <w:t xml:space="preserve">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lastRenderedPageBreak/>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lastRenderedPageBreak/>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w:t>
            </w:r>
            <w:r>
              <w:rPr>
                <w:rFonts w:eastAsia="SimSun" w:hint="eastAsia"/>
                <w:lang w:val="en-US" w:eastAsia="zh-CN"/>
              </w:rPr>
              <w:lastRenderedPageBreak/>
              <w:t xml:space="preserve">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lastRenderedPageBreak/>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w:t>
            </w:r>
            <w:r>
              <w:rPr>
                <w:rFonts w:eastAsiaTheme="minorEastAsia"/>
                <w:lang w:val="en-US" w:eastAsia="zh-CN"/>
              </w:rPr>
              <w:lastRenderedPageBreak/>
              <w:t>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lastRenderedPageBreak/>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Pr>
                <w:lang w:val="en-US" w:eastAsia="zh-CN"/>
              </w:rPr>
              <w:lastRenderedPageBreak/>
              <w:t>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2E7774">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2E7774">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800E1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800E1E">
            <w:pPr>
              <w:jc w:val="left"/>
              <w:rPr>
                <w:rFonts w:eastAsia="Yu Mincho"/>
                <w:lang w:val="en-US" w:eastAsia="ja-JP"/>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lastRenderedPageBreak/>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2E7774">
            <w:pPr>
              <w:jc w:val="left"/>
              <w:rPr>
                <w:rFonts w:eastAsia="Malgun Gothic"/>
                <w:lang w:val="en-US" w:eastAsia="ko-KR"/>
              </w:rPr>
            </w:pPr>
            <w:r>
              <w:rPr>
                <w:rFonts w:eastAsiaTheme="minorEastAsia" w:hint="eastAsia"/>
                <w:lang w:val="en-US" w:eastAsia="zh-CN"/>
              </w:rPr>
              <w:lastRenderedPageBreak/>
              <w:t>CATT</w:t>
            </w:r>
          </w:p>
        </w:tc>
        <w:tc>
          <w:tcPr>
            <w:tcW w:w="1464" w:type="dxa"/>
            <w:gridSpan w:val="2"/>
          </w:tcPr>
          <w:p w14:paraId="17CACBF3" w14:textId="77777777" w:rsidR="00F86BD6" w:rsidRDefault="00F86BD6" w:rsidP="002E7774">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800E1E">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lastRenderedPageBreak/>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lastRenderedPageBreak/>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90.9pt" o:ole="">
                  <v:imagedata r:id="rId18" o:title=""/>
                </v:shape>
                <o:OLEObject Type="Embed" ProgID="Visio.Drawing.15" ShapeID="_x0000_i1025" DrawAspect="Content" ObjectID="_1743954541"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9pt;height:90.9pt" o:ole="">
                  <v:imagedata r:id="rId18" o:title=""/>
                </v:shape>
                <o:OLEObject Type="Embed" ProgID="Visio.Drawing.15" ShapeID="_x0000_i1026" DrawAspect="Content" ObjectID="_1743954542"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lastRenderedPageBreak/>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lastRenderedPageBreak/>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w:t>
            </w:r>
            <w:r>
              <w:rPr>
                <w:rFonts w:eastAsia="Yu Mincho"/>
                <w:lang w:val="en-US" w:eastAsia="ja-JP"/>
              </w:rPr>
              <w:lastRenderedPageBreak/>
              <w:t>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lastRenderedPageBreak/>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w:t>
            </w:r>
            <w:r>
              <w:rPr>
                <w:rFonts w:eastAsiaTheme="minorEastAsia"/>
                <w:lang w:val="en-US" w:eastAsia="zh-CN"/>
              </w:rPr>
              <w:lastRenderedPageBreak/>
              <w:t>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 xml:space="preserve">With current specification, in our understanding, Rel-18 RedCap UE discards the DCI as it contains unicast PDSCH PRB allocation more than Rel-18 RedCap UE is expected to process. The UE behavior is the same as the DCI is not </w:t>
            </w:r>
            <w:r>
              <w:rPr>
                <w:rFonts w:eastAsia="Yu Mincho"/>
                <w:lang w:val="en-US" w:eastAsia="ja-JP"/>
              </w:rPr>
              <w:lastRenderedPageBreak/>
              <w:t>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lastRenderedPageBreak/>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lastRenderedPageBreak/>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2E777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2E7774">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800E1E">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w:t>
            </w:r>
            <w:r w:rsidRPr="00DB1755">
              <w:rPr>
                <w:b/>
                <w:bCs/>
                <w:strike/>
                <w:color w:val="FF0000"/>
                <w:lang w:val="en-US"/>
              </w:rPr>
              <w:lastRenderedPageBreak/>
              <w:t xml:space="preserve">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w:t>
            </w:r>
            <w:r>
              <w:rPr>
                <w:rFonts w:eastAsiaTheme="minorEastAsia"/>
                <w:lang w:val="en-US" w:eastAsia="zh-CN"/>
              </w:rPr>
              <w:lastRenderedPageBreak/>
              <w:t>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zh-CN"/>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 xml:space="preserve">MsgB PDSCH with a larger number of PRBs than 25 PRBs for 15 kHz SCS and 12 PRBs for 30 kHz SCS regardless of the MsgA </w:t>
            </w:r>
            <w:r>
              <w:rPr>
                <w:rFonts w:eastAsia="Malgun Gothic"/>
                <w:lang w:eastAsia="ko-KR"/>
              </w:rPr>
              <w:lastRenderedPageBreak/>
              <w:t>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 xml:space="preserve">Therefore, there is no need to have limit on UE and gNB. The following is </w:t>
            </w:r>
            <w:r>
              <w:rPr>
                <w:rFonts w:eastAsia="SimSun"/>
                <w:lang w:val="en-US" w:eastAsia="zh-CN"/>
              </w:rPr>
              <w:lastRenderedPageBreak/>
              <w:t>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eRedCap UEs would support optional </w:t>
            </w:r>
            <w:r>
              <w:rPr>
                <w:rFonts w:eastAsia="Malgun Gothic"/>
                <w:b/>
                <w:bCs/>
                <w:sz w:val="20"/>
                <w:szCs w:val="22"/>
                <w:lang w:val="en-US" w:eastAsia="ko-KR"/>
              </w:rPr>
              <w:lastRenderedPageBreak/>
              <w:t>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 xml:space="preserve">Based on above, for the better understanding the UE capability of eRedCap capable of BW3+PR1 or PR1 only, we should further discuss whether the </w:t>
            </w:r>
            <w:r>
              <w:rPr>
                <w:rFonts w:eastAsiaTheme="minorEastAsia"/>
                <w:lang w:val="en-US" w:eastAsia="zh-CN"/>
              </w:rPr>
              <w:lastRenderedPageBreak/>
              <w:t>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lastRenderedPageBreak/>
              <w:t>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lastRenderedPageBreak/>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lastRenderedPageBreak/>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has to support 10 Mbps </w:t>
            </w:r>
            <w:r>
              <w:rPr>
                <w:rFonts w:eastAsia="Yu Mincho"/>
                <w:lang w:val="en-US" w:eastAsia="ja-JP"/>
              </w:rPr>
              <w:lastRenderedPageBreak/>
              <w:t>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UEs with basic capability, R18 RedCap UEs supporting optional capability naturally can have higher data rate, there is no need to define peak rate target for UEs supporting </w:t>
            </w:r>
            <w:r>
              <w:rPr>
                <w:rFonts w:eastAsiaTheme="minorEastAsia" w:hint="eastAsia"/>
                <w:lang w:val="en-US" w:eastAsia="zh-CN"/>
              </w:rPr>
              <w:lastRenderedPageBreak/>
              <w:t>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Modification </w:t>
            </w:r>
            <w:r>
              <w:rPr>
                <w:rFonts w:eastAsiaTheme="minorEastAsia"/>
                <w:lang w:val="en-US" w:eastAsia="zh-CN"/>
              </w:rPr>
              <w:lastRenderedPageBreak/>
              <w:t>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lastRenderedPageBreak/>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lastRenderedPageBreak/>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lastRenderedPageBreak/>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lastRenderedPageBreak/>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lastRenderedPageBreak/>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 xml:space="preserve">At the same time, in our understanding, the framework of TS 38.306 copied </w:t>
            </w:r>
            <w:r>
              <w:rPr>
                <w:rFonts w:eastAsia="Yu Mincho"/>
                <w:lang w:eastAsia="ja-JP"/>
              </w:rPr>
              <w:lastRenderedPageBreak/>
              <w:t>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lastRenderedPageBreak/>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777777" w:rsidR="00DD6239" w:rsidRDefault="00423D62">
            <w:pPr>
              <w:jc w:val="left"/>
              <w:rPr>
                <w:rFonts w:eastAsia="Yu Mincho"/>
                <w:lang w:val="en-US" w:eastAsia="ja-JP"/>
              </w:rPr>
            </w:pPr>
            <w:r>
              <w:t>LG</w:t>
            </w:r>
          </w:p>
        </w:tc>
        <w:tc>
          <w:tcPr>
            <w:tcW w:w="1464" w:type="dxa"/>
          </w:tcPr>
          <w:p w14:paraId="154054B7" w14:textId="77777777" w:rsidR="00DD6239" w:rsidRDefault="00DD6239">
            <w:pPr>
              <w:tabs>
                <w:tab w:val="left" w:pos="551"/>
              </w:tabs>
              <w:jc w:val="left"/>
              <w:rPr>
                <w:rFonts w:eastAsia="Yu Mincho"/>
                <w:lang w:val="en-US" w:eastAsia="ja-JP"/>
              </w:rPr>
            </w:pP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lastRenderedPageBreak/>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lastRenderedPageBreak/>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lastRenderedPageBreak/>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lastRenderedPageBreak/>
        <w:t>FL9 High Priority Question 3.1-1g</w:t>
      </w:r>
      <w:r>
        <w:rPr>
          <w:rFonts w:ascii="Times New Roman" w:hAnsi="Times New Roman"/>
          <w:b/>
          <w:bCs/>
          <w:sz w:val="20"/>
        </w:rPr>
        <w:t>:</w:t>
      </w:r>
    </w:p>
    <w:p w14:paraId="4080135C"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 xml:space="preserve">The upper bound data rate should be ~50Mbps, which is the </w:t>
            </w:r>
            <w:r>
              <w:rPr>
                <w:rFonts w:eastAsia="SimSun" w:hint="eastAsia"/>
                <w:lang w:val="en-US" w:eastAsia="zh-CN"/>
              </w:rPr>
              <w:lastRenderedPageBreak/>
              <w:t>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lastRenderedPageBreak/>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2E7774">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2E7774">
            <w:pPr>
              <w:tabs>
                <w:tab w:val="left" w:pos="551"/>
              </w:tabs>
              <w:jc w:val="left"/>
              <w:rPr>
                <w:rFonts w:eastAsiaTheme="minorEastAsia"/>
                <w:lang w:val="en-US" w:eastAsia="zh-CN"/>
              </w:rPr>
            </w:pPr>
          </w:p>
        </w:tc>
        <w:tc>
          <w:tcPr>
            <w:tcW w:w="1464" w:type="dxa"/>
          </w:tcPr>
          <w:p w14:paraId="1F954E10" w14:textId="77777777" w:rsidR="00F86BD6" w:rsidRDefault="00F86BD6" w:rsidP="002E7774">
            <w:pPr>
              <w:tabs>
                <w:tab w:val="left" w:pos="551"/>
              </w:tabs>
              <w:jc w:val="left"/>
              <w:rPr>
                <w:rFonts w:eastAsiaTheme="minorEastAsia"/>
                <w:lang w:val="en-US" w:eastAsia="zh-CN"/>
              </w:rPr>
            </w:pPr>
          </w:p>
        </w:tc>
        <w:tc>
          <w:tcPr>
            <w:tcW w:w="5227" w:type="dxa"/>
          </w:tcPr>
          <w:p w14:paraId="3DE075CF" w14:textId="77777777" w:rsidR="00F86BD6" w:rsidRDefault="00F86BD6" w:rsidP="002E7774">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2E7774">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800E1E">
            <w:pPr>
              <w:tabs>
                <w:tab w:val="left" w:pos="551"/>
              </w:tabs>
              <w:jc w:val="left"/>
              <w:rPr>
                <w:rFonts w:eastAsiaTheme="minorEastAsia"/>
                <w:lang w:val="en-US" w:eastAsia="zh-CN"/>
              </w:rPr>
            </w:pPr>
          </w:p>
        </w:tc>
        <w:tc>
          <w:tcPr>
            <w:tcW w:w="5227" w:type="dxa"/>
          </w:tcPr>
          <w:p w14:paraId="784F3CE1" w14:textId="77777777" w:rsidR="002301D4" w:rsidRDefault="002301D4" w:rsidP="00800E1E">
            <w:r>
              <w:t>RAN plenary guideline is needed on whether an upper bound is to be specified</w:t>
            </w:r>
          </w:p>
        </w:tc>
      </w:tr>
    </w:tbl>
    <w:p w14:paraId="336E79B0" w14:textId="77777777" w:rsidR="00DD6239"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w:t>
            </w:r>
            <w:r>
              <w:rPr>
                <w:bCs/>
                <w:lang w:val="en-US"/>
              </w:rPr>
              <w:lastRenderedPageBreak/>
              <w:t xml:space="preserve">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w:t>
            </w:r>
            <w:r>
              <w:rPr>
                <w:rFonts w:eastAsiaTheme="minorEastAsia"/>
                <w:i/>
                <w:iCs/>
                <w:color w:val="0070C0"/>
                <w:lang w:val="en-US" w:eastAsia="zh-CN"/>
              </w:rPr>
              <w:lastRenderedPageBreak/>
              <w:t>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lastRenderedPageBreak/>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00000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00000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00000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00000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00000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00000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00000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00000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00000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00000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00000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00000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00000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00000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00000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00000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 xml:space="preserve">Discussion on further complexity reduction for Rel-18 </w:t>
            </w:r>
            <w:r>
              <w:lastRenderedPageBreak/>
              <w:t>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lastRenderedPageBreak/>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00000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00000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00000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00000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00000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00000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00000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00000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00000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00000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00000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00000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00000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00000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00000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00000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00000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00000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00000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00000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00000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00000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00000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00000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00000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lastRenderedPageBreak/>
              <w:t>[42]</w:t>
            </w:r>
          </w:p>
        </w:tc>
        <w:tc>
          <w:tcPr>
            <w:tcW w:w="1456" w:type="dxa"/>
            <w:tcMar>
              <w:top w:w="0" w:type="dxa"/>
              <w:left w:w="70" w:type="dxa"/>
              <w:bottom w:w="0" w:type="dxa"/>
              <w:right w:w="70" w:type="dxa"/>
            </w:tcMar>
          </w:tcPr>
          <w:p w14:paraId="06F727C7" w14:textId="77777777" w:rsidR="00DD6239" w:rsidRDefault="0000000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D12A" w14:textId="77777777" w:rsidR="0096797C" w:rsidRDefault="0096797C">
      <w:pPr>
        <w:spacing w:line="240" w:lineRule="auto"/>
      </w:pPr>
      <w:r>
        <w:separator/>
      </w:r>
    </w:p>
  </w:endnote>
  <w:endnote w:type="continuationSeparator" w:id="0">
    <w:p w14:paraId="0375A5AE" w14:textId="77777777" w:rsidR="0096797C" w:rsidRDefault="00967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AE42" w14:textId="77777777" w:rsidR="0096797C" w:rsidRDefault="0096797C">
      <w:pPr>
        <w:spacing w:after="0" w:line="240" w:lineRule="auto"/>
      </w:pPr>
      <w:r>
        <w:separator/>
      </w:r>
    </w:p>
  </w:footnote>
  <w:footnote w:type="continuationSeparator" w:id="0">
    <w:p w14:paraId="7D5755FA" w14:textId="77777777" w:rsidR="0096797C" w:rsidRDefault="0096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2503182">
    <w:abstractNumId w:val="20"/>
  </w:num>
  <w:num w:numId="2" w16cid:durableId="428817025">
    <w:abstractNumId w:val="3"/>
  </w:num>
  <w:num w:numId="3" w16cid:durableId="1300914707">
    <w:abstractNumId w:val="2"/>
  </w:num>
  <w:num w:numId="4" w16cid:durableId="961155069">
    <w:abstractNumId w:val="25"/>
  </w:num>
  <w:num w:numId="5" w16cid:durableId="1295794136">
    <w:abstractNumId w:val="33"/>
    <w:lvlOverride w:ilvl="0">
      <w:startOverride w:val="1"/>
    </w:lvlOverride>
  </w:num>
  <w:num w:numId="6" w16cid:durableId="405809631">
    <w:abstractNumId w:val="34"/>
  </w:num>
  <w:num w:numId="7" w16cid:durableId="762606911">
    <w:abstractNumId w:val="48"/>
  </w:num>
  <w:num w:numId="8" w16cid:durableId="208879745">
    <w:abstractNumId w:val="63"/>
  </w:num>
  <w:num w:numId="9" w16cid:durableId="2012947716">
    <w:abstractNumId w:val="68"/>
  </w:num>
  <w:num w:numId="10" w16cid:durableId="294412594">
    <w:abstractNumId w:val="50"/>
  </w:num>
  <w:num w:numId="11" w16cid:durableId="216203275">
    <w:abstractNumId w:val="27"/>
  </w:num>
  <w:num w:numId="12" w16cid:durableId="682054888">
    <w:abstractNumId w:val="39"/>
  </w:num>
  <w:num w:numId="13" w16cid:durableId="1320572003">
    <w:abstractNumId w:val="21"/>
  </w:num>
  <w:num w:numId="14" w16cid:durableId="1282541094">
    <w:abstractNumId w:val="55"/>
  </w:num>
  <w:num w:numId="15" w16cid:durableId="1070034607">
    <w:abstractNumId w:val="6"/>
  </w:num>
  <w:num w:numId="16" w16cid:durableId="2009819579">
    <w:abstractNumId w:val="24"/>
  </w:num>
  <w:num w:numId="17" w16cid:durableId="533929276">
    <w:abstractNumId w:val="12"/>
  </w:num>
  <w:num w:numId="18" w16cid:durableId="589704582">
    <w:abstractNumId w:val="23"/>
  </w:num>
  <w:num w:numId="19" w16cid:durableId="884683389">
    <w:abstractNumId w:val="56"/>
  </w:num>
  <w:num w:numId="20" w16cid:durableId="924805964">
    <w:abstractNumId w:val="49"/>
  </w:num>
  <w:num w:numId="21" w16cid:durableId="140658226">
    <w:abstractNumId w:val="58"/>
  </w:num>
  <w:num w:numId="22" w16cid:durableId="1454517054">
    <w:abstractNumId w:val="40"/>
  </w:num>
  <w:num w:numId="23" w16cid:durableId="1843467466">
    <w:abstractNumId w:val="4"/>
  </w:num>
  <w:num w:numId="24" w16cid:durableId="902562444">
    <w:abstractNumId w:val="54"/>
  </w:num>
  <w:num w:numId="25" w16cid:durableId="394814822">
    <w:abstractNumId w:val="57"/>
  </w:num>
  <w:num w:numId="26" w16cid:durableId="1799180386">
    <w:abstractNumId w:val="45"/>
  </w:num>
  <w:num w:numId="27" w16cid:durableId="625963811">
    <w:abstractNumId w:val="41"/>
  </w:num>
  <w:num w:numId="28" w16cid:durableId="1949197430">
    <w:abstractNumId w:val="66"/>
  </w:num>
  <w:num w:numId="29" w16cid:durableId="1311787210">
    <w:abstractNumId w:val="11"/>
  </w:num>
  <w:num w:numId="30" w16cid:durableId="805128952">
    <w:abstractNumId w:val="1"/>
  </w:num>
  <w:num w:numId="31" w16cid:durableId="1587373911">
    <w:abstractNumId w:val="42"/>
  </w:num>
  <w:num w:numId="32" w16cid:durableId="1984384164">
    <w:abstractNumId w:val="15"/>
  </w:num>
  <w:num w:numId="33" w16cid:durableId="890383943">
    <w:abstractNumId w:val="61"/>
  </w:num>
  <w:num w:numId="34" w16cid:durableId="1250381479">
    <w:abstractNumId w:val="22"/>
  </w:num>
  <w:num w:numId="35" w16cid:durableId="1087267651">
    <w:abstractNumId w:val="28"/>
  </w:num>
  <w:num w:numId="36" w16cid:durableId="1616475296">
    <w:abstractNumId w:val="46"/>
  </w:num>
  <w:num w:numId="37" w16cid:durableId="1935169758">
    <w:abstractNumId w:val="64"/>
  </w:num>
  <w:num w:numId="38" w16cid:durableId="1173379050">
    <w:abstractNumId w:val="31"/>
  </w:num>
  <w:num w:numId="39" w16cid:durableId="201526005">
    <w:abstractNumId w:val="47"/>
  </w:num>
  <w:num w:numId="40" w16cid:durableId="823546645">
    <w:abstractNumId w:val="8"/>
  </w:num>
  <w:num w:numId="41" w16cid:durableId="362053386">
    <w:abstractNumId w:val="13"/>
  </w:num>
  <w:num w:numId="42" w16cid:durableId="555700147">
    <w:abstractNumId w:val="52"/>
  </w:num>
  <w:num w:numId="43" w16cid:durableId="856387060">
    <w:abstractNumId w:val="70"/>
  </w:num>
  <w:num w:numId="44" w16cid:durableId="1886020668">
    <w:abstractNumId w:val="69"/>
  </w:num>
  <w:num w:numId="45" w16cid:durableId="1182402711">
    <w:abstractNumId w:val="60"/>
  </w:num>
  <w:num w:numId="46" w16cid:durableId="796602162">
    <w:abstractNumId w:val="5"/>
  </w:num>
  <w:num w:numId="47" w16cid:durableId="226384800">
    <w:abstractNumId w:val="59"/>
  </w:num>
  <w:num w:numId="48" w16cid:durableId="1644582706">
    <w:abstractNumId w:val="19"/>
  </w:num>
  <w:num w:numId="49" w16cid:durableId="1243220666">
    <w:abstractNumId w:val="9"/>
  </w:num>
  <w:num w:numId="50" w16cid:durableId="1085105704">
    <w:abstractNumId w:val="67"/>
  </w:num>
  <w:num w:numId="51" w16cid:durableId="1529755463">
    <w:abstractNumId w:val="26"/>
  </w:num>
  <w:num w:numId="52" w16cid:durableId="1993367961">
    <w:abstractNumId w:val="29"/>
  </w:num>
  <w:num w:numId="53" w16cid:durableId="169374500">
    <w:abstractNumId w:val="51"/>
  </w:num>
  <w:num w:numId="54" w16cid:durableId="1896163550">
    <w:abstractNumId w:val="38"/>
  </w:num>
  <w:num w:numId="55" w16cid:durableId="1359312867">
    <w:abstractNumId w:val="44"/>
  </w:num>
  <w:num w:numId="56" w16cid:durableId="9114566">
    <w:abstractNumId w:val="17"/>
  </w:num>
  <w:num w:numId="57" w16cid:durableId="1747338644">
    <w:abstractNumId w:val="62"/>
  </w:num>
  <w:num w:numId="58" w16cid:durableId="1138188765">
    <w:abstractNumId w:val="30"/>
  </w:num>
  <w:num w:numId="59" w16cid:durableId="87048590">
    <w:abstractNumId w:val="37"/>
  </w:num>
  <w:num w:numId="60" w16cid:durableId="623082233">
    <w:abstractNumId w:val="10"/>
  </w:num>
  <w:num w:numId="61" w16cid:durableId="2123113626">
    <w:abstractNumId w:val="18"/>
  </w:num>
  <w:num w:numId="62" w16cid:durableId="700132204">
    <w:abstractNumId w:val="35"/>
  </w:num>
  <w:num w:numId="63" w16cid:durableId="1059287528">
    <w:abstractNumId w:val="32"/>
  </w:num>
  <w:num w:numId="64" w16cid:durableId="2008438314">
    <w:abstractNumId w:val="0"/>
  </w:num>
  <w:num w:numId="65" w16cid:durableId="59141239">
    <w:abstractNumId w:val="71"/>
  </w:num>
  <w:num w:numId="66" w16cid:durableId="1023552611">
    <w:abstractNumId w:val="43"/>
  </w:num>
  <w:num w:numId="67" w16cid:durableId="472791604">
    <w:abstractNumId w:val="36"/>
  </w:num>
  <w:num w:numId="68" w16cid:durableId="1574848963">
    <w:abstractNumId w:val="7"/>
  </w:num>
  <w:num w:numId="69" w16cid:durableId="1499419129">
    <w:abstractNumId w:val="65"/>
  </w:num>
  <w:num w:numId="70" w16cid:durableId="739601276">
    <w:abstractNumId w:val="14"/>
  </w:num>
  <w:num w:numId="71" w16cid:durableId="1002127445">
    <w:abstractNumId w:val="53"/>
  </w:num>
  <w:num w:numId="72" w16cid:durableId="80308779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33EEFCA9-9608-4E42-8E75-71804FCB3A8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40891</Words>
  <Characters>233079</Characters>
  <Application>Microsoft Office Word</Application>
  <DocSecurity>0</DocSecurity>
  <Lines>1942</Lines>
  <Paragraphs>546</Paragraphs>
  <ScaleCrop>false</ScaleCrop>
  <Company/>
  <LinksUpToDate>false</LinksUpToDate>
  <CharactersWithSpaces>273424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2023-04-25T09:59:00Z</dcterms:created>
  <dcterms:modified xsi:type="dcterms:W3CDTF">2023-04-25T09:59:00Z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