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290FFD"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6D217D"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6D217D"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6D217D"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6D217D"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w:t>
      </w:r>
      <w:proofErr w:type="spellStart"/>
      <w:r w:rsidRPr="007B657B">
        <w:rPr>
          <w:rFonts w:eastAsia="MS PGothic"/>
          <w:b/>
          <w:bCs/>
          <w:lang w:eastAsia="zh-CN"/>
        </w:rPr>
        <w:t>ms</w:t>
      </w:r>
      <w:proofErr w:type="spellEnd"/>
      <w:r w:rsidRPr="007B657B">
        <w:rPr>
          <w:rFonts w:eastAsia="MS PGothic"/>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xml:space="preserve">= 1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 xml:space="preserve">0.5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 xml:space="preserve">Working assumption: X = 1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lastRenderedPageBreak/>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w:t>
            </w:r>
            <w:proofErr w:type="spellStart"/>
            <w:r w:rsidRPr="003B0914">
              <w:rPr>
                <w:rFonts w:ascii="Times" w:eastAsia="MS PGothic" w:hAnsi="Times"/>
                <w:szCs w:val="24"/>
                <w:lang w:eastAsia="zh-CN"/>
              </w:rPr>
              <w:t>ms</w:t>
            </w:r>
            <w:proofErr w:type="spellEnd"/>
            <w:r w:rsidRPr="003B0914">
              <w:rPr>
                <w:rFonts w:ascii="Times" w:eastAsia="MS PGothic" w:hAnsi="Times"/>
                <w:szCs w:val="24"/>
                <w:lang w:eastAsia="zh-CN"/>
              </w:rPr>
              <w:t>)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 xml:space="preserve">X = [0.5/0.25 or 1/0.5 or 2/1] </w:t>
            </w:r>
            <w:proofErr w:type="spellStart"/>
            <w:r w:rsidRPr="003B0914">
              <w:rPr>
                <w:rFonts w:ascii="Times" w:eastAsia="MS PGothic" w:hAnsi="Times"/>
                <w:szCs w:val="24"/>
                <w:lang w:val="en-US" w:eastAsia="ja-JP"/>
              </w:rPr>
              <w:t>ms</w:t>
            </w:r>
            <w:proofErr w:type="spellEnd"/>
            <w:r w:rsidRPr="003B0914">
              <w:rPr>
                <w:rFonts w:ascii="Times" w:eastAsia="MS PGothic" w:hAnsi="Times"/>
                <w:szCs w:val="24"/>
                <w:lang w:val="en-US" w:eastAsia="ja-JP"/>
              </w:rPr>
              <w:t xml:space="preserve">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 xml:space="preserve">features. </w:t>
            </w:r>
            <w:proofErr w:type="gramStart"/>
            <w:r>
              <w:rPr>
                <w:rFonts w:eastAsiaTheme="minorEastAsia"/>
                <w:lang w:val="en-US" w:eastAsia="zh-CN"/>
              </w:rPr>
              <w:t>So</w:t>
            </w:r>
            <w:proofErr w:type="gramEnd"/>
            <w:r>
              <w:rPr>
                <w:rFonts w:eastAsiaTheme="minorEastAsia"/>
                <w:lang w:val="en-US" w:eastAsia="zh-CN"/>
              </w:rPr>
              <w:t xml:space="preserve">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RedCap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lastRenderedPageBreak/>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lastRenderedPageBreak/>
        <w:br/>
        <w:t xml:space="preserve">Contribution [33] proposes to support an additional separate initial BWP specific to Rel-18 eRedCap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eRedCap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eRedCap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RedCap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 xml:space="preserve">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w:t>
            </w:r>
            <w:proofErr w:type="gramStart"/>
            <w:r>
              <w:rPr>
                <w:rFonts w:eastAsiaTheme="minorEastAsia"/>
                <w:lang w:val="en-US" w:eastAsia="zh-CN"/>
              </w:rPr>
              <w:t>So</w:t>
            </w:r>
            <w:proofErr w:type="gramEnd"/>
            <w:r>
              <w:rPr>
                <w:rFonts w:eastAsiaTheme="minorEastAsia"/>
                <w:lang w:val="en-US" w:eastAsia="zh-CN"/>
              </w:rPr>
              <w:t xml:space="preserve">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 xml:space="preserve">We are okay to NOT support the additional separate initial BWP specific to Rel-18 RedCap </w:t>
            </w:r>
            <w:proofErr w:type="spellStart"/>
            <w:r>
              <w:t>U</w:t>
            </w:r>
            <w:r w:rsidR="002171F1">
              <w:t>e</w:t>
            </w:r>
            <w:r>
              <w:t>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r w:rsidR="00591808">
              <w:rPr>
                <w:rFonts w:eastAsiaTheme="minorEastAsia"/>
                <w:lang w:val="en-US" w:eastAsia="zh-CN"/>
              </w:rPr>
              <w:t xml:space="preserve">gNB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 xml:space="preserve">Rel-18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a separate initial DL/UL BWP while Rel-17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and non-RedCap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the normal initial DL/UL BWP</w:t>
            </w:r>
            <w:r>
              <w:rPr>
                <w:rFonts w:eastAsia="Yu Mincho"/>
                <w:lang w:val="en-US" w:eastAsia="ja-JP"/>
              </w:rPr>
              <w:t xml:space="preserve">, i.e., conclude that there is no significant impact to support from RAN1 perspective and that decision </w:t>
            </w:r>
            <w:proofErr w:type="gramStart"/>
            <w:r>
              <w:rPr>
                <w:rFonts w:eastAsia="Yu Mincho"/>
                <w:lang w:val="en-US" w:eastAsia="ja-JP"/>
              </w:rPr>
              <w:t>can  be</w:t>
            </w:r>
            <w:proofErr w:type="gramEnd"/>
            <w:r>
              <w:rPr>
                <w:rFonts w:eastAsia="Yu Mincho"/>
                <w:lang w:val="en-US" w:eastAsia="ja-JP"/>
              </w:rPr>
              <w:t xml:space="preserve"> </w:t>
            </w:r>
            <w:r>
              <w:rPr>
                <w:rFonts w:eastAsia="Yu Mincho"/>
                <w:lang w:val="en-US" w:eastAsia="ja-JP"/>
              </w:rPr>
              <w:lastRenderedPageBreak/>
              <w:t>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lastRenderedPageBreak/>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RedCap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eRedCap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lastRenderedPageBreak/>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separate initial DL/UL BWP while Rel-17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 xml:space="preserve">additional separate initial DL/UL BWP specific to Rel-18 RedCap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lastRenderedPageBreak/>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eRedCap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proofErr w:type="gramStart"/>
            <w:r>
              <w:rPr>
                <w:rFonts w:eastAsiaTheme="minorEastAsia"/>
                <w:lang w:val="en-US" w:eastAsia="zh-CN"/>
              </w:rPr>
              <w:t>So</w:t>
            </w:r>
            <w:proofErr w:type="gramEnd"/>
            <w:r>
              <w:rPr>
                <w:rFonts w:eastAsiaTheme="minorEastAsia"/>
                <w:lang w:val="en-US" w:eastAsia="zh-CN"/>
              </w:rPr>
              <w:t xml:space="preserve">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PDSCH, the processing time requirement has already been relaxed with </w:t>
            </w:r>
            <w:r>
              <w:rPr>
                <w:rFonts w:eastAsiaTheme="minorEastAsia"/>
                <w:lang w:val="en-US" w:eastAsia="zh-CN"/>
              </w:rPr>
              <w:lastRenderedPageBreak/>
              <w:t>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 xml:space="preserve">Although to have special handling for RAR is attractive from UE complexity reduction, from the network perspective, if some relaxation is carried out for RAR, it can impact Rel15 deployment when SIB/OSI/paging/RAR are shared among non-RedCap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 xml:space="preserve">Coexistence with non-RedCap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RedCap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 xml:space="preserve">PDSCHs at the same time, which can avoid any impacts to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lastRenderedPageBreak/>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w:t>
            </w:r>
            <w:r>
              <w:rPr>
                <w:rFonts w:eastAsiaTheme="minorEastAsia"/>
                <w:lang w:val="en-US" w:eastAsia="zh-CN"/>
              </w:rPr>
              <w:lastRenderedPageBreak/>
              <w:t xml:space="preserve">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lastRenderedPageBreak/>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lastRenderedPageBreak/>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RedCap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the maximum number of </w:t>
            </w:r>
            <w:r w:rsidRPr="00080CDF">
              <w:rPr>
                <w:rFonts w:ascii="Times" w:eastAsia="DengXian" w:hAnsi="Times"/>
                <w:b/>
                <w:bCs/>
                <w:szCs w:val="24"/>
                <w:lang w:val="en-US" w:eastAsia="zh-CN"/>
              </w:rPr>
              <w:lastRenderedPageBreak/>
              <w:t>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lastRenderedPageBreak/>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proofErr w:type="gramStart"/>
            <w:r w:rsidR="00FF1C64">
              <w:rPr>
                <w:rFonts w:eastAsiaTheme="minorEastAsia"/>
                <w:lang w:val="en-US" w:eastAsia="zh-CN"/>
              </w:rPr>
              <w:t>So</w:t>
            </w:r>
            <w:proofErr w:type="gramEnd"/>
            <w:r w:rsidR="00FF1C64">
              <w:rPr>
                <w:rFonts w:eastAsiaTheme="minorEastAsia"/>
                <w:lang w:val="en-US" w:eastAsia="zh-CN"/>
              </w:rPr>
              <w:t xml:space="preserve">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eRedCap,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lastRenderedPageBreak/>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not expect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gNB should already know of RedCap UE type from </w:t>
            </w:r>
            <w:proofErr w:type="spellStart"/>
            <w:r w:rsidRPr="03FC23A5">
              <w:rPr>
                <w:rFonts w:eastAsiaTheme="minorEastAsia"/>
                <w:lang w:val="en-US" w:eastAsia="zh-CN"/>
              </w:rPr>
              <w:t>MsgA</w:t>
            </w:r>
            <w:proofErr w:type="spellEnd"/>
            <w:r w:rsidRPr="03FC23A5">
              <w:rPr>
                <w:rFonts w:eastAsiaTheme="minorEastAsia"/>
                <w:lang w:val="en-US" w:eastAsia="zh-CN"/>
              </w:rPr>
              <w:t>.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The main difference between Msg2 and M</w:t>
            </w:r>
            <w:r>
              <w:rPr>
                <w:rFonts w:eastAsiaTheme="minorEastAsia"/>
                <w:lang w:val="en-US" w:eastAsia="zh-CN"/>
              </w:rPr>
              <w:t>s</w:t>
            </w:r>
            <w:r>
              <w:rPr>
                <w:rFonts w:eastAsiaTheme="minorEastAsia"/>
                <w:lang w:val="en-US" w:eastAsia="zh-CN"/>
              </w:rPr>
              <w:t xml:space="preserve">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lastRenderedPageBreak/>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 xml:space="preserve">We should not limit SRS bandwidth to 5 MHz as the UE can be scheduled anywhere within BWP up to 20 </w:t>
            </w:r>
            <w:proofErr w:type="spellStart"/>
            <w:r w:rsidRPr="03FC23A5">
              <w:rPr>
                <w:rFonts w:eastAsiaTheme="minorEastAsia"/>
                <w:lang w:val="en-US" w:eastAsia="zh-CN"/>
              </w:rPr>
              <w:t>MHz.</w:t>
            </w:r>
            <w:proofErr w:type="spellEnd"/>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 xml:space="preserve">Share the view from Nokia. SRS </w:t>
            </w:r>
            <w:proofErr w:type="gramStart"/>
            <w:r>
              <w:rPr>
                <w:rFonts w:eastAsiaTheme="minorEastAsia"/>
                <w:lang w:val="en-US" w:eastAsia="zh-CN"/>
              </w:rPr>
              <w:t>has to</w:t>
            </w:r>
            <w:proofErr w:type="gramEnd"/>
            <w:r>
              <w:rPr>
                <w:rFonts w:eastAsiaTheme="minorEastAsia"/>
                <w:lang w:val="en-US" w:eastAsia="zh-CN"/>
              </w:rPr>
              <w:t xml:space="preserve">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lastRenderedPageBreak/>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lastRenderedPageBreak/>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723F82">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w:t>
            </w:r>
            <w:r>
              <w:rPr>
                <w:rFonts w:eastAsia="SimSun"/>
                <w:lang w:eastAsia="ja-JP"/>
              </w:rPr>
              <w:lastRenderedPageBreak/>
              <w:t>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t>
            </w:r>
            <w:proofErr w:type="gramStart"/>
            <w:r w:rsidR="00EA2F62">
              <w:rPr>
                <w:rFonts w:eastAsia="Yu Mincho"/>
                <w:lang w:val="en-US" w:eastAsia="ja-JP"/>
              </w:rPr>
              <w:t>worst case</w:t>
            </w:r>
            <w:proofErr w:type="gramEnd"/>
            <w:r w:rsidR="00EA2F62">
              <w:rPr>
                <w:rFonts w:eastAsia="Yu Mincho"/>
                <w:lang w:val="en-US" w:eastAsia="ja-JP"/>
              </w:rPr>
              <w:t xml:space="preserv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Single value is preferred for both 15 and 30 KHz SCS.</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lastRenderedPageBreak/>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7"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723F82">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723F82">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723F82">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723F82">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723F82">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723F82">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723F82">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723F82">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723F82">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723F82">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723F82">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723F82">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723F82">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723F82">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723F82">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723F82">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723F82">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723F82">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723F82">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723F82">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723F82">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723F82">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723F82">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723F82">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723F82">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14:paraId="1E74B341" w14:textId="77777777" w:rsidR="00785212" w:rsidRDefault="00675A7F">
            <w:pPr>
              <w:jc w:val="left"/>
              <w:rPr>
                <w:lang w:val="en-US"/>
              </w:rPr>
            </w:pPr>
            <w:r>
              <w:lastRenderedPageBreak/>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723F82">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723F82">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723F82">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723F82">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723F82">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723F82">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723F82">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723F82">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723F82">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723F82">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723F82">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723F82">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723F82"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09C9" w14:textId="77777777" w:rsidR="009F54E3" w:rsidRDefault="009F54E3">
      <w:pPr>
        <w:spacing w:line="240" w:lineRule="auto"/>
      </w:pPr>
      <w:r>
        <w:separator/>
      </w:r>
    </w:p>
  </w:endnote>
  <w:endnote w:type="continuationSeparator" w:id="0">
    <w:p w14:paraId="02DF7418" w14:textId="77777777" w:rsidR="009F54E3" w:rsidRDefault="009F54E3">
      <w:pPr>
        <w:spacing w:line="240" w:lineRule="auto"/>
      </w:pPr>
      <w:r>
        <w:continuationSeparator/>
      </w:r>
    </w:p>
  </w:endnote>
  <w:endnote w:type="continuationNotice" w:id="1">
    <w:p w14:paraId="20472C63" w14:textId="77777777" w:rsidR="009F54E3" w:rsidRDefault="009F5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CBA3" w14:textId="77777777" w:rsidR="009F54E3" w:rsidRDefault="009F54E3">
      <w:pPr>
        <w:spacing w:after="0"/>
      </w:pPr>
      <w:r>
        <w:separator/>
      </w:r>
    </w:p>
  </w:footnote>
  <w:footnote w:type="continuationSeparator" w:id="0">
    <w:p w14:paraId="31FF4A7A" w14:textId="77777777" w:rsidR="009F54E3" w:rsidRDefault="009F54E3">
      <w:pPr>
        <w:spacing w:after="0"/>
      </w:pPr>
      <w:r>
        <w:continuationSeparator/>
      </w:r>
    </w:p>
  </w:footnote>
  <w:footnote w:type="continuationNotice" w:id="1">
    <w:p w14:paraId="03CF5E19" w14:textId="77777777" w:rsidR="009F54E3" w:rsidRDefault="009F54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44313218">
    <w:abstractNumId w:val="4"/>
  </w:num>
  <w:num w:numId="2" w16cid:durableId="47805662">
    <w:abstractNumId w:val="13"/>
  </w:num>
  <w:num w:numId="3" w16cid:durableId="437530084">
    <w:abstractNumId w:val="1"/>
  </w:num>
  <w:num w:numId="4" w16cid:durableId="191306828">
    <w:abstractNumId w:val="0"/>
  </w:num>
  <w:num w:numId="5" w16cid:durableId="313489912">
    <w:abstractNumId w:val="18"/>
  </w:num>
  <w:num w:numId="6" w16cid:durableId="913977366">
    <w:abstractNumId w:val="21"/>
    <w:lvlOverride w:ilvl="0">
      <w:startOverride w:val="1"/>
    </w:lvlOverride>
  </w:num>
  <w:num w:numId="7" w16cid:durableId="719282207">
    <w:abstractNumId w:val="22"/>
  </w:num>
  <w:num w:numId="8" w16cid:durableId="883715512">
    <w:abstractNumId w:val="28"/>
  </w:num>
  <w:num w:numId="9" w16cid:durableId="1947032537">
    <w:abstractNumId w:val="34"/>
  </w:num>
  <w:num w:numId="10" w16cid:durableId="562646926">
    <w:abstractNumId w:val="30"/>
  </w:num>
  <w:num w:numId="11" w16cid:durableId="1452744128">
    <w:abstractNumId w:val="19"/>
  </w:num>
  <w:num w:numId="12" w16cid:durableId="1295599999">
    <w:abstractNumId w:val="15"/>
  </w:num>
  <w:num w:numId="13" w16cid:durableId="1205560137">
    <w:abstractNumId w:val="31"/>
  </w:num>
  <w:num w:numId="14" w16cid:durableId="1047680551">
    <w:abstractNumId w:val="2"/>
  </w:num>
  <w:num w:numId="15" w16cid:durableId="1595164725">
    <w:abstractNumId w:val="16"/>
  </w:num>
  <w:num w:numId="16" w16cid:durableId="1330330851">
    <w:abstractNumId w:val="7"/>
  </w:num>
  <w:num w:numId="17" w16cid:durableId="1375620517">
    <w:abstractNumId w:val="35"/>
  </w:num>
  <w:num w:numId="18" w16cid:durableId="170341851">
    <w:abstractNumId w:val="20"/>
  </w:num>
  <w:num w:numId="19" w16cid:durableId="464473700">
    <w:abstractNumId w:val="27"/>
  </w:num>
  <w:num w:numId="20" w16cid:durableId="673532227">
    <w:abstractNumId w:val="11"/>
  </w:num>
  <w:num w:numId="21" w16cid:durableId="1170678649">
    <w:abstractNumId w:val="26"/>
  </w:num>
  <w:num w:numId="22" w16cid:durableId="1903903822">
    <w:abstractNumId w:val="10"/>
  </w:num>
  <w:num w:numId="23" w16cid:durableId="1757825701">
    <w:abstractNumId w:val="17"/>
  </w:num>
  <w:num w:numId="24" w16cid:durableId="2084719467">
    <w:abstractNumId w:val="32"/>
  </w:num>
  <w:num w:numId="25" w16cid:durableId="1093017383">
    <w:abstractNumId w:val="5"/>
  </w:num>
  <w:num w:numId="26" w16cid:durableId="633095553">
    <w:abstractNumId w:val="14"/>
  </w:num>
  <w:num w:numId="27" w16cid:durableId="2137522363">
    <w:abstractNumId w:val="36"/>
  </w:num>
  <w:num w:numId="28" w16cid:durableId="1527985711">
    <w:abstractNumId w:val="12"/>
  </w:num>
  <w:num w:numId="29" w16cid:durableId="230241001">
    <w:abstractNumId w:val="8"/>
  </w:num>
  <w:num w:numId="30" w16cid:durableId="1320184439">
    <w:abstractNumId w:val="3"/>
  </w:num>
  <w:num w:numId="31" w16cid:durableId="189953245">
    <w:abstractNumId w:val="23"/>
  </w:num>
  <w:num w:numId="32" w16cid:durableId="55978093">
    <w:abstractNumId w:val="29"/>
  </w:num>
  <w:num w:numId="33" w16cid:durableId="450511295">
    <w:abstractNumId w:val="6"/>
  </w:num>
  <w:num w:numId="34" w16cid:durableId="1339036678">
    <w:abstractNumId w:val="9"/>
  </w:num>
  <w:num w:numId="35" w16cid:durableId="711811386">
    <w:abstractNumId w:val="24"/>
  </w:num>
  <w:num w:numId="36" w16cid:durableId="63992144">
    <w:abstractNumId w:val="25"/>
  </w:num>
  <w:num w:numId="37" w16cid:durableId="166123016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284"/>
  <w:hyphenationZone w:val="425"/>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0"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464.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11/Docs/R1-2212534.zip" TargetMode="Externa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73C29436-A115-40F1-9EF8-B1C98D2EC8E9}">
  <ds:schemaRefs>
    <ds:schemaRef ds:uri="http://schemas.openxmlformats.org/officeDocument/2006/bibliography"/>
  </ds:schemaRefs>
</ds:datastoreItem>
</file>

<file path=customXml/itemProps4.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47</Pages>
  <Words>17297</Words>
  <Characters>98593</Characters>
  <Application>Microsoft Office Word</Application>
  <DocSecurity>0</DocSecurity>
  <Lines>821</Lines>
  <Paragraphs>231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115659</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Yongjun Kwak</cp:lastModifiedBy>
  <cp:revision>9</cp:revision>
  <dcterms:created xsi:type="dcterms:W3CDTF">2023-03-02T05:48:00Z</dcterms:created>
  <dcterms:modified xsi:type="dcterms:W3CDTF">2023-03-02T05:51:00Z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