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E8D16F9"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A118B8" w14:textId="4871B2DC"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581B23"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3A362B"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3A362B"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3A362B"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 xml:space="preserve">Based on the received responses to Questions 2.2-1a and 2.2-2b, there seems to be larger support for Approach 2 (where X is not dependent on the RAR PDSCH bandwidth) than Approach 1 </w:t>
            </w:r>
            <w:r>
              <w:rPr>
                <w:rFonts w:eastAsia="Yu Mincho"/>
                <w:lang w:val="en-US" w:eastAsia="ja-JP"/>
              </w:rPr>
              <w:lastRenderedPageBreak/>
              <w:t>(where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r>
              <w:rPr>
                <w:rFonts w:eastAsiaTheme="minorEastAsia"/>
                <w:lang w:val="en-US" w:eastAsia="zh-CN"/>
              </w:rPr>
              <w:lastRenderedPageBreak/>
              <w:t>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lastRenderedPageBreak/>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r>
              <w:rPr>
                <w:rFonts w:eastAsiaTheme="minorEastAsia"/>
                <w:lang w:val="en-US" w:eastAsia="zh-CN"/>
              </w:rPr>
              <w:t>Spreadtrum</w:t>
            </w:r>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 xml:space="preserve">Our preference is 2ms for 15 kHz and 1ms for 30 kHz, as the processing time should be large enough to cover all the cases and avoid negative impacts to the </w:t>
            </w:r>
            <w:r>
              <w:rPr>
                <w:lang w:eastAsia="ja-JP"/>
              </w:rPr>
              <w:lastRenderedPageBreak/>
              <w:t>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lastRenderedPageBreak/>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SimSun" w:hint="eastAsia"/>
                <w:lang w:val="en-US" w:eastAsia="zh-CN"/>
              </w:rPr>
              <w:t>ZTE, Sanechips</w:t>
            </w:r>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SimSun" w:hint="eastAsia"/>
                <w:lang w:val="en-US" w:eastAsia="zh-CN"/>
              </w:rPr>
              <w:t>N</w:t>
            </w:r>
          </w:p>
        </w:tc>
        <w:tc>
          <w:tcPr>
            <w:tcW w:w="6659" w:type="dxa"/>
          </w:tcPr>
          <w:p w14:paraId="78469CBE" w14:textId="3DB31BD0" w:rsidR="002A3B40" w:rsidRDefault="002A3B40" w:rsidP="002A3B40">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ms)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ms.</w:t>
            </w:r>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DengXian"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DengXian" w:hAnsi="Times" w:hint="eastAsia"/>
                <w:szCs w:val="22"/>
                <w:lang w:val="en-US" w:eastAsia="zh-CN"/>
              </w:rPr>
              <w:t>N</w:t>
            </w:r>
            <w:r w:rsidRPr="003B0914">
              <w:rPr>
                <w:rFonts w:ascii="Times" w:eastAsia="DengXian"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DengXian"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DengXian"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X = [0.5/0.25 or 1/0.5 or 2/1] ms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DengXian" w:hAnsi="Times" w:hint="eastAsia"/>
                <w:szCs w:val="24"/>
                <w:lang w:val="en-US" w:eastAsia="zh-CN"/>
              </w:rPr>
              <w:t>N</w:t>
            </w:r>
            <w:r w:rsidRPr="003B0914">
              <w:rPr>
                <w:rFonts w:ascii="Times" w:eastAsia="DengXian"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3D00D7">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3D00D7">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3D00D7">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3D00D7">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3D00D7">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3D00D7">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EA0AD8">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EA0AD8">
        <w:tc>
          <w:tcPr>
            <w:tcW w:w="1479" w:type="dxa"/>
          </w:tcPr>
          <w:p w14:paraId="1B0EE7F7" w14:textId="0CB68F2A"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EA0AD8">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EA0AD8">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EA0AD8">
        <w:tc>
          <w:tcPr>
            <w:tcW w:w="1479" w:type="dxa"/>
          </w:tcPr>
          <w:p w14:paraId="57643643" w14:textId="5E766A48" w:rsidR="003F2488" w:rsidRDefault="003F2488" w:rsidP="003F2488">
            <w:pPr>
              <w:jc w:val="left"/>
              <w:rPr>
                <w:rFonts w:eastAsiaTheme="minorEastAsia"/>
                <w:lang w:val="en-US" w:eastAsia="zh-CN"/>
              </w:rPr>
            </w:pPr>
            <w:r>
              <w:rPr>
                <w:rFonts w:eastAsia="SimSun" w:hint="eastAsia"/>
                <w:lang w:val="en-US" w:eastAsia="zh-CN"/>
              </w:rPr>
              <w:t>ZTE, Sanechips</w:t>
            </w:r>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SimSun"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F615EC">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F615EC">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ListParagraph"/>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ListParagraph"/>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1E06FC">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1E0080">
        <w:tc>
          <w:tcPr>
            <w:tcW w:w="1479" w:type="dxa"/>
          </w:tcPr>
          <w:p w14:paraId="4974DB45" w14:textId="543B6014" w:rsidR="00104763" w:rsidRDefault="00104763" w:rsidP="001E0080">
            <w:pPr>
              <w:jc w:val="left"/>
              <w:rPr>
                <w:rFonts w:eastAsiaTheme="minorEastAsia"/>
                <w:lang w:val="en-US" w:eastAsia="zh-CN"/>
              </w:rPr>
            </w:pPr>
          </w:p>
        </w:tc>
        <w:tc>
          <w:tcPr>
            <w:tcW w:w="1493" w:type="dxa"/>
            <w:gridSpan w:val="2"/>
          </w:tcPr>
          <w:p w14:paraId="230CBF9C" w14:textId="627F99C7" w:rsidR="00104763" w:rsidRDefault="00104763" w:rsidP="001E0080">
            <w:pPr>
              <w:tabs>
                <w:tab w:val="left" w:pos="551"/>
              </w:tabs>
              <w:jc w:val="left"/>
              <w:rPr>
                <w:rFonts w:eastAsiaTheme="minorEastAsia"/>
                <w:lang w:val="en-US" w:eastAsia="zh-CN"/>
              </w:rPr>
            </w:pPr>
          </w:p>
        </w:tc>
        <w:tc>
          <w:tcPr>
            <w:tcW w:w="6659" w:type="dxa"/>
          </w:tcPr>
          <w:p w14:paraId="4183DA78" w14:textId="25F927FB" w:rsidR="00104763" w:rsidRDefault="00104763" w:rsidP="001E0080">
            <w:pPr>
              <w:rPr>
                <w:lang w:eastAsia="zh-CN"/>
              </w:rPr>
            </w:pPr>
          </w:p>
        </w:tc>
      </w:tr>
      <w:tr w:rsidR="00104763" w14:paraId="073F1983" w14:textId="77777777" w:rsidTr="001E0080">
        <w:tc>
          <w:tcPr>
            <w:tcW w:w="1479" w:type="dxa"/>
          </w:tcPr>
          <w:p w14:paraId="756FF5A0" w14:textId="61679F69" w:rsidR="00104763" w:rsidRDefault="00104763" w:rsidP="001E0080">
            <w:pPr>
              <w:jc w:val="left"/>
              <w:rPr>
                <w:rFonts w:eastAsiaTheme="minorEastAsia"/>
                <w:lang w:val="en-US" w:eastAsia="zh-CN"/>
              </w:rPr>
            </w:pPr>
          </w:p>
        </w:tc>
        <w:tc>
          <w:tcPr>
            <w:tcW w:w="1493" w:type="dxa"/>
            <w:gridSpan w:val="2"/>
          </w:tcPr>
          <w:p w14:paraId="632EF33C" w14:textId="04E1B19E" w:rsidR="00104763" w:rsidRDefault="00104763" w:rsidP="001E0080">
            <w:pPr>
              <w:tabs>
                <w:tab w:val="left" w:pos="551"/>
              </w:tabs>
              <w:jc w:val="left"/>
              <w:rPr>
                <w:rFonts w:eastAsiaTheme="minorEastAsia"/>
                <w:lang w:val="en-US" w:eastAsia="zh-CN"/>
              </w:rPr>
            </w:pPr>
          </w:p>
        </w:tc>
        <w:tc>
          <w:tcPr>
            <w:tcW w:w="6659" w:type="dxa"/>
          </w:tcPr>
          <w:p w14:paraId="1B36253B" w14:textId="77777777" w:rsidR="00104763" w:rsidRDefault="00104763" w:rsidP="001E0080">
            <w:pPr>
              <w:jc w:val="left"/>
              <w:rPr>
                <w:rFonts w:eastAsiaTheme="minorEastAsia"/>
                <w:lang w:val="en-US" w:eastAsia="zh-CN"/>
              </w:rPr>
            </w:pPr>
          </w:p>
        </w:tc>
      </w:tr>
      <w:tr w:rsidR="00104763" w14:paraId="65E705AC" w14:textId="77777777" w:rsidTr="001E0080">
        <w:tc>
          <w:tcPr>
            <w:tcW w:w="1479" w:type="dxa"/>
          </w:tcPr>
          <w:p w14:paraId="1AC2583C" w14:textId="52A49CDA" w:rsidR="00104763" w:rsidRDefault="00104763" w:rsidP="001E0080">
            <w:pPr>
              <w:jc w:val="left"/>
              <w:rPr>
                <w:rFonts w:eastAsiaTheme="minorEastAsia"/>
                <w:lang w:val="en-US" w:eastAsia="zh-CN"/>
              </w:rPr>
            </w:pPr>
          </w:p>
        </w:tc>
        <w:tc>
          <w:tcPr>
            <w:tcW w:w="1493" w:type="dxa"/>
            <w:gridSpan w:val="2"/>
          </w:tcPr>
          <w:p w14:paraId="2CBFBEA1" w14:textId="5F5B7501" w:rsidR="00104763" w:rsidRDefault="00104763" w:rsidP="001E0080">
            <w:pPr>
              <w:tabs>
                <w:tab w:val="left" w:pos="551"/>
              </w:tabs>
              <w:jc w:val="left"/>
              <w:rPr>
                <w:rFonts w:eastAsiaTheme="minorEastAsia"/>
                <w:lang w:val="en-US" w:eastAsia="zh-CN"/>
              </w:rPr>
            </w:pPr>
          </w:p>
        </w:tc>
        <w:tc>
          <w:tcPr>
            <w:tcW w:w="6659" w:type="dxa"/>
          </w:tcPr>
          <w:p w14:paraId="5300EF3E" w14:textId="77777777" w:rsidR="00104763" w:rsidRDefault="00104763" w:rsidP="001E0080">
            <w:pPr>
              <w:jc w:val="left"/>
              <w:rPr>
                <w:rFonts w:eastAsiaTheme="minorEastAsia"/>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lastRenderedPageBreak/>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 xml:space="preserve">We suggest to remove the </w:t>
            </w:r>
            <w:r>
              <w:rPr>
                <w:rFonts w:eastAsiaTheme="minorEastAsia"/>
                <w:lang w:val="en-US" w:eastAsia="zh-CN"/>
              </w:rPr>
              <w:lastRenderedPageBreak/>
              <w:t>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 xml:space="preserve">In addition, we would like to clarify that separate initial BWP specific to Rel-18 </w:t>
            </w:r>
            <w:r>
              <w:rPr>
                <w:rFonts w:eastAsia="Yu Mincho"/>
                <w:lang w:val="en-US" w:eastAsia="ja-JP"/>
              </w:rPr>
              <w:lastRenderedPageBreak/>
              <w:t>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40821852"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UEs use a separate initial DL/UL BWP while Rel-17 RedCap UEs and non-RedCap UEs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10714A8" w:rsidR="003A362B" w:rsidRPr="00B53C69" w:rsidRDefault="003A362B" w:rsidP="00191AD1">
            <w:pPr>
              <w:jc w:val="left"/>
              <w:rPr>
                <w:rFonts w:eastAsiaTheme="minorEastAsia"/>
                <w:lang w:val="en-US" w:eastAsia="zh-CN"/>
              </w:rPr>
            </w:pPr>
            <w:r w:rsidRPr="00B53C69">
              <w:rPr>
                <w:lang w:eastAsia="zh-CN"/>
              </w:rPr>
              <w:t>It is almost a common understanding in RAN1 that ”</w:t>
            </w:r>
            <w:r w:rsidRPr="00B53C69">
              <w:rPr>
                <w:b/>
                <w:bCs/>
              </w:rPr>
              <w:t xml:space="preserve"> No additional separate initial DL/UL BWP specific to Rel-18 RedCap UEs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signaling aspect can be left to RAN2, we think the decision should be made by RAN1 about the following discussion points: </w:t>
            </w:r>
          </w:p>
          <w:p w14:paraId="3ED1F669" w14:textId="689E0FA9"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(3) whether R18 eRedCap UEs always share the same initial BWPs as R17 RedCap UEs in a cell that support both types of Redcap UEs.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lastRenderedPageBreak/>
              <w:t>ZTE, Sanechips</w:t>
            </w:r>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77777777"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UEs. If an additional separate initial BWP is configured for Rel-18 RedCap UEs, all the RAN1 procedures and some parameters related to separate initial BWP need to be considered.</w:t>
            </w:r>
          </w:p>
          <w:p w14:paraId="6DB3B37A" w14:textId="30BBA432" w:rsidR="00A43662" w:rsidRPr="00A43662" w:rsidRDefault="00A43662" w:rsidP="00A43662">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UEs. And we don't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ListParagraph"/>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68ABA3D3" w:rsidR="00427E74" w:rsidRPr="007F6D33" w:rsidRDefault="00427E74" w:rsidP="00427E74">
            <w:pPr>
              <w:pStyle w:val="ListParagraph"/>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No additional separate initial DL/UL BWP specific to Rel-18 RedCap UEs is configured by the SIB1 in the cell.</w:t>
            </w:r>
          </w:p>
          <w:p w14:paraId="7C9711EE" w14:textId="724B1C09" w:rsidR="00427E74" w:rsidRPr="007F6D33" w:rsidRDefault="00427E74" w:rsidP="00427E74">
            <w:pPr>
              <w:pStyle w:val="ListParagraph"/>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p w14:paraId="387F4FEB" w14:textId="77777777" w:rsidR="007F6D33" w:rsidRPr="007F6D33" w:rsidRDefault="00427E74" w:rsidP="00427E74">
            <w:pPr>
              <w:pStyle w:val="ListParagraph"/>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6026ECDF" w:rsidR="00427E74" w:rsidRPr="007F6D33" w:rsidRDefault="00427E74" w:rsidP="007F6D33">
            <w:pPr>
              <w:pStyle w:val="ListParagraph"/>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UEs,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73FA1625" w14:textId="77777777" w:rsidR="000E3024" w:rsidRPr="000E3024" w:rsidRDefault="000E3024" w:rsidP="000E3024">
            <w:pPr>
              <w:spacing w:after="0" w:line="240" w:lineRule="auto"/>
              <w:jc w:val="left"/>
              <w:rPr>
                <w:rFonts w:eastAsia="DengXian"/>
                <w:lang w:val="en-US" w:eastAsia="zh-CN"/>
              </w:rPr>
            </w:pPr>
            <w:r w:rsidRPr="000E3024">
              <w:rPr>
                <w:rFonts w:eastAsia="DengXian"/>
                <w:lang w:val="en-US" w:eastAsia="zh-CN"/>
              </w:rPr>
              <w:t xml:space="preserve">There is no consensus to continue discussion on “whether </w:t>
            </w:r>
            <w:r w:rsidRPr="000E3024">
              <w:rPr>
                <w:lang w:val="en-US"/>
              </w:rPr>
              <w:t>additional separate initial DL/UL BWP specific to Rel-18 RedCap UEs is allowed to be configured by the SIB in the cell</w:t>
            </w:r>
            <w:r w:rsidRPr="000E3024">
              <w:rPr>
                <w:rFonts w:eastAsia="DengXian"/>
                <w:lang w:val="en-US" w:eastAsia="zh-CN"/>
              </w:rPr>
              <w:t>”.</w:t>
            </w:r>
          </w:p>
          <w:p w14:paraId="6D8DC3E3" w14:textId="1FF0CD20" w:rsidR="000E3024" w:rsidRPr="000E3024" w:rsidRDefault="000E3024" w:rsidP="000E3024">
            <w:pPr>
              <w:spacing w:after="0" w:line="240" w:lineRule="auto"/>
              <w:jc w:val="left"/>
              <w:rPr>
                <w:rFonts w:eastAsia="DengXian"/>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lastRenderedPageBreak/>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w:t>
            </w:r>
            <w:r>
              <w:rPr>
                <w:rFonts w:eastAsiaTheme="minorEastAsia"/>
                <w:lang w:val="en-US" w:eastAsia="zh-CN"/>
              </w:rPr>
              <w:lastRenderedPageBreak/>
              <w:t>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4" w:name="OLE_LINK3"/>
            <w:r>
              <w:rPr>
                <w:rFonts w:eastAsiaTheme="minorEastAsia"/>
                <w:lang w:val="en-US" w:eastAsia="zh-CN"/>
              </w:rPr>
              <w:t>We prefer that it is also no need to relax the requirements for TC-RNTI scrambled PDSCH.</w:t>
            </w:r>
            <w:bookmarkEnd w:id="4"/>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lastRenderedPageBreak/>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18D91814"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sidRPr="00E33723">
              <w:rPr>
                <w:rFonts w:eastAsiaTheme="minorEastAsia"/>
                <w:lang w:val="en-US" w:eastAsia="zh-CN"/>
              </w:rPr>
              <w:t>17 RedCap UEs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UEs or Rel-17 RedCap UEs.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1C2D50DD"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ListParagraph"/>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ListParagraph"/>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lastRenderedPageBreak/>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lastRenderedPageBreak/>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DengXian"/>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FDMed with RAR PDSCH, need a clarification same as two broadcast PDSCH case whether special handling on the timeline </w:t>
            </w:r>
            <w:r>
              <w:rPr>
                <w:rFonts w:eastAsia="Yu Mincho"/>
                <w:lang w:val="en-US" w:eastAsia="ja-JP"/>
              </w:rPr>
              <w:lastRenderedPageBreak/>
              <w:t>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lastRenderedPageBreak/>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39831BCF"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ListParagraph"/>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 xml:space="preserve">It is OK for this to be FFS. We are concerned about how the UE is meant to be able to decode 2 PDSCH when it has a capability of decoding 25PRBs (at </w:t>
            </w:r>
            <w:r>
              <w:rPr>
                <w:rFonts w:eastAsiaTheme="minorEastAsia"/>
                <w:lang w:val="en-US" w:eastAsia="zh-CN"/>
              </w:rPr>
              <w:lastRenderedPageBreak/>
              <w:t>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SimSun" w:hint="eastAsia"/>
                <w:lang w:val="en-US" w:eastAsia="zh-CN"/>
              </w:rPr>
              <w:lastRenderedPageBreak/>
              <w:t>ZTE, Sanechips</w:t>
            </w:r>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SimSun"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It means t</w:t>
            </w:r>
            <w:r w:rsidRPr="00777594">
              <w:rPr>
                <w:rFonts w:eastAsiaTheme="minorEastAsia"/>
                <w:color w:val="FF0000"/>
                <w:lang w:val="en-US" w:eastAsia="zh-CN"/>
              </w:rPr>
              <w:t>T</w:t>
            </w:r>
            <w:r w:rsidRPr="00777594">
              <w:rPr>
                <w:rFonts w:eastAsiaTheme="minorEastAsia"/>
                <w:lang w:val="en-US" w:eastAsia="zh-CN"/>
              </w:rPr>
              <w:t>he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SimSun" w:hint="eastAsia"/>
                <w:lang w:val="en-US" w:eastAsia="zh-CN"/>
              </w:rPr>
              <w:t>ZTE, Sanechips</w:t>
            </w:r>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SimSun"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lastRenderedPageBreak/>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20204CE8" w:rsidR="00187A42" w:rsidRPr="00126B16" w:rsidRDefault="00187A42" w:rsidP="00F615EC">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77777777"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From RAN1 perspective, for UE BB complexity reduction, for paging channel (PDSCH) to Rel-18 RedCap UEs,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DengXian"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3D00D7">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3D00D7">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3D00D7">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3D00D7">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3D00D7">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3D00D7">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C83852">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C83852">
        <w:tc>
          <w:tcPr>
            <w:tcW w:w="1479" w:type="dxa"/>
          </w:tcPr>
          <w:p w14:paraId="1B9A8B1D" w14:textId="726B0729"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C83852">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C83852">
        <w:tc>
          <w:tcPr>
            <w:tcW w:w="1479" w:type="dxa"/>
          </w:tcPr>
          <w:p w14:paraId="344F4152" w14:textId="264DD0FF" w:rsidR="0018239C" w:rsidRDefault="0018239C" w:rsidP="0018239C">
            <w:pPr>
              <w:jc w:val="left"/>
              <w:rPr>
                <w:rFonts w:eastAsiaTheme="minorEastAsia"/>
                <w:lang w:val="en-US" w:eastAsia="zh-CN"/>
              </w:rPr>
            </w:pPr>
            <w:r>
              <w:rPr>
                <w:rFonts w:eastAsia="SimSun" w:hint="eastAsia"/>
                <w:lang w:val="en-US" w:eastAsia="zh-CN"/>
              </w:rPr>
              <w:t>ZTE, Sanechips</w:t>
            </w:r>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SimSun"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F615EC">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lastRenderedPageBreak/>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Pr="00322A54">
              <w:rPr>
                <w:rFonts w:ascii="Times" w:eastAsia="DengXian" w:hAnsi="Times"/>
                <w:b/>
                <w:color w:val="FF0000"/>
                <w:szCs w:val="24"/>
                <w:lang w:val="en-US" w:eastAsia="zh-CN"/>
              </w:rPr>
              <w:t xml:space="preserve">25 PRBs for 15 kHz SCS and </w:t>
            </w:r>
            <w:r w:rsidRPr="00322A54">
              <w:rPr>
                <w:rFonts w:ascii="Times" w:eastAsia="DengXian" w:hAnsi="Times"/>
                <w:b/>
                <w:bCs/>
                <w:color w:val="FF0000"/>
                <w:szCs w:val="24"/>
                <w:lang w:val="en-US" w:eastAsia="zh-CN"/>
              </w:rPr>
              <w:t>12 PRBs for 30 kHz SCS</w:t>
            </w:r>
            <w:r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F615EC">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lastRenderedPageBreak/>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72D7E30D" w14:textId="322E5A25" w:rsidR="00E45568" w:rsidRPr="00581B23" w:rsidRDefault="00E45568" w:rsidP="00E45568">
            <w:pPr>
              <w:pStyle w:val="ListParagraph"/>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 xml:space="preserve">The UE is not required to process </w:t>
            </w:r>
            <w:r w:rsidR="00E21BB7" w:rsidRPr="00581B23">
              <w:rPr>
                <w:rFonts w:ascii="Times New Roman" w:eastAsia="DengXian" w:hAnsi="Times New Roman" w:cs="Times New Roman"/>
                <w:b/>
                <w:bCs/>
                <w:color w:val="FF0000"/>
                <w:sz w:val="20"/>
                <w:szCs w:val="20"/>
                <w:lang w:val="en-US" w:eastAsia="zh-CN"/>
              </w:rPr>
              <w:t xml:space="preserve">a </w:t>
            </w:r>
            <w:r w:rsidRPr="00581B23">
              <w:rPr>
                <w:rFonts w:ascii="Times New Roman" w:eastAsia="DengXian" w:hAnsi="Times New Roman" w:cs="Times New Roman"/>
                <w:b/>
                <w:bCs/>
                <w:color w:val="FF0000"/>
                <w:sz w:val="20"/>
                <w:szCs w:val="20"/>
                <w:lang w:val="en-US" w:eastAsia="zh-CN"/>
              </w:rPr>
              <w:t xml:space="preserve">Msg4 PDSCH </w:t>
            </w:r>
            <w:r w:rsidR="00E21BB7" w:rsidRPr="00581B23">
              <w:rPr>
                <w:rFonts w:ascii="Times New Roman" w:eastAsia="DengXian" w:hAnsi="Times New Roman" w:cs="Times New Roman"/>
                <w:b/>
                <w:bCs/>
                <w:color w:val="FF0000"/>
                <w:sz w:val="20"/>
                <w:szCs w:val="20"/>
                <w:lang w:val="en-US" w:eastAsia="zh-CN"/>
              </w:rPr>
              <w:t xml:space="preserve">with a larger number of PRBs than </w:t>
            </w:r>
            <w:r w:rsidRPr="00581B23">
              <w:rPr>
                <w:rFonts w:ascii="Times New Roman" w:eastAsia="DengXian" w:hAnsi="Times New Roman" w:cs="Times New Roman"/>
                <w:b/>
                <w:bCs/>
                <w:color w:val="FF0000"/>
                <w:sz w:val="20"/>
                <w:szCs w:val="20"/>
                <w:lang w:val="en-US" w:eastAsia="zh-CN"/>
              </w:rPr>
              <w:t>25 PRBs for 15 kHz SCS and 12 PRBs for 30 kHz SCS</w:t>
            </w:r>
            <w:r w:rsidR="0086578A" w:rsidRPr="00581B23">
              <w:rPr>
                <w:rFonts w:ascii="Times New Roman" w:eastAsia="DengXian" w:hAnsi="Times New Roman" w:cs="Times New Roman"/>
                <w:b/>
                <w:bCs/>
                <w:color w:val="FF0000"/>
                <w:sz w:val="20"/>
                <w:szCs w:val="20"/>
                <w:lang w:val="en-US" w:eastAsia="zh-CN"/>
              </w:rPr>
              <w:t>.</w:t>
            </w:r>
          </w:p>
          <w:p w14:paraId="12E99E36" w14:textId="5238A3EB" w:rsidR="00581B23" w:rsidRPr="00581B23" w:rsidRDefault="00E821FD" w:rsidP="00581B23">
            <w:pPr>
              <w:pStyle w:val="ListParagraph"/>
              <w:numPr>
                <w:ilvl w:val="1"/>
                <w:numId w:val="15"/>
              </w:numPr>
              <w:jc w:val="left"/>
              <w:rPr>
                <w:rFonts w:ascii="Times New Roman" w:eastAsia="DengXian"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DengXian" w:hAnsi="Times New Roman" w:cs="Times New Roman"/>
                <w:b/>
                <w:bCs/>
                <w:color w:val="FF0000"/>
                <w:sz w:val="20"/>
                <w:szCs w:val="20"/>
                <w:lang w:val="en-US" w:eastAsia="zh-CN"/>
              </w:rPr>
              <w:t xml:space="preserve">than </w:t>
            </w:r>
            <w:r w:rsidR="00731898" w:rsidRPr="00581B23">
              <w:rPr>
                <w:rFonts w:ascii="Times New Roman" w:eastAsia="DengXian" w:hAnsi="Times New Roman" w:cs="Times New Roman"/>
                <w:b/>
                <w:color w:val="FF0000"/>
                <w:sz w:val="20"/>
                <w:szCs w:val="20"/>
                <w:lang w:val="en-US" w:eastAsia="zh-CN"/>
              </w:rPr>
              <w:t xml:space="preserve">25 PRBs for 15 kHz SCS and </w:t>
            </w:r>
            <w:r w:rsidR="00731898" w:rsidRPr="00581B23">
              <w:rPr>
                <w:rFonts w:ascii="Times New Roman" w:eastAsia="DengXian" w:hAnsi="Times New Roman" w:cs="Times New Roman"/>
                <w:b/>
                <w:bCs/>
                <w:color w:val="FF0000"/>
                <w:sz w:val="20"/>
                <w:szCs w:val="20"/>
                <w:lang w:val="en-US" w:eastAsia="zh-CN"/>
              </w:rPr>
              <w:t>12 PRBs for 30 kHz SCS</w:t>
            </w:r>
          </w:p>
        </w:tc>
      </w:tr>
      <w:tr w:rsidR="000C52EF" w14:paraId="609309DA" w14:textId="77777777" w:rsidTr="001E0080">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0C52EF" w14:paraId="246085FB" w14:textId="77777777" w:rsidTr="001E0080">
        <w:tc>
          <w:tcPr>
            <w:tcW w:w="1479" w:type="dxa"/>
          </w:tcPr>
          <w:p w14:paraId="03EDCA1D" w14:textId="3E8D2C16" w:rsidR="000C52EF" w:rsidRDefault="000C52EF" w:rsidP="001E0080">
            <w:pPr>
              <w:jc w:val="left"/>
              <w:rPr>
                <w:rFonts w:eastAsiaTheme="minorEastAsia"/>
                <w:lang w:val="en-US" w:eastAsia="zh-CN"/>
              </w:rPr>
            </w:pPr>
          </w:p>
        </w:tc>
        <w:tc>
          <w:tcPr>
            <w:tcW w:w="1372" w:type="dxa"/>
          </w:tcPr>
          <w:p w14:paraId="546F6CD0" w14:textId="52631799" w:rsidR="000C52EF" w:rsidRDefault="000C52EF" w:rsidP="001E0080">
            <w:pPr>
              <w:tabs>
                <w:tab w:val="left" w:pos="551"/>
              </w:tabs>
              <w:jc w:val="left"/>
              <w:rPr>
                <w:rFonts w:eastAsiaTheme="minorEastAsia"/>
                <w:lang w:val="en-US" w:eastAsia="zh-CN"/>
              </w:rPr>
            </w:pPr>
          </w:p>
        </w:tc>
        <w:tc>
          <w:tcPr>
            <w:tcW w:w="6780" w:type="dxa"/>
            <w:gridSpan w:val="2"/>
          </w:tcPr>
          <w:p w14:paraId="51AE3CD5" w14:textId="77777777" w:rsidR="000C52EF" w:rsidRDefault="000C52EF" w:rsidP="001E0080">
            <w:pPr>
              <w:jc w:val="left"/>
              <w:rPr>
                <w:rFonts w:eastAsiaTheme="minorEastAsia"/>
                <w:lang w:val="en-US" w:eastAsia="zh-CN"/>
              </w:rPr>
            </w:pPr>
          </w:p>
        </w:tc>
      </w:tr>
      <w:tr w:rsidR="000C52EF" w14:paraId="4E5A3411" w14:textId="77777777" w:rsidTr="001E0080">
        <w:tc>
          <w:tcPr>
            <w:tcW w:w="1479" w:type="dxa"/>
          </w:tcPr>
          <w:p w14:paraId="2600B66B" w14:textId="011DAB92" w:rsidR="000C52EF" w:rsidRDefault="000C52EF" w:rsidP="001E0080">
            <w:pPr>
              <w:jc w:val="left"/>
              <w:rPr>
                <w:rFonts w:eastAsiaTheme="minorEastAsia"/>
                <w:lang w:val="en-US" w:eastAsia="zh-CN"/>
              </w:rPr>
            </w:pPr>
          </w:p>
        </w:tc>
        <w:tc>
          <w:tcPr>
            <w:tcW w:w="1372" w:type="dxa"/>
          </w:tcPr>
          <w:p w14:paraId="0462DE3F" w14:textId="48E12A39" w:rsidR="000C52EF" w:rsidRDefault="000C52EF" w:rsidP="001E0080">
            <w:pPr>
              <w:tabs>
                <w:tab w:val="left" w:pos="551"/>
              </w:tabs>
              <w:jc w:val="left"/>
              <w:rPr>
                <w:rFonts w:eastAsiaTheme="minorEastAsia"/>
                <w:lang w:val="en-US" w:eastAsia="zh-CN"/>
              </w:rPr>
            </w:pPr>
          </w:p>
        </w:tc>
        <w:tc>
          <w:tcPr>
            <w:tcW w:w="6780" w:type="dxa"/>
            <w:gridSpan w:val="2"/>
          </w:tcPr>
          <w:p w14:paraId="5FF4D347" w14:textId="77777777" w:rsidR="000C52EF" w:rsidRDefault="000C52EF" w:rsidP="001E0080">
            <w:pPr>
              <w:jc w:val="left"/>
              <w:rPr>
                <w:rFonts w:eastAsiaTheme="minorEastAsia"/>
                <w:lang w:val="en-US" w:eastAsia="zh-CN"/>
              </w:rPr>
            </w:pPr>
          </w:p>
        </w:tc>
      </w:tr>
      <w:tr w:rsidR="000C52EF" w14:paraId="475992D7" w14:textId="77777777" w:rsidTr="001E0080">
        <w:tc>
          <w:tcPr>
            <w:tcW w:w="1479" w:type="dxa"/>
          </w:tcPr>
          <w:p w14:paraId="758C51E1" w14:textId="383BE562" w:rsidR="000C52EF" w:rsidRDefault="000C52EF" w:rsidP="001E0080">
            <w:pPr>
              <w:jc w:val="left"/>
              <w:rPr>
                <w:rFonts w:eastAsiaTheme="minorEastAsia"/>
                <w:lang w:val="en-US" w:eastAsia="zh-CN"/>
              </w:rPr>
            </w:pPr>
          </w:p>
        </w:tc>
        <w:tc>
          <w:tcPr>
            <w:tcW w:w="1372" w:type="dxa"/>
          </w:tcPr>
          <w:p w14:paraId="232E1F8C" w14:textId="74F36378" w:rsidR="000C52EF" w:rsidRDefault="000C52EF" w:rsidP="001E0080">
            <w:pPr>
              <w:tabs>
                <w:tab w:val="left" w:pos="551"/>
              </w:tabs>
              <w:jc w:val="left"/>
              <w:rPr>
                <w:rFonts w:eastAsiaTheme="minorEastAsia"/>
                <w:lang w:val="en-US" w:eastAsia="zh-CN"/>
              </w:rPr>
            </w:pPr>
          </w:p>
        </w:tc>
        <w:tc>
          <w:tcPr>
            <w:tcW w:w="6780" w:type="dxa"/>
            <w:gridSpan w:val="2"/>
          </w:tcPr>
          <w:p w14:paraId="3B7D0C9C" w14:textId="6A4BB1DD" w:rsidR="000C52EF" w:rsidRDefault="000C52EF" w:rsidP="001E0080">
            <w:pPr>
              <w:jc w:val="left"/>
              <w:rPr>
                <w:rFonts w:eastAsiaTheme="minorEastAsia"/>
                <w:lang w:val="en-US" w:eastAsia="zh-CN"/>
              </w:rPr>
            </w:pPr>
          </w:p>
        </w:tc>
      </w:tr>
    </w:tbl>
    <w:p w14:paraId="0C0CFF09" w14:textId="77777777" w:rsidR="000C52EF"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w:t>
            </w:r>
            <w:r>
              <w:rPr>
                <w:rFonts w:eastAsiaTheme="minorEastAsia"/>
                <w:lang w:val="en-US" w:eastAsia="zh-CN"/>
              </w:rPr>
              <w:lastRenderedPageBreak/>
              <w:t xml:space="preserve">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MsgA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r>
              <w:rPr>
                <w:rFonts w:eastAsia="Yu Mincho"/>
                <w:lang w:val="en-US" w:eastAsia="ja-JP"/>
              </w:rPr>
              <w:t>MsgA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 xml:space="preserve">If MsgA PUSCH resource is shared with non-RedCap / Rel-17 RedCap, it would be possible that at least MsgA PUSCH resources of a group are no more </w:t>
            </w:r>
            <w:r>
              <w:rPr>
                <w:rFonts w:eastAsia="Yu Mincho"/>
                <w:lang w:val="en-US" w:eastAsia="ja-JP"/>
              </w:rPr>
              <w:lastRenderedPageBreak/>
              <w:t>than ~5Mhz but MsgA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SimSun" w:hint="eastAsia"/>
                <w:lang w:val="en-US" w:eastAsia="zh-CN"/>
              </w:rPr>
              <w:t>ZTE, Sanechips</w:t>
            </w:r>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MsgA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a MsgA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t>MsgB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MsgA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Should the Msg</w:t>
      </w:r>
      <w:r w:rsidR="00EE7BFA">
        <w:rPr>
          <w:b/>
          <w:bCs/>
          <w:lang w:val="en-US"/>
        </w:rPr>
        <w:t>B</w:t>
      </w:r>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2: Yes, limit the MsgB PDSCH bandwidth in the same way as for Msg2 PDSCH.</w:t>
      </w:r>
    </w:p>
    <w:p w14:paraId="7C67528C" w14:textId="54D77AE3"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97570" w14:paraId="1BBDE14D" w14:textId="77777777" w:rsidTr="003C3F8B">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D97570" w14:paraId="4EACF3D9" w14:textId="77777777" w:rsidTr="003C3F8B">
        <w:tc>
          <w:tcPr>
            <w:tcW w:w="1479" w:type="dxa"/>
          </w:tcPr>
          <w:p w14:paraId="5E790AB5" w14:textId="7C9233C3" w:rsidR="00D97570" w:rsidRDefault="00D97570" w:rsidP="001E0080">
            <w:pPr>
              <w:jc w:val="left"/>
              <w:rPr>
                <w:rFonts w:eastAsiaTheme="minorEastAsia"/>
                <w:lang w:val="en-US" w:eastAsia="zh-CN"/>
              </w:rPr>
            </w:pPr>
          </w:p>
        </w:tc>
        <w:tc>
          <w:tcPr>
            <w:tcW w:w="1464" w:type="dxa"/>
          </w:tcPr>
          <w:p w14:paraId="649CA362" w14:textId="11797BE1" w:rsidR="00D97570" w:rsidRDefault="00D97570" w:rsidP="001E0080">
            <w:pPr>
              <w:tabs>
                <w:tab w:val="left" w:pos="551"/>
              </w:tabs>
              <w:jc w:val="left"/>
              <w:rPr>
                <w:rFonts w:eastAsiaTheme="minorEastAsia"/>
                <w:lang w:val="en-US" w:eastAsia="zh-CN"/>
              </w:rPr>
            </w:pPr>
          </w:p>
        </w:tc>
        <w:tc>
          <w:tcPr>
            <w:tcW w:w="6663" w:type="dxa"/>
          </w:tcPr>
          <w:p w14:paraId="6834DA70" w14:textId="77777777" w:rsidR="00D97570" w:rsidRDefault="00D97570" w:rsidP="001E0080">
            <w:pPr>
              <w:jc w:val="left"/>
              <w:rPr>
                <w:rFonts w:eastAsiaTheme="minorEastAsia"/>
                <w:lang w:val="en-US" w:eastAsia="zh-CN"/>
              </w:rPr>
            </w:pPr>
          </w:p>
        </w:tc>
      </w:tr>
      <w:tr w:rsidR="00D97570" w14:paraId="33EFCA4E" w14:textId="77777777" w:rsidTr="003C3F8B">
        <w:tc>
          <w:tcPr>
            <w:tcW w:w="1479" w:type="dxa"/>
          </w:tcPr>
          <w:p w14:paraId="5C139AA8" w14:textId="7D816BAF" w:rsidR="00D97570" w:rsidRDefault="00D97570" w:rsidP="001E0080">
            <w:pPr>
              <w:jc w:val="left"/>
              <w:rPr>
                <w:rFonts w:eastAsiaTheme="minorEastAsia"/>
                <w:lang w:val="en-US" w:eastAsia="zh-CN"/>
              </w:rPr>
            </w:pPr>
          </w:p>
        </w:tc>
        <w:tc>
          <w:tcPr>
            <w:tcW w:w="1464" w:type="dxa"/>
          </w:tcPr>
          <w:p w14:paraId="7720FC2A" w14:textId="07B9C9DA" w:rsidR="00D97570" w:rsidRDefault="00D97570" w:rsidP="001E0080">
            <w:pPr>
              <w:tabs>
                <w:tab w:val="left" w:pos="551"/>
              </w:tabs>
              <w:jc w:val="left"/>
              <w:rPr>
                <w:rFonts w:eastAsiaTheme="minorEastAsia"/>
                <w:lang w:val="en-US" w:eastAsia="zh-CN"/>
              </w:rPr>
            </w:pPr>
          </w:p>
        </w:tc>
        <w:tc>
          <w:tcPr>
            <w:tcW w:w="6663" w:type="dxa"/>
          </w:tcPr>
          <w:p w14:paraId="4776CEFE" w14:textId="0FD8B58E" w:rsidR="00D97570" w:rsidRDefault="00D97570" w:rsidP="001E0080">
            <w:pPr>
              <w:jc w:val="left"/>
              <w:rPr>
                <w:rFonts w:eastAsiaTheme="minorEastAsia"/>
                <w:lang w:val="en-US" w:eastAsia="zh-CN"/>
              </w:rPr>
            </w:pPr>
          </w:p>
        </w:tc>
      </w:tr>
      <w:tr w:rsidR="00D97570" w14:paraId="4CEE3B8E" w14:textId="77777777" w:rsidTr="003C3F8B">
        <w:tc>
          <w:tcPr>
            <w:tcW w:w="1479" w:type="dxa"/>
          </w:tcPr>
          <w:p w14:paraId="1130D89F" w14:textId="37C40D4C" w:rsidR="00D97570" w:rsidRDefault="00D97570" w:rsidP="001E0080">
            <w:pPr>
              <w:jc w:val="left"/>
              <w:rPr>
                <w:rFonts w:eastAsiaTheme="minorEastAsia"/>
                <w:lang w:val="en-US" w:eastAsia="zh-CN"/>
              </w:rPr>
            </w:pPr>
          </w:p>
        </w:tc>
        <w:tc>
          <w:tcPr>
            <w:tcW w:w="1464" w:type="dxa"/>
          </w:tcPr>
          <w:p w14:paraId="19F30DC7" w14:textId="690D2151" w:rsidR="00D97570" w:rsidRDefault="00D97570" w:rsidP="001E0080">
            <w:pPr>
              <w:tabs>
                <w:tab w:val="left" w:pos="551"/>
              </w:tabs>
              <w:jc w:val="left"/>
              <w:rPr>
                <w:rFonts w:eastAsiaTheme="minorEastAsia"/>
                <w:lang w:val="en-US" w:eastAsia="zh-CN"/>
              </w:rPr>
            </w:pPr>
          </w:p>
        </w:tc>
        <w:tc>
          <w:tcPr>
            <w:tcW w:w="6663" w:type="dxa"/>
          </w:tcPr>
          <w:p w14:paraId="1C643FBF" w14:textId="77777777" w:rsidR="00D97570" w:rsidRDefault="00D97570" w:rsidP="001E0080">
            <w:pPr>
              <w:jc w:val="left"/>
              <w:rPr>
                <w:rFonts w:eastAsiaTheme="minorEastAsia"/>
                <w:lang w:val="en-US" w:eastAsia="zh-CN"/>
              </w:rPr>
            </w:pP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357592" w14:paraId="5AB41032" w14:textId="77777777" w:rsidTr="003C3F8B">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357592" w14:paraId="737B2CDF" w14:textId="77777777" w:rsidTr="003C3F8B">
        <w:tc>
          <w:tcPr>
            <w:tcW w:w="1479" w:type="dxa"/>
          </w:tcPr>
          <w:p w14:paraId="48DE344B" w14:textId="77777777" w:rsidR="00357592" w:rsidRDefault="00357592" w:rsidP="001E0080">
            <w:pPr>
              <w:jc w:val="left"/>
              <w:rPr>
                <w:rFonts w:eastAsiaTheme="minorEastAsia"/>
                <w:lang w:val="en-US" w:eastAsia="zh-CN"/>
              </w:rPr>
            </w:pPr>
          </w:p>
        </w:tc>
        <w:tc>
          <w:tcPr>
            <w:tcW w:w="1464" w:type="dxa"/>
          </w:tcPr>
          <w:p w14:paraId="0F88EAD4" w14:textId="77777777" w:rsidR="00357592" w:rsidRDefault="00357592" w:rsidP="001E0080">
            <w:pPr>
              <w:tabs>
                <w:tab w:val="left" w:pos="551"/>
              </w:tabs>
              <w:jc w:val="left"/>
              <w:rPr>
                <w:rFonts w:eastAsiaTheme="minorEastAsia"/>
                <w:lang w:val="en-US" w:eastAsia="zh-CN"/>
              </w:rPr>
            </w:pPr>
          </w:p>
        </w:tc>
        <w:tc>
          <w:tcPr>
            <w:tcW w:w="6688" w:type="dxa"/>
          </w:tcPr>
          <w:p w14:paraId="12A588BB" w14:textId="77777777" w:rsidR="00357592" w:rsidRDefault="00357592" w:rsidP="001E0080">
            <w:pPr>
              <w:jc w:val="left"/>
              <w:rPr>
                <w:rFonts w:eastAsiaTheme="minorEastAsia"/>
                <w:lang w:val="en-US" w:eastAsia="zh-CN"/>
              </w:rPr>
            </w:pPr>
          </w:p>
        </w:tc>
      </w:tr>
      <w:tr w:rsidR="00357592" w14:paraId="1052F5C5" w14:textId="77777777" w:rsidTr="003C3F8B">
        <w:tc>
          <w:tcPr>
            <w:tcW w:w="1479" w:type="dxa"/>
          </w:tcPr>
          <w:p w14:paraId="57755707" w14:textId="77777777" w:rsidR="00357592" w:rsidRDefault="00357592" w:rsidP="001E0080">
            <w:pPr>
              <w:jc w:val="left"/>
              <w:rPr>
                <w:rFonts w:eastAsiaTheme="minorEastAsia"/>
                <w:lang w:val="en-US" w:eastAsia="zh-CN"/>
              </w:rPr>
            </w:pPr>
          </w:p>
        </w:tc>
        <w:tc>
          <w:tcPr>
            <w:tcW w:w="1464" w:type="dxa"/>
          </w:tcPr>
          <w:p w14:paraId="4B9896A9" w14:textId="77777777" w:rsidR="00357592" w:rsidRDefault="00357592" w:rsidP="001E0080">
            <w:pPr>
              <w:tabs>
                <w:tab w:val="left" w:pos="551"/>
              </w:tabs>
              <w:jc w:val="left"/>
              <w:rPr>
                <w:rFonts w:eastAsiaTheme="minorEastAsia"/>
                <w:lang w:val="en-US" w:eastAsia="zh-CN"/>
              </w:rPr>
            </w:pPr>
          </w:p>
        </w:tc>
        <w:tc>
          <w:tcPr>
            <w:tcW w:w="6688" w:type="dxa"/>
          </w:tcPr>
          <w:p w14:paraId="37D8B98C" w14:textId="77777777" w:rsidR="00357592" w:rsidRDefault="00357592" w:rsidP="001E0080">
            <w:pPr>
              <w:jc w:val="left"/>
              <w:rPr>
                <w:rFonts w:eastAsiaTheme="minorEastAsia"/>
                <w:lang w:val="en-US" w:eastAsia="zh-CN"/>
              </w:rPr>
            </w:pPr>
          </w:p>
        </w:tc>
      </w:tr>
      <w:tr w:rsidR="00357592" w14:paraId="51C676AE" w14:textId="77777777" w:rsidTr="003C3F8B">
        <w:tc>
          <w:tcPr>
            <w:tcW w:w="1479" w:type="dxa"/>
          </w:tcPr>
          <w:p w14:paraId="59AB4C19" w14:textId="77777777" w:rsidR="00357592" w:rsidRDefault="00357592" w:rsidP="001E0080">
            <w:pPr>
              <w:jc w:val="left"/>
              <w:rPr>
                <w:rFonts w:eastAsiaTheme="minorEastAsia"/>
                <w:lang w:val="en-US" w:eastAsia="zh-CN"/>
              </w:rPr>
            </w:pPr>
          </w:p>
        </w:tc>
        <w:tc>
          <w:tcPr>
            <w:tcW w:w="1464" w:type="dxa"/>
          </w:tcPr>
          <w:p w14:paraId="1B934A81" w14:textId="77777777" w:rsidR="00357592" w:rsidRDefault="00357592" w:rsidP="001E0080">
            <w:pPr>
              <w:tabs>
                <w:tab w:val="left" w:pos="551"/>
              </w:tabs>
              <w:jc w:val="left"/>
              <w:rPr>
                <w:rFonts w:eastAsiaTheme="minorEastAsia"/>
                <w:lang w:val="en-US" w:eastAsia="zh-CN"/>
              </w:rPr>
            </w:pPr>
          </w:p>
        </w:tc>
        <w:tc>
          <w:tcPr>
            <w:tcW w:w="6688" w:type="dxa"/>
          </w:tcPr>
          <w:p w14:paraId="7C9DEE28" w14:textId="77777777" w:rsidR="00357592" w:rsidRDefault="00357592" w:rsidP="001E0080">
            <w:pPr>
              <w:jc w:val="left"/>
              <w:rPr>
                <w:rFonts w:eastAsiaTheme="minorEastAsia"/>
                <w:lang w:val="en-US" w:eastAsia="zh-CN"/>
              </w:rPr>
            </w:pPr>
          </w:p>
        </w:tc>
      </w:tr>
    </w:tbl>
    <w:p w14:paraId="5608B268" w14:textId="77777777" w:rsidR="00D97570" w:rsidRPr="008D253C" w:rsidRDefault="00D97570">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22525E">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22525E">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22525E">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22525E">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581B23">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22525E">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22525E">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22525E">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22525E">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22525E">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22525E">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22525E">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rsidTr="0022525E">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22525E">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22525E">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22525E">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22525E">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2525E">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22525E">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22525E">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22525E">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2525E">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2525E">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2525E">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2525E">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2525E">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22525E">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22525E">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22525E">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22525E">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22525E">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22525E">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22525E">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22525E">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22525E">
        <w:tc>
          <w:tcPr>
            <w:tcW w:w="1479" w:type="dxa"/>
          </w:tcPr>
          <w:p w14:paraId="7B191F3F" w14:textId="22E0F7BA"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22525E">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22525E">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22525E">
        <w:tc>
          <w:tcPr>
            <w:tcW w:w="1479" w:type="dxa"/>
          </w:tcPr>
          <w:p w14:paraId="0B1FBC94" w14:textId="0EB3B2FB" w:rsidR="000212FA" w:rsidRDefault="000212FA" w:rsidP="000212FA">
            <w:pPr>
              <w:jc w:val="left"/>
              <w:rPr>
                <w:rFonts w:eastAsiaTheme="minorEastAsia"/>
                <w:lang w:val="en-US" w:eastAsia="zh-CN"/>
              </w:rPr>
            </w:pPr>
            <w:r>
              <w:rPr>
                <w:rFonts w:eastAsia="SimSun" w:hint="eastAsia"/>
                <w:lang w:val="en-US" w:eastAsia="zh-CN"/>
              </w:rPr>
              <w:t>ZTE, Sanechips</w:t>
            </w:r>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SimSun" w:hint="eastAsia"/>
                <w:lang w:val="en-US" w:eastAsia="zh-CN"/>
              </w:rPr>
              <w:t>OK</w:t>
            </w:r>
          </w:p>
        </w:tc>
      </w:tr>
      <w:tr w:rsidR="00EC21B7" w:rsidRPr="00566A90" w14:paraId="3E04C7C1" w14:textId="77777777" w:rsidTr="00F615EC">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TableGrid"/>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F615EC">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4 is relaxed to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1E0080">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4C35A2" w:rsidRPr="00C73301" w14:paraId="7EF5BC0E" w14:textId="77777777" w:rsidTr="001E0080">
        <w:tc>
          <w:tcPr>
            <w:tcW w:w="1479" w:type="dxa"/>
          </w:tcPr>
          <w:p w14:paraId="2186BA24" w14:textId="3EF69121" w:rsidR="004C35A2" w:rsidRPr="00C73301" w:rsidRDefault="004C35A2" w:rsidP="001E0080">
            <w:pPr>
              <w:jc w:val="left"/>
              <w:rPr>
                <w:rFonts w:eastAsiaTheme="minorEastAsia"/>
                <w:lang w:val="en-US" w:eastAsia="zh-CN"/>
              </w:rPr>
            </w:pPr>
          </w:p>
        </w:tc>
        <w:tc>
          <w:tcPr>
            <w:tcW w:w="1493" w:type="dxa"/>
            <w:gridSpan w:val="2"/>
          </w:tcPr>
          <w:p w14:paraId="489FB040" w14:textId="21406886" w:rsidR="004C35A2" w:rsidRPr="00C73301" w:rsidRDefault="004C35A2" w:rsidP="001E0080">
            <w:pPr>
              <w:tabs>
                <w:tab w:val="left" w:pos="551"/>
              </w:tabs>
              <w:jc w:val="left"/>
              <w:rPr>
                <w:rFonts w:eastAsiaTheme="minorEastAsia"/>
                <w:lang w:val="en-US" w:eastAsia="zh-CN"/>
              </w:rPr>
            </w:pPr>
          </w:p>
        </w:tc>
        <w:tc>
          <w:tcPr>
            <w:tcW w:w="6662" w:type="dxa"/>
            <w:gridSpan w:val="2"/>
          </w:tcPr>
          <w:p w14:paraId="3139516E" w14:textId="77777777" w:rsidR="004C35A2" w:rsidRPr="00C73301" w:rsidRDefault="004C35A2" w:rsidP="001E0080">
            <w:pPr>
              <w:jc w:val="left"/>
              <w:rPr>
                <w:rFonts w:eastAsiaTheme="minorEastAsia"/>
                <w:lang w:val="en-US" w:eastAsia="zh-CN"/>
              </w:rPr>
            </w:pPr>
          </w:p>
        </w:tc>
      </w:tr>
      <w:tr w:rsidR="004C35A2" w:rsidRPr="00C73301" w14:paraId="4BED1BDA" w14:textId="77777777" w:rsidTr="001E0080">
        <w:tc>
          <w:tcPr>
            <w:tcW w:w="1479" w:type="dxa"/>
          </w:tcPr>
          <w:p w14:paraId="343C4FC9" w14:textId="0D755F05" w:rsidR="004C35A2" w:rsidRPr="00C73301" w:rsidRDefault="004C35A2" w:rsidP="001E0080">
            <w:pPr>
              <w:jc w:val="left"/>
              <w:rPr>
                <w:rFonts w:eastAsiaTheme="minorEastAsia"/>
                <w:lang w:val="en-US" w:eastAsia="zh-CN"/>
              </w:rPr>
            </w:pPr>
          </w:p>
        </w:tc>
        <w:tc>
          <w:tcPr>
            <w:tcW w:w="1493" w:type="dxa"/>
            <w:gridSpan w:val="2"/>
          </w:tcPr>
          <w:p w14:paraId="08CD9EAD" w14:textId="3D44A4DC" w:rsidR="004C35A2" w:rsidRPr="00C73301" w:rsidRDefault="004C35A2" w:rsidP="001E0080">
            <w:pPr>
              <w:tabs>
                <w:tab w:val="left" w:pos="551"/>
              </w:tabs>
              <w:jc w:val="left"/>
              <w:rPr>
                <w:rFonts w:eastAsiaTheme="minorEastAsia"/>
                <w:lang w:val="en-US" w:eastAsia="zh-CN"/>
              </w:rPr>
            </w:pPr>
          </w:p>
        </w:tc>
        <w:tc>
          <w:tcPr>
            <w:tcW w:w="6662" w:type="dxa"/>
            <w:gridSpan w:val="2"/>
          </w:tcPr>
          <w:p w14:paraId="534CFF5B" w14:textId="142A7E86" w:rsidR="004C35A2" w:rsidRPr="00C73301" w:rsidRDefault="004C35A2" w:rsidP="001E0080">
            <w:pPr>
              <w:jc w:val="left"/>
              <w:rPr>
                <w:rFonts w:eastAsiaTheme="minorEastAsia"/>
                <w:lang w:val="en-US" w:eastAsia="zh-CN"/>
              </w:rPr>
            </w:pPr>
          </w:p>
        </w:tc>
      </w:tr>
      <w:tr w:rsidR="004C35A2" w:rsidRPr="005E6DAF" w14:paraId="1E93758C" w14:textId="77777777" w:rsidTr="001E0080">
        <w:tc>
          <w:tcPr>
            <w:tcW w:w="1479" w:type="dxa"/>
          </w:tcPr>
          <w:p w14:paraId="62525335" w14:textId="09DE2FD3" w:rsidR="004C35A2" w:rsidRPr="005E6DAF" w:rsidRDefault="004C35A2" w:rsidP="001E0080">
            <w:pPr>
              <w:jc w:val="left"/>
              <w:rPr>
                <w:rFonts w:eastAsia="Yu Mincho"/>
                <w:lang w:val="en-US" w:eastAsia="ja-JP"/>
              </w:rPr>
            </w:pPr>
          </w:p>
        </w:tc>
        <w:tc>
          <w:tcPr>
            <w:tcW w:w="1493" w:type="dxa"/>
            <w:gridSpan w:val="2"/>
          </w:tcPr>
          <w:p w14:paraId="0B4F105E" w14:textId="77777777" w:rsidR="004C35A2" w:rsidRPr="00C73301" w:rsidRDefault="004C35A2" w:rsidP="001E0080">
            <w:pPr>
              <w:tabs>
                <w:tab w:val="left" w:pos="551"/>
              </w:tabs>
              <w:jc w:val="left"/>
              <w:rPr>
                <w:rFonts w:eastAsiaTheme="minorEastAsia"/>
                <w:lang w:val="en-US" w:eastAsia="zh-CN"/>
              </w:rPr>
            </w:pPr>
          </w:p>
        </w:tc>
        <w:tc>
          <w:tcPr>
            <w:tcW w:w="6662" w:type="dxa"/>
            <w:gridSpan w:val="2"/>
          </w:tcPr>
          <w:p w14:paraId="7333A024" w14:textId="6ACB0726" w:rsidR="004C35A2" w:rsidRPr="005E6DAF" w:rsidRDefault="004C35A2" w:rsidP="001E0080">
            <w:pPr>
              <w:jc w:val="left"/>
              <w:rPr>
                <w:rFonts w:eastAsia="Yu Mincho"/>
                <w:lang w:val="en-US" w:eastAsia="ja-JP"/>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5"/>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581B23">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581B23">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581B23">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581B23">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581B23">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581B23">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581B23">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581B23">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581B23">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581B23">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581B23">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581B23">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581B23">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581B23">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581B23">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581B23">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581B23">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581B23">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581B23">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581B23">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581B23">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581B23">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581B23">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581B23">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581B23">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581B23">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581B23">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581B23">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581B23">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581B23">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581B23">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581B23">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581B23">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581B23">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581B23">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581B23">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581B23">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581B23" w:rsidP="00EE0766">
            <w:pPr>
              <w:jc w:val="left"/>
            </w:pPr>
            <w:hyperlink r:id="rId56" w:history="1">
              <w:r w:rsidR="00EE0766">
                <w:rPr>
                  <w:rStyle w:val="Hyperlink"/>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E9BF" w14:textId="77777777" w:rsidR="001F4ADC" w:rsidRDefault="001F4ADC">
      <w:pPr>
        <w:spacing w:line="240" w:lineRule="auto"/>
      </w:pPr>
      <w:r>
        <w:separator/>
      </w:r>
    </w:p>
  </w:endnote>
  <w:endnote w:type="continuationSeparator" w:id="0">
    <w:p w14:paraId="238D7105" w14:textId="77777777" w:rsidR="001F4ADC" w:rsidRDefault="001F4ADC">
      <w:pPr>
        <w:spacing w:line="240" w:lineRule="auto"/>
      </w:pPr>
      <w:r>
        <w:continuationSeparator/>
      </w:r>
    </w:p>
  </w:endnote>
  <w:endnote w:type="continuationNotice" w:id="1">
    <w:p w14:paraId="187E15C2" w14:textId="77777777" w:rsidR="001F4ADC" w:rsidRDefault="001F4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FD6B" w14:textId="77777777" w:rsidR="001F4ADC" w:rsidRDefault="001F4ADC">
      <w:pPr>
        <w:spacing w:after="0"/>
      </w:pPr>
      <w:r>
        <w:separator/>
      </w:r>
    </w:p>
  </w:footnote>
  <w:footnote w:type="continuationSeparator" w:id="0">
    <w:p w14:paraId="176EC1FD" w14:textId="77777777" w:rsidR="001F4ADC" w:rsidRDefault="001F4ADC">
      <w:pPr>
        <w:spacing w:after="0"/>
      </w:pPr>
      <w:r>
        <w:continuationSeparator/>
      </w:r>
    </w:p>
  </w:footnote>
  <w:footnote w:type="continuationNotice" w:id="1">
    <w:p w14:paraId="287BC26F" w14:textId="77777777" w:rsidR="001F4ADC" w:rsidRDefault="001F4A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080788687">
    <w:abstractNumId w:val="4"/>
  </w:num>
  <w:num w:numId="2" w16cid:durableId="2144078483">
    <w:abstractNumId w:val="13"/>
  </w:num>
  <w:num w:numId="3" w16cid:durableId="945114697">
    <w:abstractNumId w:val="1"/>
  </w:num>
  <w:num w:numId="4" w16cid:durableId="729037846">
    <w:abstractNumId w:val="0"/>
  </w:num>
  <w:num w:numId="5" w16cid:durableId="2108915452">
    <w:abstractNumId w:val="18"/>
  </w:num>
  <w:num w:numId="6" w16cid:durableId="1332682136">
    <w:abstractNumId w:val="21"/>
    <w:lvlOverride w:ilvl="0">
      <w:startOverride w:val="1"/>
    </w:lvlOverride>
  </w:num>
  <w:num w:numId="7" w16cid:durableId="998659431">
    <w:abstractNumId w:val="22"/>
  </w:num>
  <w:num w:numId="8" w16cid:durableId="156962810">
    <w:abstractNumId w:val="28"/>
  </w:num>
  <w:num w:numId="9" w16cid:durableId="1100488914">
    <w:abstractNumId w:val="34"/>
  </w:num>
  <w:num w:numId="10" w16cid:durableId="2047874495">
    <w:abstractNumId w:val="30"/>
  </w:num>
  <w:num w:numId="11" w16cid:durableId="1352296094">
    <w:abstractNumId w:val="19"/>
  </w:num>
  <w:num w:numId="12" w16cid:durableId="1039359395">
    <w:abstractNumId w:val="15"/>
  </w:num>
  <w:num w:numId="13" w16cid:durableId="855457458">
    <w:abstractNumId w:val="31"/>
  </w:num>
  <w:num w:numId="14" w16cid:durableId="1773553480">
    <w:abstractNumId w:val="2"/>
  </w:num>
  <w:num w:numId="15" w16cid:durableId="1907762870">
    <w:abstractNumId w:val="16"/>
  </w:num>
  <w:num w:numId="16" w16cid:durableId="277878060">
    <w:abstractNumId w:val="7"/>
  </w:num>
  <w:num w:numId="17" w16cid:durableId="962081265">
    <w:abstractNumId w:val="35"/>
  </w:num>
  <w:num w:numId="18" w16cid:durableId="1811052727">
    <w:abstractNumId w:val="20"/>
  </w:num>
  <w:num w:numId="19" w16cid:durableId="467821477">
    <w:abstractNumId w:val="27"/>
  </w:num>
  <w:num w:numId="20" w16cid:durableId="72439471">
    <w:abstractNumId w:val="11"/>
  </w:num>
  <w:num w:numId="21" w16cid:durableId="167643505">
    <w:abstractNumId w:val="26"/>
  </w:num>
  <w:num w:numId="22" w16cid:durableId="1995602563">
    <w:abstractNumId w:val="10"/>
  </w:num>
  <w:num w:numId="23" w16cid:durableId="55133476">
    <w:abstractNumId w:val="17"/>
  </w:num>
  <w:num w:numId="24" w16cid:durableId="1920282942">
    <w:abstractNumId w:val="32"/>
  </w:num>
  <w:num w:numId="25" w16cid:durableId="1748266949">
    <w:abstractNumId w:val="5"/>
  </w:num>
  <w:num w:numId="26" w16cid:durableId="1525552123">
    <w:abstractNumId w:val="14"/>
  </w:num>
  <w:num w:numId="27" w16cid:durableId="1789818386">
    <w:abstractNumId w:val="36"/>
  </w:num>
  <w:num w:numId="28" w16cid:durableId="1793548697">
    <w:abstractNumId w:val="12"/>
  </w:num>
  <w:num w:numId="29" w16cid:durableId="747653409">
    <w:abstractNumId w:val="8"/>
  </w:num>
  <w:num w:numId="30" w16cid:durableId="274989565">
    <w:abstractNumId w:val="3"/>
  </w:num>
  <w:num w:numId="31" w16cid:durableId="874737696">
    <w:abstractNumId w:val="23"/>
  </w:num>
  <w:num w:numId="32" w16cid:durableId="473065396">
    <w:abstractNumId w:val="29"/>
  </w:num>
  <w:num w:numId="33" w16cid:durableId="813256680">
    <w:abstractNumId w:val="6"/>
  </w:num>
  <w:num w:numId="34" w16cid:durableId="213735029">
    <w:abstractNumId w:val="9"/>
  </w:num>
  <w:num w:numId="35" w16cid:durableId="986662474">
    <w:abstractNumId w:val="24"/>
  </w:num>
  <w:num w:numId="36" w16cid:durableId="916942670">
    <w:abstractNumId w:val="25"/>
  </w:num>
  <w:num w:numId="37" w16cid:durableId="1880273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1433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77"/>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出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rsid w:val="007E6C69"/>
    <w:rPr>
      <w:color w:val="605E5C"/>
      <w:shd w:val="clear" w:color="auto" w:fill="E1DFDD"/>
    </w:rPr>
  </w:style>
  <w:style w:type="paragraph" w:customStyle="1" w:styleId="3GPPNormalText">
    <w:name w:val="3GPP Normal Text"/>
    <w:basedOn w:val="BodyText"/>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DB3B5085-D26D-4C83-A0E7-72A3087515D1}">
  <ds:schemaRefs>
    <ds:schemaRef ds:uri="http://schemas.openxmlformats.org/officeDocument/2006/bibliography"/>
  </ds:schemaRefs>
</ds:datastoreItem>
</file>

<file path=customXml/itemProps2.xml><?xml version="1.0" encoding="utf-8"?>
<ds:datastoreItem xmlns:ds="http://schemas.openxmlformats.org/officeDocument/2006/customXml" ds:itemID="{22063616-4D1C-445E-B53D-02BD113D6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2f282d3b-eb4a-4b09-b61f-b9593442e286"/>
    <ds:schemaRef ds:uri="http://schemas.microsoft.com/office/infopath/2007/PartnerControls"/>
    <ds:schemaRef ds:uri="http://purl.org/dc/elements/1.1/"/>
    <ds:schemaRef ds:uri="9b239327-9e80-40e4-b1b7-4394fed77a33"/>
    <ds:schemaRef ds:uri="http://schemas.openxmlformats.org/package/2006/metadata/core-properties"/>
    <ds:schemaRef ds:uri="d8762117-8292-4133-b1c7-eab5c6487c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38</Pages>
  <Words>16527</Words>
  <Characters>94210</Characters>
  <Application>Microsoft Office Word</Application>
  <DocSecurity>0</DocSecurity>
  <Lines>785</Lines>
  <Paragraphs>221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110516</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Johan Bergman</cp:lastModifiedBy>
  <cp:revision>212</cp:revision>
  <dcterms:created xsi:type="dcterms:W3CDTF">2023-03-01T06:11:00Z</dcterms:created>
  <dcterms:modified xsi:type="dcterms:W3CDTF">2023-03-01T13:48:00Z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