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BF10" w14:textId="542E81F7" w:rsidR="008A61CC" w:rsidRPr="004A41C5" w:rsidRDefault="00730538" w:rsidP="008A61CC">
      <w:pPr>
        <w:pStyle w:val="a5"/>
        <w:widowControl w:val="0"/>
        <w:rPr>
          <w:rFonts w:eastAsia="Batang" w:cs="Arial"/>
          <w:bCs/>
          <w:sz w:val="28"/>
        </w:rPr>
      </w:pPr>
      <w:r w:rsidRPr="00C84C6E">
        <w:rPr>
          <w:rFonts w:eastAsia="Batang" w:cs="Arial"/>
          <w:bCs/>
          <w:sz w:val="28"/>
        </w:rPr>
        <w:t>3GPP TSG RAN WG1 #112</w:t>
      </w:r>
      <w:r w:rsidR="008A61CC" w:rsidRPr="004A41C5">
        <w:rPr>
          <w:rFonts w:eastAsia="Batang" w:cs="Arial"/>
          <w:bCs/>
          <w:sz w:val="28"/>
        </w:rPr>
        <w:t xml:space="preserve">                                             </w:t>
      </w:r>
      <w:r w:rsidR="008A61CC" w:rsidRPr="00D74EAC">
        <w:rPr>
          <w:rFonts w:cs="Arial"/>
          <w:bCs/>
          <w:sz w:val="28"/>
          <w:lang w:eastAsia="ja-JP"/>
        </w:rPr>
        <w:t xml:space="preserve">     </w:t>
      </w:r>
      <w:r w:rsidR="00D74EAC" w:rsidRPr="00D74EAC">
        <w:rPr>
          <w:rFonts w:cs="Arial"/>
          <w:bCs/>
          <w:sz w:val="28"/>
          <w:lang w:eastAsia="ja-JP"/>
        </w:rPr>
        <w:t>R1-2300738</w:t>
      </w:r>
    </w:p>
    <w:p w14:paraId="779F935D" w14:textId="05B7F9A9" w:rsidR="008A61CC" w:rsidRPr="008A61CC" w:rsidRDefault="00730538" w:rsidP="008A61CC">
      <w:pPr>
        <w:pStyle w:val="a5"/>
        <w:widowControl w:val="0"/>
        <w:rPr>
          <w:rFonts w:cs="Arial"/>
          <w:b w:val="0"/>
          <w:bCs/>
          <w:sz w:val="21"/>
          <w:szCs w:val="28"/>
          <w:lang w:val="en-GB"/>
        </w:rPr>
      </w:pPr>
      <w:r w:rsidRPr="00C84C6E">
        <w:rPr>
          <w:rFonts w:cs="Arial"/>
          <w:bCs/>
          <w:sz w:val="28"/>
          <w:lang w:eastAsia="ja-JP"/>
        </w:rPr>
        <w:t>Athens, Greece, February 27</w:t>
      </w:r>
      <w:r w:rsidRPr="00C84C6E">
        <w:rPr>
          <w:rFonts w:cs="Arial"/>
          <w:bCs/>
          <w:sz w:val="28"/>
          <w:vertAlign w:val="superscript"/>
          <w:lang w:eastAsia="ja-JP"/>
        </w:rPr>
        <w:t>th</w:t>
      </w:r>
      <w:r w:rsidRPr="00C84C6E">
        <w:rPr>
          <w:rFonts w:cs="Arial"/>
          <w:bCs/>
          <w:sz w:val="28"/>
          <w:lang w:eastAsia="ja-JP"/>
        </w:rPr>
        <w:t xml:space="preserve"> – March 3</w:t>
      </w:r>
      <w:r w:rsidRPr="00C84C6E">
        <w:rPr>
          <w:rFonts w:cs="Arial"/>
          <w:bCs/>
          <w:sz w:val="28"/>
          <w:vertAlign w:val="superscript"/>
          <w:lang w:eastAsia="ja-JP"/>
        </w:rPr>
        <w:t>rd</w:t>
      </w:r>
      <w:r w:rsidRPr="00C84C6E">
        <w:rPr>
          <w:rFonts w:cs="Arial"/>
          <w:bCs/>
          <w:sz w:val="28"/>
          <w:lang w:eastAsia="ja-JP"/>
        </w:rPr>
        <w:t>, 2023</w:t>
      </w:r>
    </w:p>
    <w:p w14:paraId="3FE54CB9" w14:textId="77777777" w:rsidR="008A61CC" w:rsidRPr="008A61CC" w:rsidRDefault="008A61CC" w:rsidP="008A61CC">
      <w:pPr>
        <w:pBdr>
          <w:top w:val="single" w:sz="4" w:space="1" w:color="auto"/>
        </w:pBdr>
        <w:rPr>
          <w:rFonts w:ascii="Arial" w:hAnsi="Arial" w:cs="Arial"/>
          <w:b/>
          <w:kern w:val="2"/>
          <w:sz w:val="28"/>
          <w:szCs w:val="28"/>
          <w:lang w:val="x-none"/>
        </w:rPr>
      </w:pPr>
    </w:p>
    <w:p w14:paraId="5ABD2B73" w14:textId="58616583"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Agenda Item:</w:t>
      </w:r>
      <w:r w:rsidRPr="008A61CC">
        <w:rPr>
          <w:rFonts w:ascii="Arial" w:hAnsi="Arial" w:cs="Arial"/>
          <w:b/>
          <w:bCs/>
          <w:sz w:val="21"/>
          <w:szCs w:val="21"/>
          <w:lang w:val="en-GB"/>
        </w:rPr>
        <w:tab/>
      </w:r>
      <w:r w:rsidRPr="001236CC">
        <w:rPr>
          <w:rFonts w:ascii="Arial" w:hAnsi="Arial" w:cs="Arial"/>
          <w:b/>
          <w:bCs/>
          <w:sz w:val="21"/>
          <w:szCs w:val="21"/>
          <w:lang w:val="en-GB"/>
        </w:rPr>
        <w:t>5</w:t>
      </w:r>
    </w:p>
    <w:p w14:paraId="2638B73E"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Source:</w:t>
      </w:r>
      <w:r w:rsidRPr="008A61CC">
        <w:rPr>
          <w:rFonts w:ascii="Arial" w:hAnsi="Arial" w:cs="Arial"/>
          <w:b/>
          <w:bCs/>
          <w:sz w:val="21"/>
          <w:szCs w:val="21"/>
          <w:lang w:val="en-GB"/>
        </w:rPr>
        <w:tab/>
        <w:t>Lenovo</w:t>
      </w:r>
    </w:p>
    <w:p w14:paraId="68DA7E8B" w14:textId="45581C4A" w:rsidR="008A61CC" w:rsidRPr="008A61CC" w:rsidRDefault="008A61CC" w:rsidP="008A61CC">
      <w:pPr>
        <w:tabs>
          <w:tab w:val="left" w:pos="1985"/>
        </w:tabs>
        <w:overflowPunct w:val="0"/>
        <w:ind w:left="1985" w:hanging="1985"/>
        <w:textAlignment w:val="baseline"/>
        <w:rPr>
          <w:rFonts w:ascii="Arial" w:hAnsi="Arial" w:cs="Arial"/>
          <w:b/>
          <w:bCs/>
          <w:sz w:val="21"/>
          <w:szCs w:val="21"/>
        </w:rPr>
      </w:pPr>
      <w:r w:rsidRPr="008A61CC">
        <w:rPr>
          <w:rFonts w:ascii="Arial" w:hAnsi="Arial" w:cs="Arial"/>
          <w:b/>
          <w:bCs/>
          <w:sz w:val="21"/>
          <w:szCs w:val="21"/>
          <w:lang w:val="en-GB"/>
        </w:rPr>
        <w:t>Title:</w:t>
      </w:r>
      <w:r w:rsidRPr="008A61CC">
        <w:rPr>
          <w:rFonts w:ascii="Arial" w:hAnsi="Arial" w:cs="Arial"/>
          <w:b/>
          <w:bCs/>
          <w:sz w:val="21"/>
          <w:szCs w:val="21"/>
          <w:lang w:val="en-GB"/>
        </w:rPr>
        <w:tab/>
      </w:r>
      <w:r w:rsidR="0094654D" w:rsidRPr="0094654D">
        <w:rPr>
          <w:rFonts w:ascii="Arial" w:hAnsi="Arial" w:cs="Arial"/>
          <w:b/>
          <w:bCs/>
          <w:sz w:val="21"/>
          <w:szCs w:val="21"/>
          <w:lang w:val="en-GB"/>
        </w:rPr>
        <w:t xml:space="preserve">Discussion on </w:t>
      </w:r>
      <w:r w:rsidR="001D71DD">
        <w:rPr>
          <w:rFonts w:ascii="Arial" w:hAnsi="Arial" w:cs="Arial"/>
          <w:b/>
          <w:bCs/>
          <w:sz w:val="21"/>
          <w:szCs w:val="21"/>
          <w:lang w:val="en-GB"/>
        </w:rPr>
        <w:t>default CBR configuration</w:t>
      </w:r>
    </w:p>
    <w:p w14:paraId="21357D1B" w14:textId="77777777" w:rsidR="008A61CC" w:rsidRPr="008A61CC" w:rsidRDefault="008A61CC" w:rsidP="008A61CC">
      <w:pPr>
        <w:tabs>
          <w:tab w:val="left" w:pos="1985"/>
        </w:tabs>
        <w:overflowPunct w:val="0"/>
        <w:ind w:left="1985" w:hanging="1985"/>
        <w:textAlignment w:val="baseline"/>
        <w:rPr>
          <w:rFonts w:ascii="Arial" w:hAnsi="Arial" w:cs="Arial"/>
          <w:b/>
          <w:bCs/>
          <w:sz w:val="21"/>
          <w:szCs w:val="21"/>
          <w:lang w:val="en-GB"/>
        </w:rPr>
      </w:pPr>
      <w:r w:rsidRPr="008A61CC">
        <w:rPr>
          <w:rFonts w:ascii="Arial" w:hAnsi="Arial" w:cs="Arial"/>
          <w:b/>
          <w:bCs/>
          <w:sz w:val="21"/>
          <w:szCs w:val="21"/>
          <w:lang w:val="en-GB"/>
        </w:rPr>
        <w:t>Document for:</w:t>
      </w:r>
      <w:r w:rsidRPr="008A61CC">
        <w:rPr>
          <w:rFonts w:ascii="Arial" w:hAnsi="Arial" w:cs="Arial"/>
          <w:b/>
          <w:bCs/>
          <w:sz w:val="21"/>
          <w:szCs w:val="21"/>
          <w:lang w:val="en-GB"/>
        </w:rPr>
        <w:tab/>
        <w:t xml:space="preserve">Discussion </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6CE97B8D" w:rsidR="006D6498" w:rsidRDefault="0088586A" w:rsidP="00286EA6">
      <w:pPr>
        <w:pStyle w:val="00Text"/>
        <w:spacing w:after="240"/>
      </w:pPr>
      <w:r>
        <w:t xml:space="preserve">RAN1 </w:t>
      </w:r>
      <w:r w:rsidR="0094654D">
        <w:rPr>
          <w:rFonts w:hint="eastAsia"/>
        </w:rPr>
        <w:t>has</w:t>
      </w:r>
      <w:r w:rsidR="0094654D">
        <w:t xml:space="preserve"> </w:t>
      </w:r>
      <w:r>
        <w:t>received a</w:t>
      </w:r>
      <w:r w:rsidR="00566A85">
        <w:t>n</w:t>
      </w:r>
      <w:r>
        <w:t xml:space="preserve"> LS </w:t>
      </w:r>
      <w:r w:rsidR="006C5427">
        <w:t xml:space="preserve">[1] </w:t>
      </w:r>
      <w:r>
        <w:t>from RAN</w:t>
      </w:r>
      <w:r w:rsidR="00EC6FC7">
        <w:t>2</w:t>
      </w:r>
      <w:r w:rsidR="00DA163B">
        <w:t xml:space="preserve"> </w:t>
      </w:r>
      <w:r w:rsidR="008C7719">
        <w:t>related to the default CBR usage for Case 3</w:t>
      </w:r>
      <w:r w:rsidR="00781D4D">
        <w:rPr>
          <w:rFonts w:hint="eastAsia"/>
        </w:rPr>
        <w:t>:</w:t>
      </w:r>
    </w:p>
    <w:tbl>
      <w:tblPr>
        <w:tblStyle w:val="af3"/>
        <w:tblW w:w="0" w:type="auto"/>
        <w:tblLook w:val="04A0" w:firstRow="1" w:lastRow="0" w:firstColumn="1" w:lastColumn="0" w:noHBand="0" w:noVBand="1"/>
      </w:tblPr>
      <w:tblGrid>
        <w:gridCol w:w="9062"/>
      </w:tblGrid>
      <w:tr w:rsidR="00960A65" w14:paraId="6BF663B2" w14:textId="77777777" w:rsidTr="00960A65">
        <w:tc>
          <w:tcPr>
            <w:tcW w:w="9062" w:type="dxa"/>
          </w:tcPr>
          <w:p w14:paraId="5DF62361" w14:textId="77777777" w:rsidR="00960A65" w:rsidRDefault="00960A65" w:rsidP="00960A65">
            <w:pPr>
              <w:spacing w:before="180" w:afterLines="100" w:after="240"/>
              <w:rPr>
                <w:rFonts w:ascii="Arial" w:hAnsi="Arial" w:cs="Arial"/>
                <w:szCs w:val="20"/>
                <w:lang w:eastAsia="zh-CN"/>
              </w:rPr>
            </w:pPr>
            <w:r>
              <w:rPr>
                <w:rFonts w:ascii="Arial" w:hAnsi="Arial" w:cs="Arial"/>
                <w:lang w:eastAsia="zh-CN"/>
              </w:rPr>
              <w:t xml:space="preserve">Therefore, RAN2 kindly requests RAN1 to provide answer to </w:t>
            </w:r>
            <w:r>
              <w:rPr>
                <w:rFonts w:ascii="Arial" w:hAnsi="Arial" w:cs="Arial"/>
                <w:b/>
                <w:bCs/>
                <w:lang w:eastAsia="zh-CN"/>
              </w:rPr>
              <w:t>Q1</w:t>
            </w:r>
            <w:r>
              <w:rPr>
                <w:rFonts w:ascii="Arial" w:hAnsi="Arial" w:cs="Arial"/>
                <w:lang w:eastAsia="zh-CN"/>
              </w:rPr>
              <w:t xml:space="preserve"> below.</w:t>
            </w:r>
          </w:p>
          <w:p w14:paraId="78F862E2" w14:textId="603D8A31" w:rsidR="00960A65" w:rsidRPr="00960A65" w:rsidRDefault="00960A65" w:rsidP="00960A65">
            <w:pPr>
              <w:spacing w:before="180" w:afterLines="100" w:after="240"/>
              <w:rPr>
                <w:rFonts w:ascii="Arial" w:hAnsi="Arial" w:cs="Arial"/>
                <w:lang w:eastAsia="zh-CN"/>
              </w:rPr>
            </w:pPr>
            <w:r>
              <w:rPr>
                <w:rFonts w:ascii="Arial" w:hAnsi="Arial" w:cs="Arial"/>
                <w:b/>
                <w:bCs/>
                <w:lang w:eastAsia="zh-CN"/>
              </w:rPr>
              <w:t>Q1</w:t>
            </w:r>
            <w:r>
              <w:rPr>
                <w:rFonts w:ascii="Arial" w:hAnsi="Arial" w:cs="Arial"/>
                <w:lang w:eastAsia="zh-CN"/>
              </w:rPr>
              <w:t xml:space="preserve">: </w:t>
            </w:r>
            <w:r>
              <w:rPr>
                <w:rFonts w:ascii="Arial" w:hAnsi="Arial" w:cs="Arial"/>
                <w:bCs/>
                <w:lang w:eastAsia="zh-CN"/>
              </w:rPr>
              <w:t xml:space="preserve">When UE performs full sensing in R16/17 normal resource pool and has full sensing result available, is it a valid case that UE has no CBR measurement results and makes use of R16 default CBR for congestion control? </w:t>
            </w:r>
          </w:p>
        </w:tc>
      </w:tr>
    </w:tbl>
    <w:p w14:paraId="45F2AA10" w14:textId="1118B7B1" w:rsidR="00FC0474" w:rsidRDefault="00E646A7" w:rsidP="00286EA6">
      <w:pPr>
        <w:pStyle w:val="00Text"/>
        <w:spacing w:before="240"/>
      </w:pPr>
      <w:r>
        <w:t xml:space="preserve">In this contribution, we </w:t>
      </w:r>
      <w:r w:rsidR="004D3045">
        <w:t xml:space="preserve">provide </w:t>
      </w:r>
      <w:r w:rsidR="00126471">
        <w:t>related consideration from RAN 1’s perspective</w:t>
      </w:r>
      <w:r>
        <w:t xml:space="preserve">. </w:t>
      </w:r>
    </w:p>
    <w:p w14:paraId="0F2A2B2C" w14:textId="038721D8"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8EC1F29" w14:textId="30CEB647" w:rsidR="002B37A7" w:rsidRDefault="00D82D2F" w:rsidP="00853BDD">
      <w:pPr>
        <w:pStyle w:val="00Text"/>
        <w:spacing w:before="240"/>
      </w:pPr>
      <w:r w:rsidRPr="00853BDD">
        <w:t>In</w:t>
      </w:r>
      <w:r w:rsidR="00106F4D">
        <w:t xml:space="preserve"> R16 sidelink</w:t>
      </w:r>
      <w:r w:rsidR="00E57210">
        <w:t xml:space="preserve"> the sensing window could be configured to 100ms or 1100ms and </w:t>
      </w:r>
      <w:r w:rsidR="00106F4D">
        <w:t xml:space="preserve">the CBR measurement window could be configured </w:t>
      </w:r>
      <w:r w:rsidR="00885115">
        <w:t>to</w:t>
      </w:r>
      <w:r w:rsidR="00106F4D">
        <w:t xml:space="preserve"> 100</w:t>
      </w:r>
      <w:r w:rsidR="007B5057">
        <w:t xml:space="preserve"> </w:t>
      </w:r>
      <w:r w:rsidR="00106F4D">
        <w:t>slots or 100ms</w:t>
      </w:r>
      <w:r w:rsidR="00E57210">
        <w:t>.</w:t>
      </w:r>
      <w:r w:rsidR="00A637FA">
        <w:t xml:space="preserve"> </w:t>
      </w:r>
      <w:r w:rsidR="00E25EDA">
        <w:rPr>
          <w:rFonts w:hint="eastAsia"/>
        </w:rPr>
        <w:t>The</w:t>
      </w:r>
      <w:r w:rsidR="00E25EDA">
        <w:t xml:space="preserve"> </w:t>
      </w:r>
      <w:r w:rsidR="00E25EDA">
        <w:rPr>
          <w:rFonts w:hint="eastAsia"/>
        </w:rPr>
        <w:t>CBR</w:t>
      </w:r>
      <w:r w:rsidR="00E25EDA">
        <w:t xml:space="preserve"> </w:t>
      </w:r>
      <w:r w:rsidR="00E25EDA">
        <w:rPr>
          <w:rFonts w:hint="eastAsia"/>
        </w:rPr>
        <w:t>measurement</w:t>
      </w:r>
      <w:r w:rsidR="00E25EDA">
        <w:t xml:space="preserve"> </w:t>
      </w:r>
      <w:r w:rsidR="00E25EDA">
        <w:rPr>
          <w:rFonts w:hint="eastAsia"/>
        </w:rPr>
        <w:t>window</w:t>
      </w:r>
      <w:r w:rsidR="00E25EDA">
        <w:t xml:space="preserve"> </w:t>
      </w:r>
      <w:r w:rsidR="0043418B">
        <w:t xml:space="preserve">can </w:t>
      </w:r>
      <w:r w:rsidR="00E25EDA">
        <w:rPr>
          <w:rFonts w:hint="eastAsia"/>
        </w:rPr>
        <w:t>configured</w:t>
      </w:r>
      <w:r w:rsidR="00E25EDA">
        <w:t xml:space="preserve"> </w:t>
      </w:r>
      <w:r w:rsidR="00E25EDA">
        <w:rPr>
          <w:rFonts w:hint="eastAsia"/>
        </w:rPr>
        <w:t>shorter</w:t>
      </w:r>
      <w:r w:rsidR="00E25EDA">
        <w:t xml:space="preserve"> </w:t>
      </w:r>
      <w:r w:rsidR="00E25EDA">
        <w:rPr>
          <w:rFonts w:hint="eastAsia"/>
        </w:rPr>
        <w:t>than</w:t>
      </w:r>
      <w:r w:rsidR="00E25EDA">
        <w:t xml:space="preserve"> </w:t>
      </w:r>
      <w:r w:rsidR="00E25EDA">
        <w:rPr>
          <w:rFonts w:hint="eastAsia"/>
        </w:rPr>
        <w:t>the</w:t>
      </w:r>
      <w:r w:rsidR="00E25EDA">
        <w:t xml:space="preserve"> </w:t>
      </w:r>
      <w:r w:rsidR="00E25EDA">
        <w:rPr>
          <w:rFonts w:hint="eastAsia"/>
        </w:rPr>
        <w:t>sensing</w:t>
      </w:r>
      <w:r w:rsidR="00E25EDA">
        <w:t xml:space="preserve"> </w:t>
      </w:r>
      <w:r w:rsidR="00E25EDA">
        <w:rPr>
          <w:rFonts w:hint="eastAsia"/>
        </w:rPr>
        <w:t>window</w:t>
      </w:r>
      <w:r w:rsidR="00E25EDA">
        <w:t xml:space="preserve">. </w:t>
      </w:r>
      <w:r w:rsidR="00A637FA">
        <w:t>In RAN1 specification the CBR is used in the congestion control and power control</w:t>
      </w:r>
      <w:r w:rsidR="008073B7">
        <w:t xml:space="preserve"> for PSSCH/PSCCH</w:t>
      </w:r>
      <w:r w:rsidR="009A3C6D">
        <w:t>.</w:t>
      </w:r>
      <w:r w:rsidR="00793B2C">
        <w:t xml:space="preserve"> </w:t>
      </w:r>
      <w:r w:rsidR="00417A21">
        <w:t xml:space="preserve">For congestion control </w:t>
      </w:r>
      <w:r w:rsidR="003B4B33">
        <w:t>if</w:t>
      </w:r>
      <w:r w:rsidR="00417A21">
        <w:t xml:space="preserve"> UE transmit</w:t>
      </w:r>
      <w:r w:rsidR="006E3BB1">
        <w:t>s</w:t>
      </w:r>
      <w:r w:rsidR="00417A21">
        <w:t xml:space="preserve"> PSSCH in slot n</w:t>
      </w:r>
      <w:r w:rsidR="005E1AEF">
        <w:t>, the UE shall ensure the CR limitation</w:t>
      </w:r>
      <w:r w:rsidR="005F47F2">
        <w:t>,</w:t>
      </w:r>
      <w:r w:rsidR="005E1AEF">
        <w:t xml:space="preserve"> the CR is evaluated in slot n-N and the corresponding </w:t>
      </w:r>
      <w:r w:rsidR="001C22C3">
        <w:t xml:space="preserve">CBR measurement is also </w:t>
      </w:r>
      <w:r w:rsidR="00C14EC2">
        <w:t>performed in slot n-N</w:t>
      </w:r>
      <w:r w:rsidR="006A21EC">
        <w:t>.</w:t>
      </w:r>
      <w:r w:rsidR="00EB1CCE">
        <w:t xml:space="preserve"> </w:t>
      </w:r>
      <w:r w:rsidR="00822188">
        <w:t xml:space="preserve"> </w:t>
      </w:r>
      <w:r w:rsidR="00EB1CCE">
        <w:t>As shown in the following figure</w:t>
      </w:r>
      <w:r w:rsidR="000F3DC9">
        <w:t xml:space="preserve"> the sensing window and CBR measurement window could be </w:t>
      </w:r>
      <w:r w:rsidR="00ED53A7">
        <w:t>partial</w:t>
      </w:r>
      <w:r w:rsidR="00622940">
        <w:t xml:space="preserve"> or no overlapping, </w:t>
      </w:r>
      <w:r w:rsidR="004736B5">
        <w:t>in this case</w:t>
      </w:r>
      <w:r w:rsidR="00114BC7">
        <w:t xml:space="preserve"> the UE could have full sensing </w:t>
      </w:r>
      <w:r w:rsidR="000F5551">
        <w:t xml:space="preserve">result, </w:t>
      </w:r>
      <w:r w:rsidR="00677384">
        <w:t>however,</w:t>
      </w:r>
      <w:r w:rsidR="000F5551">
        <w:t xml:space="preserve"> </w:t>
      </w:r>
      <w:r w:rsidR="00656FE3">
        <w:t xml:space="preserve">there has the </w:t>
      </w:r>
      <w:r w:rsidR="00773F51">
        <w:t>case</w:t>
      </w:r>
      <w:r w:rsidR="00656FE3">
        <w:t xml:space="preserve"> that UE has no CBR measurement result in the CBR measurement window</w:t>
      </w:r>
      <w:r w:rsidR="00E07C23">
        <w:t>, e.g., the UE performs SL TX in all slots of the CBR measurement window</w:t>
      </w:r>
      <w:r w:rsidR="0049179B">
        <w:t>. Thus, we think Case 3 is a valid case.</w:t>
      </w:r>
      <w:r w:rsidR="00BB7C8E">
        <w:t xml:space="preserve"> Since there is no CBR measurement result the </w:t>
      </w:r>
      <w:r w:rsidR="00BB7C8E">
        <w:rPr>
          <w:rFonts w:hint="eastAsia"/>
        </w:rPr>
        <w:t>R16</w:t>
      </w:r>
      <w:r w:rsidR="00BB7C8E">
        <w:t xml:space="preserve"> default </w:t>
      </w:r>
      <w:r w:rsidR="00BB7C8E">
        <w:rPr>
          <w:rFonts w:hint="eastAsia"/>
        </w:rPr>
        <w:t>CBR</w:t>
      </w:r>
      <w:r w:rsidR="00BB7C8E">
        <w:t xml:space="preserve"> could be used for congestion control. Beside the congestion control the CBR measurement result is also used in the power control for PSCCH/PSSCH, if there is no CBR measurement result the R16 defa</w:t>
      </w:r>
      <w:r w:rsidR="00BB7C8E">
        <w:rPr>
          <w:rFonts w:hint="eastAsia"/>
        </w:rPr>
        <w:t>ult</w:t>
      </w:r>
      <w:r w:rsidR="00BB7C8E">
        <w:t xml:space="preserve"> </w:t>
      </w:r>
      <w:r w:rsidR="00BB7C8E">
        <w:rPr>
          <w:rFonts w:hint="eastAsia"/>
        </w:rPr>
        <w:t>CBR</w:t>
      </w:r>
      <w:r w:rsidR="00BB7C8E">
        <w:t xml:space="preserve"> is</w:t>
      </w:r>
      <w:r w:rsidR="00BB7C8E">
        <w:rPr>
          <w:rFonts w:hint="eastAsia"/>
        </w:rPr>
        <w:t xml:space="preserve"> </w:t>
      </w:r>
      <w:r w:rsidR="00BB7C8E">
        <w:t xml:space="preserve">also used for power control of PSCCH/PSSCH. </w:t>
      </w:r>
      <w:r w:rsidR="00E07C23">
        <w:t xml:space="preserve"> </w:t>
      </w:r>
    </w:p>
    <w:p w14:paraId="109522A9" w14:textId="0FE84274" w:rsidR="00A14D4D" w:rsidRPr="00853BDD" w:rsidRDefault="00326CDD" w:rsidP="00C93085">
      <w:pPr>
        <w:pStyle w:val="00Text"/>
        <w:spacing w:before="240"/>
        <w:jc w:val="center"/>
      </w:pPr>
      <w:r>
        <w:rPr>
          <w:noProof/>
        </w:rPr>
        <mc:AlternateContent>
          <mc:Choice Requires="wpc">
            <w:drawing>
              <wp:inline distT="0" distB="0" distL="0" distR="0" wp14:anchorId="03E03651" wp14:editId="23B1A8CF">
                <wp:extent cx="4137360" cy="1555750"/>
                <wp:effectExtent l="38100" t="0" r="0" b="635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 name="文本框 2"/>
                        <wps:cNvSpPr txBox="1">
                          <a:spLocks noChangeArrowheads="1"/>
                        </wps:cNvSpPr>
                        <wps:spPr bwMode="auto">
                          <a:xfrm>
                            <a:off x="1973372" y="343859"/>
                            <a:ext cx="689232" cy="249866"/>
                          </a:xfrm>
                          <a:prstGeom prst="rect">
                            <a:avLst/>
                          </a:prstGeom>
                          <a:solidFill>
                            <a:srgbClr val="FFFFFF"/>
                          </a:solidFill>
                          <a:ln w="9525">
                            <a:noFill/>
                            <a:miter lim="800000"/>
                            <a:headEnd/>
                            <a:tailEnd/>
                          </a:ln>
                        </wps:spPr>
                        <wps:txbx>
                          <w:txbxContent>
                            <w:p w14:paraId="307B5304" w14:textId="273584D2" w:rsidR="00B501F8" w:rsidRPr="00D2159D" w:rsidRDefault="00B501F8" w:rsidP="00B501F8">
                              <w:pPr>
                                <w:rPr>
                                  <w:sz w:val="10"/>
                                  <w:szCs w:val="10"/>
                                </w:rPr>
                              </w:pPr>
                              <w:r w:rsidRPr="00D2159D">
                                <w:rPr>
                                  <w:sz w:val="10"/>
                                  <w:szCs w:val="10"/>
                                </w:rPr>
                                <w:t>CBR measurement window</w:t>
                              </w:r>
                            </w:p>
                          </w:txbxContent>
                        </wps:txbx>
                        <wps:bodyPr rot="0" vert="horz" wrap="square" lIns="91440" tIns="45720" rIns="91440" bIns="45720" anchor="t" anchorCtr="0">
                          <a:noAutofit/>
                        </wps:bodyPr>
                      </wps:wsp>
                      <wps:wsp>
                        <wps:cNvPr id="2" name="直接箭头连接符 2"/>
                        <wps:cNvCnPr/>
                        <wps:spPr>
                          <a:xfrm>
                            <a:off x="3" y="628430"/>
                            <a:ext cx="4038895" cy="141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3208175" y="271658"/>
                            <a:ext cx="0" cy="3810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文本框 2"/>
                        <wps:cNvSpPr txBox="1">
                          <a:spLocks noChangeArrowheads="1"/>
                        </wps:cNvSpPr>
                        <wps:spPr bwMode="auto">
                          <a:xfrm>
                            <a:off x="586343" y="281202"/>
                            <a:ext cx="1235074" cy="195579"/>
                          </a:xfrm>
                          <a:prstGeom prst="rect">
                            <a:avLst/>
                          </a:prstGeom>
                          <a:solidFill>
                            <a:srgbClr val="FFFFFF"/>
                          </a:solidFill>
                          <a:ln w="9525">
                            <a:noFill/>
                            <a:miter lim="800000"/>
                            <a:headEnd/>
                            <a:tailEnd/>
                          </a:ln>
                        </wps:spPr>
                        <wps:txbx>
                          <w:txbxContent>
                            <w:p w14:paraId="436DE84A" w14:textId="77777777" w:rsidR="00EF5BD0" w:rsidRPr="00087144" w:rsidRDefault="00EF5BD0" w:rsidP="00EF5BD0">
                              <w:pPr>
                                <w:rPr>
                                  <w:sz w:val="13"/>
                                  <w:szCs w:val="13"/>
                                </w:rPr>
                              </w:pPr>
                              <w:r w:rsidRPr="00087144">
                                <w:rPr>
                                  <w:sz w:val="13"/>
                                  <w:szCs w:val="13"/>
                                </w:rPr>
                                <w:t>Sensing window</w:t>
                              </w:r>
                            </w:p>
                          </w:txbxContent>
                        </wps:txbx>
                        <wps:bodyPr rot="0" vert="horz" wrap="square" lIns="91440" tIns="45720" rIns="91440" bIns="45720" anchor="t" anchorCtr="0">
                          <a:spAutoFit/>
                        </wps:bodyPr>
                      </wps:wsp>
                      <wps:wsp>
                        <wps:cNvPr id="8" name="直接连接符 8"/>
                        <wps:cNvCnPr/>
                        <wps:spPr>
                          <a:xfrm>
                            <a:off x="1817157" y="265322"/>
                            <a:ext cx="0" cy="38036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文本框 2"/>
                        <wps:cNvSpPr txBox="1">
                          <a:spLocks noChangeArrowheads="1"/>
                        </wps:cNvSpPr>
                        <wps:spPr bwMode="auto">
                          <a:xfrm>
                            <a:off x="1920542" y="65317"/>
                            <a:ext cx="1235074" cy="195579"/>
                          </a:xfrm>
                          <a:prstGeom prst="rect">
                            <a:avLst/>
                          </a:prstGeom>
                          <a:solidFill>
                            <a:srgbClr val="FFFFFF"/>
                          </a:solidFill>
                          <a:ln w="9525">
                            <a:noFill/>
                            <a:miter lim="800000"/>
                            <a:headEnd/>
                            <a:tailEnd/>
                          </a:ln>
                        </wps:spPr>
                        <wps:txbx>
                          <w:txbxContent>
                            <w:p w14:paraId="6A98AE57" w14:textId="5B5DE6F7" w:rsidR="00EF5BD0" w:rsidRPr="00087144" w:rsidRDefault="00EF5BD0" w:rsidP="00EF5BD0">
                              <w:pPr>
                                <w:rPr>
                                  <w:sz w:val="13"/>
                                  <w:szCs w:val="13"/>
                                </w:rPr>
                              </w:pPr>
                              <w:r w:rsidRPr="00087144">
                                <w:rPr>
                                  <w:sz w:val="13"/>
                                  <w:szCs w:val="13"/>
                                </w:rPr>
                                <w:t>Resource selection window</w:t>
                              </w:r>
                            </w:p>
                          </w:txbxContent>
                        </wps:txbx>
                        <wps:bodyPr rot="0" vert="horz" wrap="square" lIns="91440" tIns="45720" rIns="91440" bIns="45720" anchor="t" anchorCtr="0">
                          <a:spAutoFit/>
                        </wps:bodyPr>
                      </wps:wsp>
                      <wps:wsp>
                        <wps:cNvPr id="10" name="矩形 10"/>
                        <wps:cNvSpPr/>
                        <wps:spPr>
                          <a:xfrm>
                            <a:off x="2796161" y="338928"/>
                            <a:ext cx="112976" cy="29656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2"/>
                        <wps:cNvSpPr txBox="1">
                          <a:spLocks noChangeArrowheads="1"/>
                        </wps:cNvSpPr>
                        <wps:spPr bwMode="auto">
                          <a:xfrm>
                            <a:off x="2690190" y="659853"/>
                            <a:ext cx="409574" cy="173989"/>
                          </a:xfrm>
                          <a:prstGeom prst="rect">
                            <a:avLst/>
                          </a:prstGeom>
                          <a:solidFill>
                            <a:srgbClr val="FFFFFF"/>
                          </a:solidFill>
                          <a:ln w="9525">
                            <a:noFill/>
                            <a:miter lim="800000"/>
                            <a:headEnd/>
                            <a:tailEnd/>
                          </a:ln>
                        </wps:spPr>
                        <wps:txbx>
                          <w:txbxContent>
                            <w:p w14:paraId="09DD1FF5" w14:textId="3E622716" w:rsidR="000200D8" w:rsidRPr="00B8111C" w:rsidRDefault="000200D8" w:rsidP="000200D8">
                              <w:pPr>
                                <w:rPr>
                                  <w:sz w:val="10"/>
                                  <w:szCs w:val="10"/>
                                </w:rPr>
                              </w:pPr>
                              <w:r w:rsidRPr="00B8111C">
                                <w:rPr>
                                  <w:sz w:val="10"/>
                                  <w:szCs w:val="10"/>
                                </w:rPr>
                                <w:t>Slot n</w:t>
                              </w:r>
                            </w:p>
                          </w:txbxContent>
                        </wps:txbx>
                        <wps:bodyPr rot="0" vert="horz" wrap="square" lIns="91440" tIns="45720" rIns="91440" bIns="45720" anchor="t" anchorCtr="0">
                          <a:spAutoFit/>
                        </wps:bodyPr>
                      </wps:wsp>
                      <wps:wsp>
                        <wps:cNvPr id="12" name="文本框 2"/>
                        <wps:cNvSpPr txBox="1">
                          <a:spLocks noChangeArrowheads="1"/>
                        </wps:cNvSpPr>
                        <wps:spPr bwMode="auto">
                          <a:xfrm>
                            <a:off x="2343108" y="650382"/>
                            <a:ext cx="437514" cy="173989"/>
                          </a:xfrm>
                          <a:prstGeom prst="rect">
                            <a:avLst/>
                          </a:prstGeom>
                          <a:solidFill>
                            <a:srgbClr val="FFFFFF"/>
                          </a:solidFill>
                          <a:ln w="9525">
                            <a:noFill/>
                            <a:miter lim="800000"/>
                            <a:headEnd/>
                            <a:tailEnd/>
                          </a:ln>
                        </wps:spPr>
                        <wps:txbx>
                          <w:txbxContent>
                            <w:p w14:paraId="5ABAB998" w14:textId="34162629" w:rsidR="00A91C11" w:rsidRPr="00B8111C" w:rsidRDefault="00A91C11" w:rsidP="00A91C11">
                              <w:pPr>
                                <w:rPr>
                                  <w:sz w:val="10"/>
                                  <w:szCs w:val="10"/>
                                </w:rPr>
                              </w:pPr>
                              <w:r w:rsidRPr="00B8111C">
                                <w:rPr>
                                  <w:sz w:val="10"/>
                                  <w:szCs w:val="10"/>
                                </w:rPr>
                                <w:t>Slot n-N</w:t>
                              </w:r>
                            </w:p>
                          </w:txbxContent>
                        </wps:txbx>
                        <wps:bodyPr rot="0" vert="horz" wrap="square" lIns="91440" tIns="45720" rIns="91440" bIns="45720" anchor="t" anchorCtr="0">
                          <a:spAutoFit/>
                        </wps:bodyPr>
                      </wps:wsp>
                      <wps:wsp>
                        <wps:cNvPr id="13" name="直接连接符 13"/>
                        <wps:cNvCnPr/>
                        <wps:spPr>
                          <a:xfrm flipH="1">
                            <a:off x="2586377" y="398946"/>
                            <a:ext cx="5015" cy="241612"/>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14" name="直接连接符 14"/>
                        <wps:cNvCnPr/>
                        <wps:spPr>
                          <a:xfrm flipH="1">
                            <a:off x="1934663" y="404355"/>
                            <a:ext cx="4445" cy="2413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16" name="直接连接符 16"/>
                        <wps:cNvCnPr/>
                        <wps:spPr>
                          <a:xfrm>
                            <a:off x="32849" y="353746"/>
                            <a:ext cx="0" cy="274527"/>
                          </a:xfrm>
                          <a:prstGeom prst="line">
                            <a:avLst/>
                          </a:prstGeom>
                        </wps:spPr>
                        <wps:style>
                          <a:lnRef idx="2">
                            <a:schemeClr val="accent6"/>
                          </a:lnRef>
                          <a:fillRef idx="0">
                            <a:schemeClr val="accent6"/>
                          </a:fillRef>
                          <a:effectRef idx="1">
                            <a:schemeClr val="accent6"/>
                          </a:effectRef>
                          <a:fontRef idx="minor">
                            <a:schemeClr val="tx1"/>
                          </a:fontRef>
                        </wps:style>
                        <wps:bodyPr/>
                      </wps:wsp>
                      <wps:wsp>
                        <wps:cNvPr id="17" name="直接箭头连接符 17"/>
                        <wps:cNvCnPr/>
                        <wps:spPr>
                          <a:xfrm flipV="1">
                            <a:off x="36508" y="447123"/>
                            <a:ext cx="1648195" cy="3337"/>
                          </a:xfrm>
                          <a:prstGeom prst="straightConnector1">
                            <a:avLst/>
                          </a:prstGeom>
                          <a:ln>
                            <a:prstDash val="sysDot"/>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1666583" y="361196"/>
                            <a:ext cx="0" cy="274320"/>
                          </a:xfrm>
                          <a:prstGeom prst="line">
                            <a:avLst/>
                          </a:prstGeom>
                        </wps:spPr>
                        <wps:style>
                          <a:lnRef idx="2">
                            <a:schemeClr val="accent6"/>
                          </a:lnRef>
                          <a:fillRef idx="0">
                            <a:schemeClr val="accent6"/>
                          </a:fillRef>
                          <a:effectRef idx="1">
                            <a:schemeClr val="accent6"/>
                          </a:effectRef>
                          <a:fontRef idx="minor">
                            <a:schemeClr val="tx1"/>
                          </a:fontRef>
                        </wps:style>
                        <wps:bodyPr/>
                      </wps:wsp>
                      <wps:wsp>
                        <wps:cNvPr id="19" name="直接箭头连接符 19"/>
                        <wps:cNvCnPr/>
                        <wps:spPr>
                          <a:xfrm>
                            <a:off x="1821417" y="307975"/>
                            <a:ext cx="1406336" cy="12653"/>
                          </a:xfrm>
                          <a:prstGeom prst="straightConnector1">
                            <a:avLst/>
                          </a:prstGeom>
                          <a:ln>
                            <a:prstDash val="sysDot"/>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2"/>
                        <wps:cNvSpPr txBox="1">
                          <a:spLocks noChangeArrowheads="1"/>
                        </wps:cNvSpPr>
                        <wps:spPr bwMode="auto">
                          <a:xfrm>
                            <a:off x="1372293" y="783655"/>
                            <a:ext cx="688975" cy="249555"/>
                          </a:xfrm>
                          <a:prstGeom prst="rect">
                            <a:avLst/>
                          </a:prstGeom>
                          <a:solidFill>
                            <a:srgbClr val="FFFFFF"/>
                          </a:solidFill>
                          <a:ln w="9525">
                            <a:noFill/>
                            <a:miter lim="800000"/>
                            <a:headEnd/>
                            <a:tailEnd/>
                          </a:ln>
                        </wps:spPr>
                        <wps:txbx>
                          <w:txbxContent>
                            <w:p w14:paraId="31633B53" w14:textId="77777777" w:rsidR="003F6F3B" w:rsidRDefault="003F6F3B" w:rsidP="003F6F3B">
                              <w:pPr>
                                <w:rPr>
                                  <w:sz w:val="10"/>
                                  <w:szCs w:val="10"/>
                                </w:rPr>
                              </w:pPr>
                              <w:r>
                                <w:rPr>
                                  <w:sz w:val="10"/>
                                  <w:szCs w:val="10"/>
                                </w:rPr>
                                <w:t>CBR measurement window</w:t>
                              </w:r>
                            </w:p>
                          </w:txbxContent>
                        </wps:txbx>
                        <wps:bodyPr rot="0" vert="horz" wrap="square" lIns="91440" tIns="45720" rIns="91440" bIns="45720" anchor="t" anchorCtr="0">
                          <a:noAutofit/>
                        </wps:bodyPr>
                      </wps:wsp>
                      <wps:wsp>
                        <wps:cNvPr id="21" name="矩形 21"/>
                        <wps:cNvSpPr/>
                        <wps:spPr>
                          <a:xfrm>
                            <a:off x="2195253" y="778575"/>
                            <a:ext cx="112395" cy="2959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文本框 2"/>
                        <wps:cNvSpPr txBox="1">
                          <a:spLocks noChangeArrowheads="1"/>
                        </wps:cNvSpPr>
                        <wps:spPr bwMode="auto">
                          <a:xfrm>
                            <a:off x="1741863" y="1090360"/>
                            <a:ext cx="436880" cy="173355"/>
                          </a:xfrm>
                          <a:prstGeom prst="rect">
                            <a:avLst/>
                          </a:prstGeom>
                          <a:solidFill>
                            <a:srgbClr val="FFFFFF"/>
                          </a:solidFill>
                          <a:ln w="9525">
                            <a:noFill/>
                            <a:miter lim="800000"/>
                            <a:headEnd/>
                            <a:tailEnd/>
                          </a:ln>
                        </wps:spPr>
                        <wps:txbx>
                          <w:txbxContent>
                            <w:p w14:paraId="658D5B9D" w14:textId="77777777" w:rsidR="003F6F3B" w:rsidRDefault="003F6F3B" w:rsidP="003F6F3B">
                              <w:pPr>
                                <w:rPr>
                                  <w:sz w:val="10"/>
                                  <w:szCs w:val="10"/>
                                </w:rPr>
                              </w:pPr>
                              <w:r>
                                <w:rPr>
                                  <w:sz w:val="10"/>
                                  <w:szCs w:val="10"/>
                                </w:rPr>
                                <w:t>Slot n-N</w:t>
                              </w:r>
                            </w:p>
                          </w:txbxContent>
                        </wps:txbx>
                        <wps:bodyPr rot="0" vert="horz" wrap="square" lIns="91440" tIns="45720" rIns="91440" bIns="45720" anchor="t" anchorCtr="0">
                          <a:spAutoFit/>
                        </wps:bodyPr>
                      </wps:wsp>
                      <wps:wsp>
                        <wps:cNvPr id="23" name="直接连接符 23"/>
                        <wps:cNvCnPr/>
                        <wps:spPr>
                          <a:xfrm flipH="1">
                            <a:off x="1985068" y="838900"/>
                            <a:ext cx="4445" cy="241300"/>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4" name="直接连接符 24"/>
                        <wps:cNvCnPr/>
                        <wps:spPr>
                          <a:xfrm flipH="1">
                            <a:off x="1333558" y="843980"/>
                            <a:ext cx="4445" cy="240665"/>
                          </a:xfrm>
                          <a:prstGeom prst="line">
                            <a:avLst/>
                          </a:prstGeom>
                        </wps:spPr>
                        <wps:style>
                          <a:lnRef idx="1">
                            <a:schemeClr val="accent2"/>
                          </a:lnRef>
                          <a:fillRef idx="0">
                            <a:schemeClr val="accent2"/>
                          </a:fillRef>
                          <a:effectRef idx="0">
                            <a:schemeClr val="accent2"/>
                          </a:effectRef>
                          <a:fontRef idx="minor">
                            <a:schemeClr val="tx1"/>
                          </a:fontRef>
                        </wps:style>
                        <wps:bodyPr/>
                      </wps:wsp>
                      <wps:wsp>
                        <wps:cNvPr id="25" name="文本框 2"/>
                        <wps:cNvSpPr txBox="1">
                          <a:spLocks noChangeArrowheads="1"/>
                        </wps:cNvSpPr>
                        <wps:spPr bwMode="auto">
                          <a:xfrm>
                            <a:off x="2089235" y="1098633"/>
                            <a:ext cx="408940" cy="173355"/>
                          </a:xfrm>
                          <a:prstGeom prst="rect">
                            <a:avLst/>
                          </a:prstGeom>
                          <a:solidFill>
                            <a:srgbClr val="FFFFFF"/>
                          </a:solidFill>
                          <a:ln w="9525">
                            <a:noFill/>
                            <a:miter lim="800000"/>
                            <a:headEnd/>
                            <a:tailEnd/>
                          </a:ln>
                        </wps:spPr>
                        <wps:txbx>
                          <w:txbxContent>
                            <w:p w14:paraId="0BDC6BF7" w14:textId="77777777" w:rsidR="003F6F3B" w:rsidRDefault="003F6F3B" w:rsidP="003F6F3B">
                              <w:pPr>
                                <w:rPr>
                                  <w:sz w:val="10"/>
                                  <w:szCs w:val="10"/>
                                </w:rPr>
                              </w:pPr>
                              <w:r>
                                <w:rPr>
                                  <w:sz w:val="10"/>
                                  <w:szCs w:val="10"/>
                                </w:rPr>
                                <w:t>Slot n</w:t>
                              </w:r>
                            </w:p>
                          </w:txbxContent>
                        </wps:txbx>
                        <wps:bodyPr rot="0" vert="horz" wrap="square" lIns="91440" tIns="45720" rIns="91440" bIns="45720" anchor="t" anchorCtr="0">
                          <a:spAutoFit/>
                        </wps:bodyPr>
                      </wps:wsp>
                    </wpc:wpc>
                  </a:graphicData>
                </a:graphic>
              </wp:inline>
            </w:drawing>
          </mc:Choice>
          <mc:Fallback>
            <w:pict>
              <v:group w14:anchorId="03E03651" id="画布 1" o:spid="_x0000_s1026" editas="canvas" style="width:325.8pt;height:122.5pt;mso-position-horizontal-relative:char;mso-position-vertical-relative:line" coordsize="41370,15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370;height:15557;visibility:visible;mso-wrap-style:square" filled="t">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9733;top:3438;width:6893;height:2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307B5304" w14:textId="273584D2" w:rsidR="00B501F8" w:rsidRPr="00D2159D" w:rsidRDefault="00B501F8" w:rsidP="00B501F8">
                        <w:pPr>
                          <w:rPr>
                            <w:sz w:val="10"/>
                            <w:szCs w:val="10"/>
                          </w:rPr>
                        </w:pPr>
                        <w:r w:rsidRPr="00D2159D">
                          <w:rPr>
                            <w:sz w:val="10"/>
                            <w:szCs w:val="10"/>
                          </w:rPr>
                          <w:t>CBR measurement window</w:t>
                        </w:r>
                      </w:p>
                    </w:txbxContent>
                  </v:textbox>
                </v:shape>
                <v:shapetype id="_x0000_t32" coordsize="21600,21600" o:spt="32" o:oned="t" path="m,l21600,21600e" filled="f">
                  <v:path arrowok="t" fillok="f" o:connecttype="none"/>
                  <o:lock v:ext="edit" shapetype="t"/>
                </v:shapetype>
                <v:shape id="直接箭头连接符 2" o:spid="_x0000_s1029" type="#_x0000_t32" style="position:absolute;top:6284;width:40388;height:1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" strokecolor="#5b9bd5 [3204]" strokeweight=".5pt">
                  <v:stroke endarrow="block" joinstyle="miter"/>
                </v:shape>
                <v:line id="直接连接符 6" o:spid="_x0000_s1030" style="position:absolute;visibility:visible;mso-wrap-style:square" from="32081,2716" to="32081,6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" strokecolor="#5b9bd5 [3204]" strokeweight=".5pt">
                  <v:stroke joinstyle="miter"/>
                </v:line>
                <v:shape id="文本框 2" o:spid="_x0000_s1031" type="#_x0000_t202" style="position:absolute;left:5863;top:2812;width:12351;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" stroked="f">
                  <v:textbox style="mso-fit-shape-to-text:t">
                    <w:txbxContent>
                      <w:p w14:paraId="436DE84A" w14:textId="77777777" w:rsidR="00EF5BD0" w:rsidRPr="00087144" w:rsidRDefault="00EF5BD0" w:rsidP="00EF5BD0">
                        <w:pPr>
                          <w:rPr>
                            <w:sz w:val="13"/>
                            <w:szCs w:val="13"/>
                          </w:rPr>
                        </w:pPr>
                        <w:r w:rsidRPr="00087144">
                          <w:rPr>
                            <w:sz w:val="13"/>
                            <w:szCs w:val="13"/>
                          </w:rPr>
                          <w:t>Sensing window</w:t>
                        </w:r>
                      </w:p>
                    </w:txbxContent>
                  </v:textbox>
                </v:shape>
                <v:line id="直接连接符 8" o:spid="_x0000_s1032" style="position:absolute;visibility:visible;mso-wrap-style:square" from="18171,2653" to="18171,6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shape id="文本框 2" o:spid="_x0000_s1033" type="#_x0000_t202" style="position:absolute;left:19205;top:653;width:12351;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" stroked="f">
                  <v:textbox style="mso-fit-shape-to-text:t">
                    <w:txbxContent>
                      <w:p w14:paraId="6A98AE57" w14:textId="5B5DE6F7" w:rsidR="00EF5BD0" w:rsidRPr="00087144" w:rsidRDefault="00EF5BD0" w:rsidP="00EF5BD0">
                        <w:pPr>
                          <w:rPr>
                            <w:sz w:val="13"/>
                            <w:szCs w:val="13"/>
                          </w:rPr>
                        </w:pPr>
                        <w:r w:rsidRPr="00087144">
                          <w:rPr>
                            <w:sz w:val="13"/>
                            <w:szCs w:val="13"/>
                          </w:rPr>
                          <w:t>Resource selection window</w:t>
                        </w:r>
                      </w:p>
                    </w:txbxContent>
                  </v:textbox>
                </v:shape>
                <v:rect id="矩形 10" o:spid="_x0000_s1034" style="position:absolute;left:27961;top:3389;width:1130;height:29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5b9bd5 [3204]" strokecolor="#1f4d78 [1604]" strokeweight="1pt"/>
                <v:shape id="文本框 2" o:spid="_x0000_s1035" type="#_x0000_t202" style="position:absolute;left:26901;top:6598;width:4096;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" stroked="f">
                  <v:textbox style="mso-fit-shape-to-text:t">
                    <w:txbxContent>
                      <w:p w14:paraId="09DD1FF5" w14:textId="3E622716" w:rsidR="000200D8" w:rsidRPr="00B8111C" w:rsidRDefault="000200D8" w:rsidP="000200D8">
                        <w:pPr>
                          <w:rPr>
                            <w:sz w:val="10"/>
                            <w:szCs w:val="10"/>
                          </w:rPr>
                        </w:pPr>
                        <w:r w:rsidRPr="00B8111C">
                          <w:rPr>
                            <w:sz w:val="10"/>
                            <w:szCs w:val="10"/>
                          </w:rPr>
                          <w:t>Slot n</w:t>
                        </w:r>
                      </w:p>
                    </w:txbxContent>
                  </v:textbox>
                </v:shape>
                <v:shape id="文本框 2" o:spid="_x0000_s1036" type="#_x0000_t202" style="position:absolute;left:23431;top:6503;width:4375;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" stroked="f">
                  <v:textbox style="mso-fit-shape-to-text:t">
                    <w:txbxContent>
                      <w:p w14:paraId="5ABAB998" w14:textId="34162629" w:rsidR="00A91C11" w:rsidRPr="00B8111C" w:rsidRDefault="00A91C11" w:rsidP="00A91C11">
                        <w:pPr>
                          <w:rPr>
                            <w:sz w:val="10"/>
                            <w:szCs w:val="10"/>
                          </w:rPr>
                        </w:pPr>
                        <w:r w:rsidRPr="00B8111C">
                          <w:rPr>
                            <w:sz w:val="10"/>
                            <w:szCs w:val="10"/>
                          </w:rPr>
                          <w:t>Slot n-N</w:t>
                        </w:r>
                      </w:p>
                    </w:txbxContent>
                  </v:textbox>
                </v:shape>
                <v:line id="直接连接符 13" o:spid="_x0000_s1037" style="position:absolute;flip:x;visibility:visible;mso-wrap-style:square" from="25863,3989" to="25913,6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" strokecolor="#ed7d31 [3205]" strokeweight=".5pt">
                  <v:stroke joinstyle="miter"/>
                </v:line>
                <v:line id="直接连接符 14" o:spid="_x0000_s1038" style="position:absolute;flip:x;visibility:visible;mso-wrap-style:square" from="19346,4043" to="19391,6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" strokecolor="#ed7d31 [3205]" strokeweight=".5pt">
                  <v:stroke joinstyle="miter"/>
                </v:line>
                <v:line id="直接连接符 16" o:spid="_x0000_s1039" style="position:absolute;visibility:visible;mso-wrap-style:square" from="328,3537" to="328,6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" strokecolor="#70ad47 [3209]" strokeweight="1pt">
                  <v:stroke joinstyle="miter"/>
                </v:line>
                <v:shape id="直接箭头连接符 17" o:spid="_x0000_s1040" type="#_x0000_t32" style="position:absolute;left:365;top:4471;width:16482;height: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" strokecolor="#5b9bd5 [3204]" strokeweight=".5pt">
                  <v:stroke dashstyle="1 1" startarrow="block" endarrow="block" joinstyle="miter"/>
                </v:shape>
                <v:line id="直接连接符 18" o:spid="_x0000_s1041" style="position:absolute;visibility:visible;mso-wrap-style:square" from="16665,3611" to="16665,6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" strokecolor="#70ad47 [3209]" strokeweight="1pt">
                  <v:stroke joinstyle="miter"/>
                </v:line>
                <v:shape id="直接箭头连接符 19" o:spid="_x0000_s1042" type="#_x0000_t32" style="position:absolute;left:18214;top:3079;width:14063;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" strokecolor="#5b9bd5 [3204]" strokeweight=".5pt">
                  <v:stroke dashstyle="1 1" startarrow="block" endarrow="block" joinstyle="miter"/>
                </v:shape>
                <v:shape id="文本框 2" o:spid="_x0000_s1043" type="#_x0000_t202" style="position:absolute;left:13722;top:7836;width:6890;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31633B53" w14:textId="77777777" w:rsidR="003F6F3B" w:rsidRDefault="003F6F3B" w:rsidP="003F6F3B">
                        <w:pPr>
                          <w:rPr>
                            <w:sz w:val="10"/>
                            <w:szCs w:val="10"/>
                          </w:rPr>
                        </w:pPr>
                        <w:r>
                          <w:rPr>
                            <w:sz w:val="10"/>
                            <w:szCs w:val="10"/>
                          </w:rPr>
                          <w:t>CBR measurement window</w:t>
                        </w:r>
                      </w:p>
                    </w:txbxContent>
                  </v:textbox>
                </v:shape>
                <v:rect id="矩形 21" o:spid="_x0000_s1044" style="position:absolute;left:21952;top:7785;width:1124;height:2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5b9bd5 [3204]" strokecolor="#1f4d78 [1604]" strokeweight="1pt"/>
                <v:shape id="文本框 2" o:spid="_x0000_s1045" type="#_x0000_t202" style="position:absolute;left:17418;top:10903;width:4369;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" stroked="f">
                  <v:textbox style="mso-fit-shape-to-text:t">
                    <w:txbxContent>
                      <w:p w14:paraId="658D5B9D" w14:textId="77777777" w:rsidR="003F6F3B" w:rsidRDefault="003F6F3B" w:rsidP="003F6F3B">
                        <w:pPr>
                          <w:rPr>
                            <w:sz w:val="10"/>
                            <w:szCs w:val="10"/>
                          </w:rPr>
                        </w:pPr>
                        <w:r>
                          <w:rPr>
                            <w:sz w:val="10"/>
                            <w:szCs w:val="10"/>
                          </w:rPr>
                          <w:t>Slot n-N</w:t>
                        </w:r>
                      </w:p>
                    </w:txbxContent>
                  </v:textbox>
                </v:shape>
                <v:line id="直接连接符 23" o:spid="_x0000_s1046" style="position:absolute;flip:x;visibility:visible;mso-wrap-style:square" from="19850,8389" to="19895,10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" strokecolor="#ed7d31 [3205]" strokeweight=".5pt">
                  <v:stroke joinstyle="miter"/>
                </v:line>
                <v:line id="直接连接符 24" o:spid="_x0000_s1047" style="position:absolute;flip:x;visibility:visible;mso-wrap-style:square" from="13335,8439" to="13380,10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" strokecolor="#ed7d31 [3205]" strokeweight=".5pt">
                  <v:stroke joinstyle="miter"/>
                </v:line>
                <v:shape id="文本框 2" o:spid="_x0000_s1048" type="#_x0000_t202" style="position:absolute;left:20892;top:10986;width:408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" stroked="f">
                  <v:textbox style="mso-fit-shape-to-text:t">
                    <w:txbxContent>
                      <w:p w14:paraId="0BDC6BF7" w14:textId="77777777" w:rsidR="003F6F3B" w:rsidRDefault="003F6F3B" w:rsidP="003F6F3B">
                        <w:pPr>
                          <w:rPr>
                            <w:sz w:val="10"/>
                            <w:szCs w:val="10"/>
                          </w:rPr>
                        </w:pPr>
                        <w:r>
                          <w:rPr>
                            <w:sz w:val="10"/>
                            <w:szCs w:val="10"/>
                          </w:rPr>
                          <w:t>Slot n</w:t>
                        </w:r>
                      </w:p>
                    </w:txbxContent>
                  </v:textbox>
                </v:shape>
                <w10:anchorlock/>
              </v:group>
            </w:pict>
          </mc:Fallback>
        </mc:AlternateConten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34D9BE68" w:rsidR="00017813" w:rsidRDefault="00F6397F" w:rsidP="005B28FB">
      <w:pPr>
        <w:spacing w:after="180"/>
        <w:jc w:val="both"/>
        <w:rPr>
          <w:rFonts w:eastAsia="宋体"/>
          <w:szCs w:val="20"/>
          <w:lang w:eastAsia="zh-CN"/>
        </w:rPr>
      </w:pPr>
      <w:r>
        <w:rPr>
          <w:rFonts w:eastAsia="宋体"/>
          <w:szCs w:val="20"/>
          <w:lang w:val="x-none"/>
        </w:rPr>
        <w:t>In this co</w:t>
      </w:r>
      <w:r w:rsidRPr="002B37A7">
        <w:rPr>
          <w:rFonts w:eastAsia="宋体"/>
          <w:szCs w:val="20"/>
          <w:lang w:eastAsia="zh-CN"/>
        </w:rPr>
        <w:t>ntribution, we</w:t>
      </w:r>
      <w:r w:rsidR="00017813">
        <w:rPr>
          <w:rFonts w:eastAsia="宋体"/>
          <w:szCs w:val="20"/>
          <w:lang w:eastAsia="zh-CN"/>
        </w:rPr>
        <w:t xml:space="preserve"> discussed the </w:t>
      </w:r>
      <w:r w:rsidR="00303CC1">
        <w:rPr>
          <w:rFonts w:eastAsia="宋体"/>
          <w:szCs w:val="20"/>
          <w:lang w:eastAsia="zh-CN"/>
        </w:rPr>
        <w:t xml:space="preserve">LS from RAN 2 </w:t>
      </w:r>
      <w:r w:rsidR="0014144A">
        <w:rPr>
          <w:rFonts w:eastAsia="宋体"/>
          <w:szCs w:val="20"/>
          <w:lang w:eastAsia="zh-CN"/>
        </w:rPr>
        <w:t>about</w:t>
      </w:r>
      <w:r w:rsidR="002B37A7" w:rsidRPr="002B37A7">
        <w:rPr>
          <w:rFonts w:eastAsia="宋体"/>
          <w:szCs w:val="20"/>
          <w:lang w:eastAsia="zh-CN"/>
        </w:rPr>
        <w:t xml:space="preserve"> </w:t>
      </w:r>
      <w:r w:rsidR="0014144A">
        <w:rPr>
          <w:rFonts w:eastAsia="宋体"/>
          <w:szCs w:val="20"/>
          <w:lang w:eastAsia="zh-CN"/>
        </w:rPr>
        <w:t xml:space="preserve">the </w:t>
      </w:r>
      <w:r w:rsidR="00B829D2">
        <w:t>usage of default CBR</w:t>
      </w:r>
      <w:r w:rsidR="00566A85">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w:t>
      </w:r>
      <w:r w:rsidR="00303CC1">
        <w:rPr>
          <w:rFonts w:eastAsia="宋体"/>
          <w:szCs w:val="20"/>
          <w:lang w:eastAsia="zh-CN"/>
        </w:rPr>
        <w:t>the LS</w:t>
      </w:r>
      <w:r w:rsidR="002B37A7">
        <w:rPr>
          <w:rFonts w:eastAsia="宋体"/>
          <w:szCs w:val="20"/>
          <w:lang w:eastAsia="zh-CN"/>
        </w:rPr>
        <w:t xml:space="preserve"> </w:t>
      </w:r>
      <w:r w:rsidR="00017813">
        <w:rPr>
          <w:rFonts w:eastAsia="宋体"/>
          <w:szCs w:val="20"/>
          <w:lang w:eastAsia="zh-CN"/>
        </w:rPr>
        <w:t>as below:</w:t>
      </w:r>
    </w:p>
    <w:p w14:paraId="10AB6722" w14:textId="2FA48E62" w:rsidR="00CC2AE8" w:rsidRDefault="00D17FE4" w:rsidP="005B28FB">
      <w:pPr>
        <w:spacing w:after="180"/>
        <w:jc w:val="both"/>
        <w:rPr>
          <w:rFonts w:eastAsia="宋体"/>
          <w:b/>
          <w:bCs/>
          <w:szCs w:val="20"/>
          <w:lang w:eastAsia="zh-CN"/>
        </w:rPr>
      </w:pPr>
      <w:r w:rsidRPr="00247A33">
        <w:rPr>
          <w:rFonts w:eastAsia="宋体" w:hint="eastAsia"/>
          <w:b/>
          <w:bCs/>
          <w:szCs w:val="20"/>
          <w:lang w:eastAsia="zh-CN"/>
        </w:rPr>
        <w:t>P</w:t>
      </w:r>
      <w:r w:rsidRPr="00247A33">
        <w:rPr>
          <w:rFonts w:eastAsia="宋体"/>
          <w:b/>
          <w:bCs/>
          <w:szCs w:val="20"/>
          <w:lang w:eastAsia="zh-CN"/>
        </w:rPr>
        <w:t xml:space="preserve">roposal 1: RAN1 replies to RAN2 that </w:t>
      </w:r>
      <w:r w:rsidR="00C84C23">
        <w:rPr>
          <w:rFonts w:eastAsia="宋体"/>
          <w:b/>
          <w:bCs/>
          <w:szCs w:val="20"/>
          <w:lang w:eastAsia="zh-CN"/>
        </w:rPr>
        <w:t>C</w:t>
      </w:r>
      <w:r w:rsidRPr="00247A33">
        <w:rPr>
          <w:rFonts w:eastAsia="宋体"/>
          <w:b/>
          <w:bCs/>
          <w:szCs w:val="20"/>
          <w:lang w:eastAsia="zh-CN"/>
        </w:rPr>
        <w:t>ase 3 is a valid case</w:t>
      </w:r>
      <w:r w:rsidR="005605B1" w:rsidRPr="00247A33">
        <w:rPr>
          <w:rFonts w:eastAsia="宋体" w:hint="eastAsia"/>
          <w:b/>
          <w:bCs/>
          <w:szCs w:val="20"/>
          <w:lang w:eastAsia="zh-CN"/>
        </w:rPr>
        <w:t>,</w:t>
      </w:r>
      <w:r w:rsidR="005605B1" w:rsidRPr="00247A33">
        <w:rPr>
          <w:rFonts w:eastAsia="宋体"/>
          <w:b/>
          <w:bCs/>
          <w:szCs w:val="20"/>
          <w:lang w:eastAsia="zh-CN"/>
        </w:rPr>
        <w:t xml:space="preserve"> and R16 default CBR can be used for </w:t>
      </w:r>
      <w:r w:rsidR="00701646">
        <w:rPr>
          <w:rFonts w:eastAsia="宋体"/>
          <w:b/>
          <w:bCs/>
          <w:szCs w:val="20"/>
          <w:lang w:eastAsia="zh-CN"/>
        </w:rPr>
        <w:t>congestion control</w:t>
      </w:r>
      <w:r w:rsidR="005605B1" w:rsidRPr="00247A33">
        <w:rPr>
          <w:rFonts w:eastAsia="宋体"/>
          <w:b/>
          <w:bCs/>
          <w:szCs w:val="20"/>
          <w:lang w:eastAsia="zh-CN"/>
        </w:rPr>
        <w:t>.</w:t>
      </w:r>
    </w:p>
    <w:p w14:paraId="48A39A1D" w14:textId="39A1439E" w:rsidR="000D7734" w:rsidRPr="00247A33" w:rsidRDefault="000D7734" w:rsidP="005B28FB">
      <w:pPr>
        <w:spacing w:after="180"/>
        <w:jc w:val="both"/>
        <w:rPr>
          <w:rFonts w:eastAsia="宋体"/>
          <w:b/>
          <w:bCs/>
          <w:szCs w:val="20"/>
          <w:lang w:eastAsia="zh-CN"/>
        </w:rPr>
      </w:pPr>
      <w:r>
        <w:rPr>
          <w:rFonts w:eastAsia="宋体" w:hint="eastAsia"/>
          <w:b/>
          <w:bCs/>
          <w:szCs w:val="20"/>
          <w:lang w:eastAsia="zh-CN"/>
        </w:rPr>
        <w:lastRenderedPageBreak/>
        <w:t>P</w:t>
      </w:r>
      <w:r>
        <w:rPr>
          <w:rFonts w:eastAsia="宋体"/>
          <w:b/>
          <w:bCs/>
          <w:szCs w:val="20"/>
          <w:lang w:eastAsia="zh-CN"/>
        </w:rPr>
        <w:t>roposal 2:</w:t>
      </w:r>
      <w:r w:rsidR="00621C2F">
        <w:rPr>
          <w:rFonts w:eastAsia="宋体"/>
          <w:b/>
          <w:bCs/>
          <w:szCs w:val="20"/>
          <w:lang w:eastAsia="zh-CN"/>
        </w:rPr>
        <w:t xml:space="preserve"> </w:t>
      </w:r>
      <w:r w:rsidR="00C84C23">
        <w:rPr>
          <w:rFonts w:eastAsia="宋体"/>
          <w:b/>
          <w:bCs/>
          <w:szCs w:val="20"/>
          <w:lang w:eastAsia="zh-CN"/>
        </w:rPr>
        <w:t>For Case 3 w</w:t>
      </w:r>
      <w:r w:rsidR="00621C2F">
        <w:rPr>
          <w:rFonts w:eastAsia="宋体"/>
          <w:b/>
          <w:bCs/>
          <w:szCs w:val="20"/>
          <w:lang w:eastAsia="zh-CN"/>
        </w:rPr>
        <w:t xml:space="preserve">hen </w:t>
      </w:r>
      <w:r w:rsidR="00C74BEB">
        <w:rPr>
          <w:rFonts w:eastAsia="宋体"/>
          <w:b/>
          <w:bCs/>
          <w:szCs w:val="20"/>
          <w:lang w:eastAsia="zh-CN"/>
        </w:rPr>
        <w:t xml:space="preserve">UE has no CBR measurement result </w:t>
      </w:r>
      <w:r w:rsidR="00645C64">
        <w:rPr>
          <w:rFonts w:eastAsia="宋体"/>
          <w:b/>
          <w:bCs/>
          <w:szCs w:val="20"/>
          <w:lang w:eastAsia="zh-CN"/>
        </w:rPr>
        <w:t xml:space="preserve">the R16 default CBR is also used for </w:t>
      </w:r>
      <w:r w:rsidR="006A071E">
        <w:rPr>
          <w:rFonts w:eastAsia="宋体"/>
          <w:b/>
          <w:bCs/>
          <w:szCs w:val="20"/>
          <w:lang w:eastAsia="zh-CN"/>
        </w:rPr>
        <w:t>power control of PSSCH/PSCCH</w:t>
      </w:r>
    </w:p>
    <w:p w14:paraId="00C20596" w14:textId="47353557" w:rsidR="00377919" w:rsidRDefault="00377919">
      <w:pPr>
        <w:pStyle w:val="1"/>
      </w:pPr>
      <w:r>
        <w:t>References</w:t>
      </w:r>
    </w:p>
    <w:p w14:paraId="78DAD092" w14:textId="1B07B9EA" w:rsidR="008A42CB" w:rsidRPr="00F70090" w:rsidRDefault="00200322" w:rsidP="00F70090">
      <w:pPr>
        <w:numPr>
          <w:ilvl w:val="0"/>
          <w:numId w:val="2"/>
        </w:numPr>
        <w:jc w:val="both"/>
        <w:rPr>
          <w:rFonts w:eastAsia="宋体"/>
        </w:rPr>
      </w:pPr>
      <w:r w:rsidRPr="00200322">
        <w:t>R1-230001</w:t>
      </w:r>
      <w:r w:rsidR="00A84336">
        <w:t>6</w:t>
      </w:r>
      <w:r w:rsidR="00087568">
        <w:t xml:space="preserve">, </w:t>
      </w:r>
      <w:r w:rsidR="00C70452" w:rsidRPr="00F70090">
        <w:t>Reply LS to RAN1 on default CBR configuration</w:t>
      </w:r>
    </w:p>
    <w:sectPr w:rsidR="008A42CB" w:rsidRPr="00F7009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81693" w14:textId="77777777" w:rsidR="00873D8E" w:rsidRDefault="00873D8E">
      <w:r>
        <w:separator/>
      </w:r>
    </w:p>
  </w:endnote>
  <w:endnote w:type="continuationSeparator" w:id="0">
    <w:p w14:paraId="03E7BA90" w14:textId="77777777" w:rsidR="00873D8E" w:rsidRDefault="00873D8E">
      <w:r>
        <w:continuationSeparator/>
      </w:r>
    </w:p>
  </w:endnote>
  <w:endnote w:type="continuationNotice" w:id="1">
    <w:p w14:paraId="77D0B309" w14:textId="77777777" w:rsidR="00873D8E" w:rsidRDefault="00873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B093D" w14:textId="77777777" w:rsidR="00873D8E" w:rsidRDefault="00873D8E">
      <w:r>
        <w:separator/>
      </w:r>
    </w:p>
  </w:footnote>
  <w:footnote w:type="continuationSeparator" w:id="0">
    <w:p w14:paraId="728C5B6C" w14:textId="77777777" w:rsidR="00873D8E" w:rsidRDefault="00873D8E">
      <w:r>
        <w:continuationSeparator/>
      </w:r>
    </w:p>
  </w:footnote>
  <w:footnote w:type="continuationNotice" w:id="1">
    <w:p w14:paraId="3B931D33" w14:textId="77777777" w:rsidR="00873D8E" w:rsidRDefault="00873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943196037">
    <w:abstractNumId w:val="27"/>
  </w:num>
  <w:num w:numId="2" w16cid:durableId="294263835">
    <w:abstractNumId w:val="12"/>
  </w:num>
  <w:num w:numId="3" w16cid:durableId="142600110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164971404">
    <w:abstractNumId w:val="22"/>
  </w:num>
  <w:num w:numId="5" w16cid:durableId="941914956">
    <w:abstractNumId w:val="23"/>
  </w:num>
  <w:num w:numId="6" w16cid:durableId="1752922734">
    <w:abstractNumId w:val="3"/>
  </w:num>
  <w:num w:numId="7" w16cid:durableId="2054964591">
    <w:abstractNumId w:val="18"/>
  </w:num>
  <w:num w:numId="8" w16cid:durableId="1418164830">
    <w:abstractNumId w:val="6"/>
  </w:num>
  <w:num w:numId="9" w16cid:durableId="1494760976">
    <w:abstractNumId w:val="2"/>
  </w:num>
  <w:num w:numId="10" w16cid:durableId="1697341893">
    <w:abstractNumId w:val="8"/>
  </w:num>
  <w:num w:numId="11" w16cid:durableId="1106000289">
    <w:abstractNumId w:val="16"/>
  </w:num>
  <w:num w:numId="12" w16cid:durableId="134756526">
    <w:abstractNumId w:val="21"/>
  </w:num>
  <w:num w:numId="13" w16cid:durableId="306014380">
    <w:abstractNumId w:val="25"/>
  </w:num>
  <w:num w:numId="14" w16cid:durableId="433672202">
    <w:abstractNumId w:val="26"/>
  </w:num>
  <w:num w:numId="15" w16cid:durableId="1357150567">
    <w:abstractNumId w:val="14"/>
  </w:num>
  <w:num w:numId="16" w16cid:durableId="518275097">
    <w:abstractNumId w:val="16"/>
  </w:num>
  <w:num w:numId="17" w16cid:durableId="184832902">
    <w:abstractNumId w:val="15"/>
  </w:num>
  <w:num w:numId="18" w16cid:durableId="1009259186">
    <w:abstractNumId w:val="20"/>
  </w:num>
  <w:num w:numId="19" w16cid:durableId="705327754">
    <w:abstractNumId w:val="28"/>
  </w:num>
  <w:num w:numId="20" w16cid:durableId="783766525">
    <w:abstractNumId w:val="24"/>
  </w:num>
  <w:num w:numId="21" w16cid:durableId="1727214643">
    <w:abstractNumId w:val="10"/>
  </w:num>
  <w:num w:numId="22" w16cid:durableId="545679811">
    <w:abstractNumId w:val="1"/>
  </w:num>
  <w:num w:numId="23" w16cid:durableId="182743728">
    <w:abstractNumId w:val="19"/>
  </w:num>
  <w:num w:numId="24" w16cid:durableId="302082008">
    <w:abstractNumId w:val="9"/>
  </w:num>
  <w:num w:numId="25" w16cid:durableId="266038446">
    <w:abstractNumId w:val="13"/>
  </w:num>
  <w:num w:numId="26" w16cid:durableId="1484392428">
    <w:abstractNumId w:val="11"/>
  </w:num>
  <w:num w:numId="27" w16cid:durableId="844980703">
    <w:abstractNumId w:val="17"/>
  </w:num>
  <w:num w:numId="28" w16cid:durableId="890534483">
    <w:abstractNumId w:val="7"/>
  </w:num>
  <w:num w:numId="29" w16cid:durableId="1890915161">
    <w:abstractNumId w:val="5"/>
  </w:num>
  <w:num w:numId="30" w16cid:durableId="6462062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00D8"/>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7CF"/>
    <w:rsid w:val="00077D8C"/>
    <w:rsid w:val="00080298"/>
    <w:rsid w:val="00082325"/>
    <w:rsid w:val="00083354"/>
    <w:rsid w:val="0008492C"/>
    <w:rsid w:val="00085646"/>
    <w:rsid w:val="00087144"/>
    <w:rsid w:val="000874C6"/>
    <w:rsid w:val="00087568"/>
    <w:rsid w:val="000875E5"/>
    <w:rsid w:val="00097985"/>
    <w:rsid w:val="000A000A"/>
    <w:rsid w:val="000A7AE4"/>
    <w:rsid w:val="000B08C1"/>
    <w:rsid w:val="000B1D3C"/>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D7734"/>
    <w:rsid w:val="000E6E33"/>
    <w:rsid w:val="000F1347"/>
    <w:rsid w:val="000F266D"/>
    <w:rsid w:val="000F3DC9"/>
    <w:rsid w:val="000F5551"/>
    <w:rsid w:val="000F5BEE"/>
    <w:rsid w:val="000F619A"/>
    <w:rsid w:val="000F7E01"/>
    <w:rsid w:val="0010079C"/>
    <w:rsid w:val="00102B43"/>
    <w:rsid w:val="001061CB"/>
    <w:rsid w:val="00106388"/>
    <w:rsid w:val="00106F4D"/>
    <w:rsid w:val="00113341"/>
    <w:rsid w:val="00113927"/>
    <w:rsid w:val="00113C6B"/>
    <w:rsid w:val="00114BC7"/>
    <w:rsid w:val="00116D44"/>
    <w:rsid w:val="00121FBB"/>
    <w:rsid w:val="00122104"/>
    <w:rsid w:val="001236CC"/>
    <w:rsid w:val="00125DD4"/>
    <w:rsid w:val="00126471"/>
    <w:rsid w:val="00126BDC"/>
    <w:rsid w:val="00127E7F"/>
    <w:rsid w:val="00130D81"/>
    <w:rsid w:val="00131772"/>
    <w:rsid w:val="00134917"/>
    <w:rsid w:val="001376E7"/>
    <w:rsid w:val="001378E2"/>
    <w:rsid w:val="0014144A"/>
    <w:rsid w:val="00141891"/>
    <w:rsid w:val="0014412C"/>
    <w:rsid w:val="0014476E"/>
    <w:rsid w:val="0014557F"/>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49D3"/>
    <w:rsid w:val="0019697F"/>
    <w:rsid w:val="00196A70"/>
    <w:rsid w:val="001A312C"/>
    <w:rsid w:val="001A6207"/>
    <w:rsid w:val="001A746D"/>
    <w:rsid w:val="001B2E40"/>
    <w:rsid w:val="001B6248"/>
    <w:rsid w:val="001B7C12"/>
    <w:rsid w:val="001C0874"/>
    <w:rsid w:val="001C22C3"/>
    <w:rsid w:val="001C478A"/>
    <w:rsid w:val="001C50DE"/>
    <w:rsid w:val="001D2AA5"/>
    <w:rsid w:val="001D3889"/>
    <w:rsid w:val="001D4565"/>
    <w:rsid w:val="001D57F4"/>
    <w:rsid w:val="001D58BA"/>
    <w:rsid w:val="001D6CE0"/>
    <w:rsid w:val="001D71DD"/>
    <w:rsid w:val="001E159A"/>
    <w:rsid w:val="001E42A1"/>
    <w:rsid w:val="001E4D5B"/>
    <w:rsid w:val="001E6E1F"/>
    <w:rsid w:val="001F02D3"/>
    <w:rsid w:val="001F2418"/>
    <w:rsid w:val="001F4DB6"/>
    <w:rsid w:val="001F683D"/>
    <w:rsid w:val="00200322"/>
    <w:rsid w:val="002072CA"/>
    <w:rsid w:val="002107BD"/>
    <w:rsid w:val="00214A2F"/>
    <w:rsid w:val="00223B1B"/>
    <w:rsid w:val="00225D3E"/>
    <w:rsid w:val="00225F30"/>
    <w:rsid w:val="002315FE"/>
    <w:rsid w:val="00236C8F"/>
    <w:rsid w:val="00237244"/>
    <w:rsid w:val="0024008F"/>
    <w:rsid w:val="00243CB2"/>
    <w:rsid w:val="002451B4"/>
    <w:rsid w:val="002473FF"/>
    <w:rsid w:val="00247A33"/>
    <w:rsid w:val="00253F61"/>
    <w:rsid w:val="00255101"/>
    <w:rsid w:val="0025564B"/>
    <w:rsid w:val="00256835"/>
    <w:rsid w:val="00261492"/>
    <w:rsid w:val="002623E1"/>
    <w:rsid w:val="002653E8"/>
    <w:rsid w:val="00266CDC"/>
    <w:rsid w:val="0026746B"/>
    <w:rsid w:val="002704EA"/>
    <w:rsid w:val="002762B0"/>
    <w:rsid w:val="00280CEC"/>
    <w:rsid w:val="00281317"/>
    <w:rsid w:val="00283559"/>
    <w:rsid w:val="00284E54"/>
    <w:rsid w:val="002862DF"/>
    <w:rsid w:val="002866EF"/>
    <w:rsid w:val="00286EA6"/>
    <w:rsid w:val="002944C5"/>
    <w:rsid w:val="00295076"/>
    <w:rsid w:val="002A074F"/>
    <w:rsid w:val="002A07F3"/>
    <w:rsid w:val="002A2AA0"/>
    <w:rsid w:val="002A2E4A"/>
    <w:rsid w:val="002A5551"/>
    <w:rsid w:val="002A5D20"/>
    <w:rsid w:val="002B2B09"/>
    <w:rsid w:val="002B37A7"/>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3CC1"/>
    <w:rsid w:val="0030575F"/>
    <w:rsid w:val="00312901"/>
    <w:rsid w:val="00313952"/>
    <w:rsid w:val="0031494D"/>
    <w:rsid w:val="00326CDD"/>
    <w:rsid w:val="00332C5E"/>
    <w:rsid w:val="00335A88"/>
    <w:rsid w:val="00340418"/>
    <w:rsid w:val="003419CD"/>
    <w:rsid w:val="00342B65"/>
    <w:rsid w:val="00342E11"/>
    <w:rsid w:val="003466EC"/>
    <w:rsid w:val="003504BA"/>
    <w:rsid w:val="003524EF"/>
    <w:rsid w:val="00355874"/>
    <w:rsid w:val="00357D06"/>
    <w:rsid w:val="00360B3F"/>
    <w:rsid w:val="00364234"/>
    <w:rsid w:val="003643B1"/>
    <w:rsid w:val="003643F5"/>
    <w:rsid w:val="00366192"/>
    <w:rsid w:val="003677B0"/>
    <w:rsid w:val="003710BE"/>
    <w:rsid w:val="003726D9"/>
    <w:rsid w:val="00374D4F"/>
    <w:rsid w:val="003771E8"/>
    <w:rsid w:val="00377681"/>
    <w:rsid w:val="00377919"/>
    <w:rsid w:val="003816BE"/>
    <w:rsid w:val="003824A2"/>
    <w:rsid w:val="00385EA7"/>
    <w:rsid w:val="00385F35"/>
    <w:rsid w:val="00390283"/>
    <w:rsid w:val="003909FE"/>
    <w:rsid w:val="00396B15"/>
    <w:rsid w:val="003A0DF8"/>
    <w:rsid w:val="003A202C"/>
    <w:rsid w:val="003A23AD"/>
    <w:rsid w:val="003A42FD"/>
    <w:rsid w:val="003A44AE"/>
    <w:rsid w:val="003A4E19"/>
    <w:rsid w:val="003A59E0"/>
    <w:rsid w:val="003A7CF0"/>
    <w:rsid w:val="003B063C"/>
    <w:rsid w:val="003B27E7"/>
    <w:rsid w:val="003B32BC"/>
    <w:rsid w:val="003B4B33"/>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6F3B"/>
    <w:rsid w:val="003F763C"/>
    <w:rsid w:val="00401250"/>
    <w:rsid w:val="00402202"/>
    <w:rsid w:val="00405638"/>
    <w:rsid w:val="00406D0E"/>
    <w:rsid w:val="00406E28"/>
    <w:rsid w:val="00417A21"/>
    <w:rsid w:val="004245F1"/>
    <w:rsid w:val="00431164"/>
    <w:rsid w:val="00433D7F"/>
    <w:rsid w:val="0043418B"/>
    <w:rsid w:val="00437212"/>
    <w:rsid w:val="0044153B"/>
    <w:rsid w:val="00441C4D"/>
    <w:rsid w:val="004427FE"/>
    <w:rsid w:val="00444C0A"/>
    <w:rsid w:val="00446231"/>
    <w:rsid w:val="00446356"/>
    <w:rsid w:val="0044767F"/>
    <w:rsid w:val="00454912"/>
    <w:rsid w:val="00455B03"/>
    <w:rsid w:val="00457C22"/>
    <w:rsid w:val="00462281"/>
    <w:rsid w:val="004659C0"/>
    <w:rsid w:val="00465AB0"/>
    <w:rsid w:val="00466472"/>
    <w:rsid w:val="0047003B"/>
    <w:rsid w:val="00472C53"/>
    <w:rsid w:val="004736B5"/>
    <w:rsid w:val="004751D7"/>
    <w:rsid w:val="00475771"/>
    <w:rsid w:val="00482E42"/>
    <w:rsid w:val="00487959"/>
    <w:rsid w:val="0049179B"/>
    <w:rsid w:val="00492603"/>
    <w:rsid w:val="00492E2C"/>
    <w:rsid w:val="004977BA"/>
    <w:rsid w:val="00497A7B"/>
    <w:rsid w:val="004A41C5"/>
    <w:rsid w:val="004A7D77"/>
    <w:rsid w:val="004B0379"/>
    <w:rsid w:val="004B56F7"/>
    <w:rsid w:val="004C25FE"/>
    <w:rsid w:val="004C278D"/>
    <w:rsid w:val="004C48D3"/>
    <w:rsid w:val="004C6B4D"/>
    <w:rsid w:val="004D05B9"/>
    <w:rsid w:val="004D3045"/>
    <w:rsid w:val="004D5FDC"/>
    <w:rsid w:val="004E0D54"/>
    <w:rsid w:val="004E1234"/>
    <w:rsid w:val="004E65B7"/>
    <w:rsid w:val="004E66D6"/>
    <w:rsid w:val="004F0516"/>
    <w:rsid w:val="004F4A53"/>
    <w:rsid w:val="004F510B"/>
    <w:rsid w:val="004F6885"/>
    <w:rsid w:val="00500506"/>
    <w:rsid w:val="0050128B"/>
    <w:rsid w:val="005071B5"/>
    <w:rsid w:val="00511281"/>
    <w:rsid w:val="005112AD"/>
    <w:rsid w:val="0051199D"/>
    <w:rsid w:val="005214B2"/>
    <w:rsid w:val="0052247A"/>
    <w:rsid w:val="00524940"/>
    <w:rsid w:val="00531F94"/>
    <w:rsid w:val="00532318"/>
    <w:rsid w:val="00535234"/>
    <w:rsid w:val="00536E6E"/>
    <w:rsid w:val="00540FD8"/>
    <w:rsid w:val="00546745"/>
    <w:rsid w:val="005519D9"/>
    <w:rsid w:val="0056024B"/>
    <w:rsid w:val="005605B1"/>
    <w:rsid w:val="00560CE1"/>
    <w:rsid w:val="005621C7"/>
    <w:rsid w:val="00564C6C"/>
    <w:rsid w:val="005654F2"/>
    <w:rsid w:val="00566A85"/>
    <w:rsid w:val="00572A76"/>
    <w:rsid w:val="00573A9B"/>
    <w:rsid w:val="00576AEA"/>
    <w:rsid w:val="00576BD7"/>
    <w:rsid w:val="005771EE"/>
    <w:rsid w:val="00577723"/>
    <w:rsid w:val="00580FAC"/>
    <w:rsid w:val="0058219F"/>
    <w:rsid w:val="00583479"/>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58A"/>
    <w:rsid w:val="005D6A96"/>
    <w:rsid w:val="005E0154"/>
    <w:rsid w:val="005E18B1"/>
    <w:rsid w:val="005E1AEF"/>
    <w:rsid w:val="005E4D4A"/>
    <w:rsid w:val="005F21C2"/>
    <w:rsid w:val="005F3B6F"/>
    <w:rsid w:val="005F4164"/>
    <w:rsid w:val="005F47F2"/>
    <w:rsid w:val="00602D19"/>
    <w:rsid w:val="00603EAD"/>
    <w:rsid w:val="0060639A"/>
    <w:rsid w:val="00610E2A"/>
    <w:rsid w:val="00612831"/>
    <w:rsid w:val="00614914"/>
    <w:rsid w:val="00617E0D"/>
    <w:rsid w:val="0062049C"/>
    <w:rsid w:val="00621C2F"/>
    <w:rsid w:val="00622940"/>
    <w:rsid w:val="00624683"/>
    <w:rsid w:val="00624BA0"/>
    <w:rsid w:val="00627B27"/>
    <w:rsid w:val="00641B08"/>
    <w:rsid w:val="00643D33"/>
    <w:rsid w:val="00645C64"/>
    <w:rsid w:val="0064699B"/>
    <w:rsid w:val="0064746B"/>
    <w:rsid w:val="006505C1"/>
    <w:rsid w:val="006535BF"/>
    <w:rsid w:val="006539D5"/>
    <w:rsid w:val="006548F8"/>
    <w:rsid w:val="00654C4B"/>
    <w:rsid w:val="00655295"/>
    <w:rsid w:val="00656FE3"/>
    <w:rsid w:val="006615C3"/>
    <w:rsid w:val="00662140"/>
    <w:rsid w:val="00662977"/>
    <w:rsid w:val="006658F9"/>
    <w:rsid w:val="00665EC3"/>
    <w:rsid w:val="0066656C"/>
    <w:rsid w:val="006667FD"/>
    <w:rsid w:val="00676828"/>
    <w:rsid w:val="00676BAC"/>
    <w:rsid w:val="00677384"/>
    <w:rsid w:val="00681583"/>
    <w:rsid w:val="00682637"/>
    <w:rsid w:val="006827F4"/>
    <w:rsid w:val="00685E8E"/>
    <w:rsid w:val="00690734"/>
    <w:rsid w:val="00692904"/>
    <w:rsid w:val="00693DAD"/>
    <w:rsid w:val="006952A8"/>
    <w:rsid w:val="00696DC2"/>
    <w:rsid w:val="00697852"/>
    <w:rsid w:val="006A071E"/>
    <w:rsid w:val="006A0CA5"/>
    <w:rsid w:val="006A21EC"/>
    <w:rsid w:val="006A22E3"/>
    <w:rsid w:val="006A438F"/>
    <w:rsid w:val="006A6802"/>
    <w:rsid w:val="006A70EA"/>
    <w:rsid w:val="006B18E0"/>
    <w:rsid w:val="006C5427"/>
    <w:rsid w:val="006C7C9C"/>
    <w:rsid w:val="006D575F"/>
    <w:rsid w:val="006D61B3"/>
    <w:rsid w:val="006D6433"/>
    <w:rsid w:val="006D6498"/>
    <w:rsid w:val="006D70EE"/>
    <w:rsid w:val="006D7765"/>
    <w:rsid w:val="006E3BB1"/>
    <w:rsid w:val="006E61FE"/>
    <w:rsid w:val="006E67DF"/>
    <w:rsid w:val="006E6D49"/>
    <w:rsid w:val="006E6FD6"/>
    <w:rsid w:val="006E7A8C"/>
    <w:rsid w:val="006F3C5E"/>
    <w:rsid w:val="006F5104"/>
    <w:rsid w:val="006F5C73"/>
    <w:rsid w:val="006F612C"/>
    <w:rsid w:val="006F6688"/>
    <w:rsid w:val="00701646"/>
    <w:rsid w:val="007026AF"/>
    <w:rsid w:val="00712EFD"/>
    <w:rsid w:val="007153EA"/>
    <w:rsid w:val="00717127"/>
    <w:rsid w:val="007172B2"/>
    <w:rsid w:val="00717DCE"/>
    <w:rsid w:val="00721BFE"/>
    <w:rsid w:val="0072261C"/>
    <w:rsid w:val="00725362"/>
    <w:rsid w:val="00727BB7"/>
    <w:rsid w:val="00730538"/>
    <w:rsid w:val="00731267"/>
    <w:rsid w:val="00733D30"/>
    <w:rsid w:val="007348A0"/>
    <w:rsid w:val="00735C71"/>
    <w:rsid w:val="00740638"/>
    <w:rsid w:val="00742C49"/>
    <w:rsid w:val="00743F4C"/>
    <w:rsid w:val="00744CEA"/>
    <w:rsid w:val="0074594A"/>
    <w:rsid w:val="007461EE"/>
    <w:rsid w:val="00747786"/>
    <w:rsid w:val="007506E9"/>
    <w:rsid w:val="007515B9"/>
    <w:rsid w:val="00752AA9"/>
    <w:rsid w:val="007537E5"/>
    <w:rsid w:val="0075446F"/>
    <w:rsid w:val="00754673"/>
    <w:rsid w:val="007600B4"/>
    <w:rsid w:val="00760E1B"/>
    <w:rsid w:val="0076489A"/>
    <w:rsid w:val="00766861"/>
    <w:rsid w:val="00772AAE"/>
    <w:rsid w:val="00773990"/>
    <w:rsid w:val="00773F51"/>
    <w:rsid w:val="00773FBA"/>
    <w:rsid w:val="00781D4D"/>
    <w:rsid w:val="007832D2"/>
    <w:rsid w:val="00790002"/>
    <w:rsid w:val="0079185B"/>
    <w:rsid w:val="00793B2C"/>
    <w:rsid w:val="00796120"/>
    <w:rsid w:val="00796514"/>
    <w:rsid w:val="007A4519"/>
    <w:rsid w:val="007B1C66"/>
    <w:rsid w:val="007B5057"/>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7F7952"/>
    <w:rsid w:val="0080498F"/>
    <w:rsid w:val="008073B7"/>
    <w:rsid w:val="00814D64"/>
    <w:rsid w:val="008212D2"/>
    <w:rsid w:val="00822188"/>
    <w:rsid w:val="0082317F"/>
    <w:rsid w:val="00824AD2"/>
    <w:rsid w:val="00832A69"/>
    <w:rsid w:val="00833E80"/>
    <w:rsid w:val="00840406"/>
    <w:rsid w:val="00840F22"/>
    <w:rsid w:val="008457E0"/>
    <w:rsid w:val="00850B25"/>
    <w:rsid w:val="00850BC3"/>
    <w:rsid w:val="00853BDD"/>
    <w:rsid w:val="0085662C"/>
    <w:rsid w:val="00856E2F"/>
    <w:rsid w:val="00857E56"/>
    <w:rsid w:val="00863AEC"/>
    <w:rsid w:val="00864E51"/>
    <w:rsid w:val="008662D0"/>
    <w:rsid w:val="00867586"/>
    <w:rsid w:val="00867C6E"/>
    <w:rsid w:val="00871223"/>
    <w:rsid w:val="008722F6"/>
    <w:rsid w:val="00873D8E"/>
    <w:rsid w:val="00876C0E"/>
    <w:rsid w:val="00880E2C"/>
    <w:rsid w:val="00885115"/>
    <w:rsid w:val="0088586A"/>
    <w:rsid w:val="0089018C"/>
    <w:rsid w:val="008912F0"/>
    <w:rsid w:val="0089264C"/>
    <w:rsid w:val="00894808"/>
    <w:rsid w:val="008972CC"/>
    <w:rsid w:val="0089773B"/>
    <w:rsid w:val="008A0409"/>
    <w:rsid w:val="008A1448"/>
    <w:rsid w:val="008A1E28"/>
    <w:rsid w:val="008A42CB"/>
    <w:rsid w:val="008A61CC"/>
    <w:rsid w:val="008B1BA3"/>
    <w:rsid w:val="008B70DC"/>
    <w:rsid w:val="008B7478"/>
    <w:rsid w:val="008C03CA"/>
    <w:rsid w:val="008C31C1"/>
    <w:rsid w:val="008C7719"/>
    <w:rsid w:val="008D0834"/>
    <w:rsid w:val="008D0CA0"/>
    <w:rsid w:val="008D1717"/>
    <w:rsid w:val="008D51F3"/>
    <w:rsid w:val="008D5679"/>
    <w:rsid w:val="008D6EBA"/>
    <w:rsid w:val="008E3E29"/>
    <w:rsid w:val="008E5E62"/>
    <w:rsid w:val="008F53E0"/>
    <w:rsid w:val="008F62D2"/>
    <w:rsid w:val="00903843"/>
    <w:rsid w:val="00906820"/>
    <w:rsid w:val="00906921"/>
    <w:rsid w:val="00907F42"/>
    <w:rsid w:val="0091070B"/>
    <w:rsid w:val="0091215F"/>
    <w:rsid w:val="009142BD"/>
    <w:rsid w:val="00914C3B"/>
    <w:rsid w:val="009174FF"/>
    <w:rsid w:val="00917CF1"/>
    <w:rsid w:val="00920530"/>
    <w:rsid w:val="00922809"/>
    <w:rsid w:val="00924F72"/>
    <w:rsid w:val="00926251"/>
    <w:rsid w:val="00933028"/>
    <w:rsid w:val="009332AB"/>
    <w:rsid w:val="009412B1"/>
    <w:rsid w:val="00944AF3"/>
    <w:rsid w:val="0094654D"/>
    <w:rsid w:val="00946F75"/>
    <w:rsid w:val="009479C7"/>
    <w:rsid w:val="009527E4"/>
    <w:rsid w:val="00955B9A"/>
    <w:rsid w:val="00956CED"/>
    <w:rsid w:val="00957A6B"/>
    <w:rsid w:val="00957C3D"/>
    <w:rsid w:val="009609F3"/>
    <w:rsid w:val="00960A65"/>
    <w:rsid w:val="0096290D"/>
    <w:rsid w:val="00964BF4"/>
    <w:rsid w:val="00964E40"/>
    <w:rsid w:val="00966887"/>
    <w:rsid w:val="00972BB3"/>
    <w:rsid w:val="00981543"/>
    <w:rsid w:val="009815C4"/>
    <w:rsid w:val="00984375"/>
    <w:rsid w:val="00985E6F"/>
    <w:rsid w:val="00986BCA"/>
    <w:rsid w:val="009A21F6"/>
    <w:rsid w:val="009A3C6D"/>
    <w:rsid w:val="009A4C12"/>
    <w:rsid w:val="009A5225"/>
    <w:rsid w:val="009A6CC3"/>
    <w:rsid w:val="009A786F"/>
    <w:rsid w:val="009A7E25"/>
    <w:rsid w:val="009B14FD"/>
    <w:rsid w:val="009B29D5"/>
    <w:rsid w:val="009B2F5D"/>
    <w:rsid w:val="009B3B48"/>
    <w:rsid w:val="009B4BF5"/>
    <w:rsid w:val="009B56DE"/>
    <w:rsid w:val="009D11AB"/>
    <w:rsid w:val="009D194D"/>
    <w:rsid w:val="009D2336"/>
    <w:rsid w:val="009D2752"/>
    <w:rsid w:val="009D3471"/>
    <w:rsid w:val="009D412E"/>
    <w:rsid w:val="009D4CC4"/>
    <w:rsid w:val="009E07AB"/>
    <w:rsid w:val="009E4DA8"/>
    <w:rsid w:val="009E595E"/>
    <w:rsid w:val="009E66DF"/>
    <w:rsid w:val="009F42EA"/>
    <w:rsid w:val="00A05E7A"/>
    <w:rsid w:val="00A062B1"/>
    <w:rsid w:val="00A067F6"/>
    <w:rsid w:val="00A1007A"/>
    <w:rsid w:val="00A133A1"/>
    <w:rsid w:val="00A14D26"/>
    <w:rsid w:val="00A14D4D"/>
    <w:rsid w:val="00A15562"/>
    <w:rsid w:val="00A15917"/>
    <w:rsid w:val="00A15B51"/>
    <w:rsid w:val="00A16FE2"/>
    <w:rsid w:val="00A21B32"/>
    <w:rsid w:val="00A23ABF"/>
    <w:rsid w:val="00A25E91"/>
    <w:rsid w:val="00A33414"/>
    <w:rsid w:val="00A3507E"/>
    <w:rsid w:val="00A36EF3"/>
    <w:rsid w:val="00A37498"/>
    <w:rsid w:val="00A47932"/>
    <w:rsid w:val="00A507F8"/>
    <w:rsid w:val="00A50F48"/>
    <w:rsid w:val="00A512F7"/>
    <w:rsid w:val="00A61735"/>
    <w:rsid w:val="00A62761"/>
    <w:rsid w:val="00A637FA"/>
    <w:rsid w:val="00A67E46"/>
    <w:rsid w:val="00A760F7"/>
    <w:rsid w:val="00A76BF7"/>
    <w:rsid w:val="00A84336"/>
    <w:rsid w:val="00A84431"/>
    <w:rsid w:val="00A85A64"/>
    <w:rsid w:val="00A91C11"/>
    <w:rsid w:val="00A94E5B"/>
    <w:rsid w:val="00A96E58"/>
    <w:rsid w:val="00A97559"/>
    <w:rsid w:val="00AA3124"/>
    <w:rsid w:val="00AA3D85"/>
    <w:rsid w:val="00AA4059"/>
    <w:rsid w:val="00AA5EF0"/>
    <w:rsid w:val="00AA7849"/>
    <w:rsid w:val="00AA7A0D"/>
    <w:rsid w:val="00AB43C1"/>
    <w:rsid w:val="00AB4EA7"/>
    <w:rsid w:val="00AC4A04"/>
    <w:rsid w:val="00AC5D64"/>
    <w:rsid w:val="00AC7EE1"/>
    <w:rsid w:val="00AD3122"/>
    <w:rsid w:val="00AD5A5A"/>
    <w:rsid w:val="00AD63C1"/>
    <w:rsid w:val="00AD74F3"/>
    <w:rsid w:val="00AE0CBA"/>
    <w:rsid w:val="00AE2B23"/>
    <w:rsid w:val="00AE3FCE"/>
    <w:rsid w:val="00AE56C4"/>
    <w:rsid w:val="00AE673A"/>
    <w:rsid w:val="00AE6991"/>
    <w:rsid w:val="00AE6A5B"/>
    <w:rsid w:val="00AF1B4C"/>
    <w:rsid w:val="00AF321F"/>
    <w:rsid w:val="00AF4FFD"/>
    <w:rsid w:val="00AF7C0F"/>
    <w:rsid w:val="00B0298A"/>
    <w:rsid w:val="00B034EE"/>
    <w:rsid w:val="00B06C79"/>
    <w:rsid w:val="00B11B5E"/>
    <w:rsid w:val="00B14F9C"/>
    <w:rsid w:val="00B15B8A"/>
    <w:rsid w:val="00B17F43"/>
    <w:rsid w:val="00B246B6"/>
    <w:rsid w:val="00B26CB1"/>
    <w:rsid w:val="00B27C13"/>
    <w:rsid w:val="00B312B0"/>
    <w:rsid w:val="00B31D6F"/>
    <w:rsid w:val="00B34245"/>
    <w:rsid w:val="00B37A1A"/>
    <w:rsid w:val="00B44D6C"/>
    <w:rsid w:val="00B45714"/>
    <w:rsid w:val="00B501F8"/>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111C"/>
    <w:rsid w:val="00B829D2"/>
    <w:rsid w:val="00B84E79"/>
    <w:rsid w:val="00B86930"/>
    <w:rsid w:val="00B87475"/>
    <w:rsid w:val="00B92579"/>
    <w:rsid w:val="00B94A79"/>
    <w:rsid w:val="00B97A56"/>
    <w:rsid w:val="00BA1AAD"/>
    <w:rsid w:val="00BA2577"/>
    <w:rsid w:val="00BA390D"/>
    <w:rsid w:val="00BA53A3"/>
    <w:rsid w:val="00BA799E"/>
    <w:rsid w:val="00BB466C"/>
    <w:rsid w:val="00BB51D8"/>
    <w:rsid w:val="00BB5581"/>
    <w:rsid w:val="00BB5F2D"/>
    <w:rsid w:val="00BB7C8E"/>
    <w:rsid w:val="00BC4A6D"/>
    <w:rsid w:val="00BC4ED7"/>
    <w:rsid w:val="00BC5052"/>
    <w:rsid w:val="00BC6D8C"/>
    <w:rsid w:val="00BD1496"/>
    <w:rsid w:val="00BD58B5"/>
    <w:rsid w:val="00BE1441"/>
    <w:rsid w:val="00BE20F3"/>
    <w:rsid w:val="00BE439A"/>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4EC2"/>
    <w:rsid w:val="00C15A0D"/>
    <w:rsid w:val="00C20E4B"/>
    <w:rsid w:val="00C21B8C"/>
    <w:rsid w:val="00C2460B"/>
    <w:rsid w:val="00C30392"/>
    <w:rsid w:val="00C30BB3"/>
    <w:rsid w:val="00C42B27"/>
    <w:rsid w:val="00C47E88"/>
    <w:rsid w:val="00C5020E"/>
    <w:rsid w:val="00C55B14"/>
    <w:rsid w:val="00C5675A"/>
    <w:rsid w:val="00C5714E"/>
    <w:rsid w:val="00C57769"/>
    <w:rsid w:val="00C615B9"/>
    <w:rsid w:val="00C67A86"/>
    <w:rsid w:val="00C67C02"/>
    <w:rsid w:val="00C70452"/>
    <w:rsid w:val="00C74BEB"/>
    <w:rsid w:val="00C772DF"/>
    <w:rsid w:val="00C826AA"/>
    <w:rsid w:val="00C84C23"/>
    <w:rsid w:val="00C87569"/>
    <w:rsid w:val="00C90E48"/>
    <w:rsid w:val="00C93085"/>
    <w:rsid w:val="00C95AC7"/>
    <w:rsid w:val="00C95C3F"/>
    <w:rsid w:val="00C96172"/>
    <w:rsid w:val="00CA4D22"/>
    <w:rsid w:val="00CA66D2"/>
    <w:rsid w:val="00CB1FD1"/>
    <w:rsid w:val="00CB2601"/>
    <w:rsid w:val="00CB2BF9"/>
    <w:rsid w:val="00CB5239"/>
    <w:rsid w:val="00CC09C0"/>
    <w:rsid w:val="00CC1A6A"/>
    <w:rsid w:val="00CC2AE8"/>
    <w:rsid w:val="00CC2F62"/>
    <w:rsid w:val="00CC3D0A"/>
    <w:rsid w:val="00CD055A"/>
    <w:rsid w:val="00CD1BFC"/>
    <w:rsid w:val="00CD7958"/>
    <w:rsid w:val="00CD7BBD"/>
    <w:rsid w:val="00CE02CD"/>
    <w:rsid w:val="00CE4565"/>
    <w:rsid w:val="00CE553B"/>
    <w:rsid w:val="00CE7EF7"/>
    <w:rsid w:val="00CF0C86"/>
    <w:rsid w:val="00CF370A"/>
    <w:rsid w:val="00CF38B8"/>
    <w:rsid w:val="00CF4FA1"/>
    <w:rsid w:val="00CF56AB"/>
    <w:rsid w:val="00CF723A"/>
    <w:rsid w:val="00CF7B3F"/>
    <w:rsid w:val="00CF7F80"/>
    <w:rsid w:val="00D002E8"/>
    <w:rsid w:val="00D01D7E"/>
    <w:rsid w:val="00D041BF"/>
    <w:rsid w:val="00D043DC"/>
    <w:rsid w:val="00D063E4"/>
    <w:rsid w:val="00D11B4D"/>
    <w:rsid w:val="00D11DED"/>
    <w:rsid w:val="00D12C30"/>
    <w:rsid w:val="00D17FE4"/>
    <w:rsid w:val="00D2020B"/>
    <w:rsid w:val="00D2159D"/>
    <w:rsid w:val="00D22073"/>
    <w:rsid w:val="00D22416"/>
    <w:rsid w:val="00D2305B"/>
    <w:rsid w:val="00D236E3"/>
    <w:rsid w:val="00D2404A"/>
    <w:rsid w:val="00D26516"/>
    <w:rsid w:val="00D319CE"/>
    <w:rsid w:val="00D34EA3"/>
    <w:rsid w:val="00D40D4D"/>
    <w:rsid w:val="00D42E2C"/>
    <w:rsid w:val="00D43B2F"/>
    <w:rsid w:val="00D45D37"/>
    <w:rsid w:val="00D50203"/>
    <w:rsid w:val="00D53AF5"/>
    <w:rsid w:val="00D5693B"/>
    <w:rsid w:val="00D56CCB"/>
    <w:rsid w:val="00D601FF"/>
    <w:rsid w:val="00D60829"/>
    <w:rsid w:val="00D61B76"/>
    <w:rsid w:val="00D62E33"/>
    <w:rsid w:val="00D63F0F"/>
    <w:rsid w:val="00D6542D"/>
    <w:rsid w:val="00D67B66"/>
    <w:rsid w:val="00D70BCE"/>
    <w:rsid w:val="00D74EAC"/>
    <w:rsid w:val="00D75DDB"/>
    <w:rsid w:val="00D7673A"/>
    <w:rsid w:val="00D76769"/>
    <w:rsid w:val="00D82D2F"/>
    <w:rsid w:val="00D83F50"/>
    <w:rsid w:val="00D86CC4"/>
    <w:rsid w:val="00D92821"/>
    <w:rsid w:val="00DA163B"/>
    <w:rsid w:val="00DA18FE"/>
    <w:rsid w:val="00DA50F3"/>
    <w:rsid w:val="00DB183B"/>
    <w:rsid w:val="00DB4D79"/>
    <w:rsid w:val="00DB5E8B"/>
    <w:rsid w:val="00DB686D"/>
    <w:rsid w:val="00DB6DDC"/>
    <w:rsid w:val="00DB7228"/>
    <w:rsid w:val="00DC34F6"/>
    <w:rsid w:val="00DC7994"/>
    <w:rsid w:val="00DD03A5"/>
    <w:rsid w:val="00DD2AF7"/>
    <w:rsid w:val="00DD67A0"/>
    <w:rsid w:val="00DD75DD"/>
    <w:rsid w:val="00DE310B"/>
    <w:rsid w:val="00DE3CE9"/>
    <w:rsid w:val="00DE4DA7"/>
    <w:rsid w:val="00DE7FA4"/>
    <w:rsid w:val="00DF56A7"/>
    <w:rsid w:val="00DF7A95"/>
    <w:rsid w:val="00E01BBD"/>
    <w:rsid w:val="00E04F9E"/>
    <w:rsid w:val="00E07C23"/>
    <w:rsid w:val="00E10E4C"/>
    <w:rsid w:val="00E110AC"/>
    <w:rsid w:val="00E11EDC"/>
    <w:rsid w:val="00E12417"/>
    <w:rsid w:val="00E1341D"/>
    <w:rsid w:val="00E13EBF"/>
    <w:rsid w:val="00E143EB"/>
    <w:rsid w:val="00E152C4"/>
    <w:rsid w:val="00E156D1"/>
    <w:rsid w:val="00E2455C"/>
    <w:rsid w:val="00E24627"/>
    <w:rsid w:val="00E25EDA"/>
    <w:rsid w:val="00E273ED"/>
    <w:rsid w:val="00E2760C"/>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2842"/>
    <w:rsid w:val="00E57210"/>
    <w:rsid w:val="00E57729"/>
    <w:rsid w:val="00E57914"/>
    <w:rsid w:val="00E632CC"/>
    <w:rsid w:val="00E646A7"/>
    <w:rsid w:val="00E65776"/>
    <w:rsid w:val="00E66765"/>
    <w:rsid w:val="00E72CC1"/>
    <w:rsid w:val="00E7422B"/>
    <w:rsid w:val="00E77844"/>
    <w:rsid w:val="00E812AD"/>
    <w:rsid w:val="00E816C8"/>
    <w:rsid w:val="00E82BCD"/>
    <w:rsid w:val="00E85790"/>
    <w:rsid w:val="00E92A18"/>
    <w:rsid w:val="00E9488F"/>
    <w:rsid w:val="00E962EC"/>
    <w:rsid w:val="00EA05CB"/>
    <w:rsid w:val="00EA289E"/>
    <w:rsid w:val="00EA40E9"/>
    <w:rsid w:val="00EB1CCE"/>
    <w:rsid w:val="00EB3CC7"/>
    <w:rsid w:val="00EB73B7"/>
    <w:rsid w:val="00EB77C0"/>
    <w:rsid w:val="00EC02CA"/>
    <w:rsid w:val="00EC1888"/>
    <w:rsid w:val="00EC51EB"/>
    <w:rsid w:val="00EC571B"/>
    <w:rsid w:val="00EC5C48"/>
    <w:rsid w:val="00EC5EDE"/>
    <w:rsid w:val="00EC6FC7"/>
    <w:rsid w:val="00EC70CB"/>
    <w:rsid w:val="00ED0B96"/>
    <w:rsid w:val="00ED0E67"/>
    <w:rsid w:val="00ED1066"/>
    <w:rsid w:val="00ED1EFA"/>
    <w:rsid w:val="00ED2EAD"/>
    <w:rsid w:val="00ED3394"/>
    <w:rsid w:val="00ED42FB"/>
    <w:rsid w:val="00ED4FEE"/>
    <w:rsid w:val="00ED53A7"/>
    <w:rsid w:val="00ED7DDA"/>
    <w:rsid w:val="00EE0721"/>
    <w:rsid w:val="00EE1435"/>
    <w:rsid w:val="00EE4B6E"/>
    <w:rsid w:val="00EE53EA"/>
    <w:rsid w:val="00EE571B"/>
    <w:rsid w:val="00EF08C6"/>
    <w:rsid w:val="00EF4FB6"/>
    <w:rsid w:val="00EF5BD0"/>
    <w:rsid w:val="00F023BA"/>
    <w:rsid w:val="00F05598"/>
    <w:rsid w:val="00F06F2E"/>
    <w:rsid w:val="00F102AF"/>
    <w:rsid w:val="00F10AFA"/>
    <w:rsid w:val="00F123E1"/>
    <w:rsid w:val="00F13B16"/>
    <w:rsid w:val="00F17731"/>
    <w:rsid w:val="00F21C7B"/>
    <w:rsid w:val="00F23C40"/>
    <w:rsid w:val="00F258E6"/>
    <w:rsid w:val="00F263AE"/>
    <w:rsid w:val="00F30149"/>
    <w:rsid w:val="00F32BF6"/>
    <w:rsid w:val="00F3614C"/>
    <w:rsid w:val="00F419A2"/>
    <w:rsid w:val="00F46B17"/>
    <w:rsid w:val="00F46B4D"/>
    <w:rsid w:val="00F56228"/>
    <w:rsid w:val="00F562E1"/>
    <w:rsid w:val="00F600D5"/>
    <w:rsid w:val="00F618FF"/>
    <w:rsid w:val="00F620E5"/>
    <w:rsid w:val="00F62943"/>
    <w:rsid w:val="00F6321E"/>
    <w:rsid w:val="00F6321F"/>
    <w:rsid w:val="00F6397F"/>
    <w:rsid w:val="00F63C1F"/>
    <w:rsid w:val="00F676E2"/>
    <w:rsid w:val="00F70090"/>
    <w:rsid w:val="00F70C81"/>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2DF"/>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
    <w:basedOn w:val="a"/>
    <w:link w:val="ab"/>
    <w:uiPriority w:val="34"/>
    <w:qFormat/>
    <w:pPr>
      <w:ind w:left="720"/>
      <w:contextualSpacing/>
    </w:pPr>
  </w:style>
  <w:style w:type="character" w:styleId="ac">
    <w:name w:val="annotation reference"/>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character" w:customStyle="1" w:styleId="Doc-text2Char">
    <w:name w:val="Doc-text2 Char"/>
    <w:link w:val="Doc-text2"/>
    <w:qFormat/>
    <w:locked/>
    <w:rsid w:val="00200322"/>
    <w:rPr>
      <w:rFonts w:ascii="Arial" w:eastAsia="MS Mincho" w:hAnsi="Arial" w:cs="Arial"/>
      <w:szCs w:val="24"/>
    </w:rPr>
  </w:style>
  <w:style w:type="paragraph" w:customStyle="1" w:styleId="Doc-text2">
    <w:name w:val="Doc-text2"/>
    <w:basedOn w:val="a"/>
    <w:link w:val="Doc-text2Char"/>
    <w:qFormat/>
    <w:rsid w:val="00200322"/>
    <w:pPr>
      <w:tabs>
        <w:tab w:val="left" w:pos="1622"/>
      </w:tabs>
      <w:spacing w:after="160" w:line="259" w:lineRule="auto"/>
      <w:ind w:left="1622" w:hanging="363"/>
    </w:pPr>
    <w:rPr>
      <w:rFonts w:ascii="Arial" w:eastAsia="MS Mincho" w:hAnsi="Arial" w:cs="Arial"/>
      <w:lang w:eastAsia="zh-CN"/>
    </w:rPr>
  </w:style>
  <w:style w:type="paragraph" w:styleId="af6">
    <w:name w:val="Revision"/>
    <w:hidden/>
    <w:uiPriority w:val="99"/>
    <w:semiHidden/>
    <w:rsid w:val="0014144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162624819">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507262">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94921063">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customXml/itemProps2.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Lenovo</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Lenovo</dc:creator>
  <cp:keywords/>
  <cp:lastModifiedBy>Zhennian ZN1 Sun</cp:lastModifiedBy>
  <cp:revision>126</cp:revision>
  <dcterms:created xsi:type="dcterms:W3CDTF">2023-02-14T01:07:00Z</dcterms:created>
  <dcterms:modified xsi:type="dcterms:W3CDTF">2023-02-16T06:41:00Z</dcterms:modified>
</cp:coreProperties>
</file>