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2E2E" w14:textId="77777777" w:rsidR="007C60E3" w:rsidRPr="00595AD5" w:rsidRDefault="007C60E3" w:rsidP="007C60E3">
      <w:pPr>
        <w:spacing w:after="0" w:line="240" w:lineRule="auto"/>
        <w:jc w:val="both"/>
        <w:rPr>
          <w:rFonts w:ascii="Arial" w:eastAsia="宋体" w:hAnsi="Arial" w:cs="Arial"/>
          <w:color w:val="000000"/>
          <w:sz w:val="16"/>
          <w:szCs w:val="16"/>
        </w:rPr>
      </w:pPr>
      <w:r>
        <w:rPr>
          <w:rFonts w:ascii="Arial" w:hAnsi="Arial" w:cs="Arial"/>
          <w:b/>
        </w:rPr>
        <w:t xml:space="preserve">3GPPTSG RAN WG1 #112                                      </w:t>
      </w:r>
      <w:r w:rsidRPr="00595AD5">
        <w:rPr>
          <w:rFonts w:ascii="Arial" w:hAnsi="Arial" w:cs="Arial"/>
          <w:b/>
        </w:rPr>
        <w:t>R1-</w:t>
      </w:r>
      <w:r>
        <w:rPr>
          <w:rFonts w:ascii="Arial" w:hAnsi="Arial" w:cs="Arial"/>
          <w:b/>
        </w:rPr>
        <w:t>2300538</w:t>
      </w:r>
    </w:p>
    <w:p w14:paraId="5726608B" w14:textId="77777777" w:rsidR="007C60E3" w:rsidRPr="00595AD5" w:rsidRDefault="007C60E3" w:rsidP="007C60E3">
      <w:pPr>
        <w:tabs>
          <w:tab w:val="right" w:pos="9630"/>
        </w:tabs>
        <w:snapToGrid w:val="0"/>
        <w:spacing w:after="0"/>
        <w:jc w:val="both"/>
        <w:rPr>
          <w:rFonts w:ascii="Arial" w:hAnsi="Arial" w:cs="Arial"/>
        </w:rPr>
      </w:pPr>
    </w:p>
    <w:p w14:paraId="7652996C" w14:textId="77777777" w:rsidR="007C60E3" w:rsidRPr="006474D9" w:rsidRDefault="007C60E3" w:rsidP="007C60E3">
      <w:pPr>
        <w:tabs>
          <w:tab w:val="center" w:pos="4536"/>
          <w:tab w:val="right" w:pos="9072"/>
        </w:tabs>
        <w:spacing w:after="0"/>
        <w:rPr>
          <w:rFonts w:ascii="Arial" w:hAnsi="Arial" w:cs="Arial"/>
          <w:b/>
        </w:rPr>
      </w:pPr>
      <w:r>
        <w:rPr>
          <w:rFonts w:ascii="Arial" w:hAnsi="Arial" w:cs="Arial"/>
          <w:b/>
        </w:rPr>
        <w:t>A</w:t>
      </w:r>
      <w:r>
        <w:rPr>
          <w:rFonts w:ascii="Arial" w:hAnsi="Arial" w:cs="Arial" w:hint="eastAsia"/>
          <w:b/>
        </w:rPr>
        <w:t>thens</w:t>
      </w:r>
      <w:r w:rsidRPr="006474D9">
        <w:rPr>
          <w:rFonts w:ascii="Arial" w:hAnsi="Arial" w:cs="Arial"/>
          <w:b/>
        </w:rPr>
        <w:t xml:space="preserve">, </w:t>
      </w:r>
      <w:r>
        <w:rPr>
          <w:rFonts w:ascii="Arial" w:hAnsi="Arial" w:cs="Arial"/>
          <w:b/>
        </w:rPr>
        <w:t>Greece</w:t>
      </w:r>
      <w:r w:rsidRPr="006474D9">
        <w:rPr>
          <w:rFonts w:ascii="Arial" w:hAnsi="Arial" w:cs="Arial"/>
          <w:b/>
        </w:rPr>
        <w:t xml:space="preserve">, </w:t>
      </w:r>
      <w:r>
        <w:rPr>
          <w:rFonts w:ascii="Arial" w:hAnsi="Arial" w:cs="Arial"/>
          <w:b/>
        </w:rPr>
        <w:t>February</w:t>
      </w:r>
      <w:r w:rsidRPr="006474D9">
        <w:rPr>
          <w:rFonts w:ascii="Arial" w:hAnsi="Arial" w:cs="Arial"/>
          <w:b/>
        </w:rPr>
        <w:t xml:space="preserve"> </w:t>
      </w:r>
      <w:r>
        <w:rPr>
          <w:rFonts w:ascii="Arial" w:hAnsi="Arial" w:cs="Arial"/>
          <w:b/>
        </w:rPr>
        <w:t>27</w:t>
      </w:r>
      <w:r w:rsidRPr="006474D9">
        <w:rPr>
          <w:rFonts w:ascii="Arial" w:hAnsi="Arial" w:cs="Arial"/>
          <w:b/>
        </w:rPr>
        <w:t xml:space="preserve">th – </w:t>
      </w:r>
      <w:r>
        <w:rPr>
          <w:rFonts w:ascii="Arial" w:hAnsi="Arial" w:cs="Arial"/>
          <w:b/>
        </w:rPr>
        <w:t>March 3rd</w:t>
      </w:r>
      <w:r w:rsidRPr="006474D9">
        <w:rPr>
          <w:rFonts w:ascii="Arial" w:hAnsi="Arial" w:cs="Arial"/>
          <w:b/>
        </w:rPr>
        <w:t>, 202</w:t>
      </w:r>
      <w:r>
        <w:rPr>
          <w:rFonts w:ascii="Arial" w:hAnsi="Arial" w:cs="Arial"/>
          <w:b/>
        </w:rPr>
        <w:t>3</w:t>
      </w:r>
    </w:p>
    <w:p w14:paraId="59D4B7C6" w14:textId="77777777" w:rsidR="007C60E3" w:rsidRPr="006474D9" w:rsidRDefault="007C60E3" w:rsidP="007C60E3">
      <w:pPr>
        <w:tabs>
          <w:tab w:val="center" w:pos="4536"/>
          <w:tab w:val="right" w:pos="8280"/>
          <w:tab w:val="right" w:pos="9639"/>
        </w:tabs>
        <w:snapToGrid w:val="0"/>
        <w:spacing w:after="0" w:line="240" w:lineRule="auto"/>
        <w:ind w:right="2"/>
        <w:jc w:val="both"/>
        <w:rPr>
          <w:rFonts w:ascii="Arial" w:eastAsia="宋体" w:hAnsi="Arial" w:cs="Arial"/>
          <w:b/>
          <w:lang w:val="en-GB"/>
        </w:rPr>
      </w:pPr>
    </w:p>
    <w:p w14:paraId="509B045D" w14:textId="77777777" w:rsidR="007C60E3" w:rsidRDefault="007C60E3" w:rsidP="007C60E3">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BUPT</w:t>
      </w:r>
    </w:p>
    <w:p w14:paraId="66035107" w14:textId="77777777" w:rsidR="007C60E3" w:rsidRPr="009C01F0" w:rsidRDefault="007C60E3" w:rsidP="007C60E3">
      <w:pPr>
        <w:spacing w:after="0" w:line="240" w:lineRule="auto"/>
        <w:jc w:val="both"/>
        <w:rPr>
          <w:rFonts w:ascii="Arial" w:eastAsia="宋体" w:hAnsi="Arial" w:cs="Arial"/>
          <w:sz w:val="16"/>
          <w:szCs w:val="16"/>
        </w:rPr>
      </w:pPr>
      <w:r>
        <w:rPr>
          <w:rFonts w:ascii="Arial" w:eastAsia="宋体" w:hAnsi="Arial" w:cs="Arial"/>
          <w:b/>
        </w:rPr>
        <w:t xml:space="preserve">Title:           </w:t>
      </w:r>
      <w:r w:rsidRPr="009C01F0">
        <w:rPr>
          <w:rFonts w:ascii="Arial" w:eastAsia="宋体" w:hAnsi="Arial" w:cs="Arial"/>
          <w:b/>
        </w:rPr>
        <w:t>Discussions on Carrier Phase Measurement for NR Positioning</w:t>
      </w:r>
    </w:p>
    <w:p w14:paraId="2848734E" w14:textId="77777777" w:rsidR="007C60E3" w:rsidRPr="00595AD5" w:rsidRDefault="007C60E3" w:rsidP="007C60E3">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p>
    <w:p w14:paraId="7E7C312D" w14:textId="77777777" w:rsidR="007C60E3" w:rsidRDefault="007C60E3" w:rsidP="007C60E3">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w:t>
      </w:r>
      <w:r>
        <w:rPr>
          <w:rFonts w:ascii="Arial" w:eastAsia="宋体" w:hAnsi="Arial" w:cs="Arial" w:hint="eastAsia"/>
          <w:b/>
        </w:rPr>
        <w:t>5</w:t>
      </w:r>
      <w:r>
        <w:rPr>
          <w:rFonts w:ascii="Arial" w:eastAsia="宋体" w:hAnsi="Arial" w:cs="Arial"/>
          <w:b/>
        </w:rPr>
        <w:t>.</w:t>
      </w:r>
      <w:r>
        <w:rPr>
          <w:rFonts w:ascii="Arial" w:eastAsia="宋体" w:hAnsi="Arial" w:cs="Arial" w:hint="eastAsia"/>
          <w:b/>
        </w:rPr>
        <w:t>2</w:t>
      </w:r>
    </w:p>
    <w:p w14:paraId="7D77943D" w14:textId="77777777" w:rsidR="007C60E3" w:rsidRDefault="007C60E3" w:rsidP="007C60E3">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Discussion</w:t>
      </w:r>
    </w:p>
    <w:p w14:paraId="6F7EE2F7" w14:textId="77777777" w:rsidR="007C60E3" w:rsidRDefault="007C60E3" w:rsidP="007C60E3">
      <w:pPr>
        <w:pStyle w:val="1"/>
        <w:snapToGrid w:val="0"/>
        <w:spacing w:beforeLines="50" w:before="156" w:afterLines="50" w:after="156"/>
        <w:ind w:left="431" w:hanging="431"/>
        <w:jc w:val="both"/>
        <w:rPr>
          <w:sz w:val="28"/>
          <w:lang w:val="en-US"/>
        </w:rPr>
      </w:pPr>
      <w:r>
        <w:rPr>
          <w:sz w:val="28"/>
          <w:lang w:val="en-US"/>
        </w:rPr>
        <w:t>Introduction</w:t>
      </w:r>
    </w:p>
    <w:p w14:paraId="0CD5A416" w14:textId="7206B3EF" w:rsidR="007C60E3" w:rsidRPr="00A24E72" w:rsidRDefault="007C60E3" w:rsidP="007C60E3">
      <w:pPr>
        <w:rPr>
          <w:rFonts w:ascii="Times New Roman" w:hAnsi="Times New Roman"/>
          <w:sz w:val="20"/>
          <w:szCs w:val="20"/>
        </w:rPr>
      </w:pPr>
      <w:r w:rsidRPr="00A24E72">
        <w:rPr>
          <w:rFonts w:ascii="Times New Roman" w:hAnsi="Times New Roman"/>
          <w:sz w:val="20"/>
          <w:szCs w:val="20"/>
        </w:rPr>
        <w:t>In</w:t>
      </w:r>
      <w:r w:rsidRPr="00A24E72">
        <w:rPr>
          <w:rFonts w:ascii="Times New Roman" w:hAnsi="Times New Roman"/>
          <w:sz w:val="20"/>
          <w:szCs w:val="20"/>
        </w:rPr>
        <w:t xml:space="preserve"> RAN #94 meeting, representatives agreed to expand and improve the SID research of NR positioning RP-213588 [1], including the following objectives related to carrier phase measurement:</w:t>
      </w:r>
    </w:p>
    <w:tbl>
      <w:tblPr>
        <w:tblStyle w:val="a7"/>
        <w:tblW w:w="0" w:type="auto"/>
        <w:tblInd w:w="0" w:type="dxa"/>
        <w:tblLook w:val="04A0" w:firstRow="1" w:lastRow="0" w:firstColumn="1" w:lastColumn="0" w:noHBand="0" w:noVBand="1"/>
      </w:tblPr>
      <w:tblGrid>
        <w:gridCol w:w="8296"/>
      </w:tblGrid>
      <w:tr w:rsidR="007C60E3" w14:paraId="6DF02C64" w14:textId="77777777" w:rsidTr="006873B8">
        <w:tc>
          <w:tcPr>
            <w:tcW w:w="8296" w:type="dxa"/>
            <w:tcBorders>
              <w:top w:val="single" w:sz="4" w:space="0" w:color="auto"/>
              <w:left w:val="single" w:sz="4" w:space="0" w:color="auto"/>
              <w:bottom w:val="single" w:sz="4" w:space="0" w:color="auto"/>
              <w:right w:val="single" w:sz="4" w:space="0" w:color="auto"/>
            </w:tcBorders>
            <w:hideMark/>
          </w:tcPr>
          <w:p w14:paraId="7B048D52" w14:textId="77777777" w:rsidR="007C60E3" w:rsidRPr="00A24E72" w:rsidRDefault="007C60E3" w:rsidP="00FB49FF">
            <w:pPr>
              <w:numPr>
                <w:ilvl w:val="0"/>
                <w:numId w:val="2"/>
              </w:numPr>
              <w:overflowPunct w:val="0"/>
              <w:autoSpaceDE w:val="0"/>
              <w:autoSpaceDN w:val="0"/>
              <w:adjustRightInd w:val="0"/>
              <w:spacing w:after="0" w:line="240" w:lineRule="auto"/>
              <w:textAlignment w:val="baseline"/>
              <w:rPr>
                <w:rFonts w:ascii="Times New Roman" w:hAnsi="Times New Roman"/>
                <w:bCs/>
                <w:sz w:val="20"/>
              </w:rPr>
            </w:pPr>
            <w:r w:rsidRPr="00A24E72">
              <w:rPr>
                <w:rFonts w:ascii="Times New Roman" w:hAnsi="Times New Roman"/>
                <w:bCs/>
                <w:sz w:val="20"/>
              </w:rPr>
              <w:t>Study solutions for accuracy improvement based on NR carrier phase measurements [RAN1, RAN4]</w:t>
            </w:r>
          </w:p>
          <w:p w14:paraId="78AE7EDE" w14:textId="77777777" w:rsidR="007C60E3" w:rsidRPr="00A24E72" w:rsidRDefault="007C60E3" w:rsidP="00FB49FF">
            <w:pPr>
              <w:numPr>
                <w:ilvl w:val="1"/>
                <w:numId w:val="3"/>
              </w:numPr>
              <w:overflowPunct w:val="0"/>
              <w:autoSpaceDE w:val="0"/>
              <w:autoSpaceDN w:val="0"/>
              <w:adjustRightInd w:val="0"/>
              <w:spacing w:after="0" w:line="240" w:lineRule="auto"/>
              <w:textAlignment w:val="baseline"/>
              <w:rPr>
                <w:rFonts w:ascii="Times New Roman" w:eastAsia="宋体" w:hAnsi="Times New Roman"/>
                <w:sz w:val="20"/>
              </w:rPr>
            </w:pPr>
            <w:r w:rsidRPr="00A24E72">
              <w:rPr>
                <w:rFonts w:ascii="Times New Roman" w:hAnsi="Times New Roman"/>
                <w:bCs/>
                <w:sz w:val="20"/>
              </w:rPr>
              <w:t>Reference signals, physical layer measurements, physical layer procedures to enable positioning based on NR carrier phase measurements for both UE-based and UE-assisted positioning [RAN1]</w:t>
            </w:r>
          </w:p>
          <w:p w14:paraId="5946030F" w14:textId="5A59CC01" w:rsidR="007C60E3" w:rsidRDefault="007C60E3" w:rsidP="00FB49FF">
            <w:pPr>
              <w:numPr>
                <w:ilvl w:val="1"/>
                <w:numId w:val="3"/>
              </w:numPr>
              <w:overflowPunct w:val="0"/>
              <w:autoSpaceDE w:val="0"/>
              <w:autoSpaceDN w:val="0"/>
              <w:adjustRightInd w:val="0"/>
              <w:spacing w:after="0" w:line="240" w:lineRule="auto"/>
              <w:textAlignment w:val="baseline"/>
              <w:rPr>
                <w:rFonts w:eastAsia="宋体"/>
              </w:rPr>
            </w:pPr>
            <w:r w:rsidRPr="00A24E72">
              <w:rPr>
                <w:rFonts w:ascii="Times New Roman" w:hAnsi="Times New Roman"/>
                <w:bCs/>
                <w:sz w:val="20"/>
              </w:rPr>
              <w:t>Focus on reuse of existing PRS and SRS, with new reference signals only considered if found necessary</w:t>
            </w:r>
            <w:r w:rsidR="00A24E72" w:rsidRPr="00A24E72">
              <w:rPr>
                <w:rFonts w:ascii="Times New Roman" w:hAnsi="Times New Roman"/>
                <w:bCs/>
                <w:sz w:val="20"/>
              </w:rPr>
              <w:t>.</w:t>
            </w:r>
          </w:p>
        </w:tc>
      </w:tr>
    </w:tbl>
    <w:p w14:paraId="4BAB7C8A" w14:textId="24B79FE8" w:rsidR="007C60E3" w:rsidRPr="00107EDD" w:rsidRDefault="006873B8" w:rsidP="006873B8">
      <w:pPr>
        <w:spacing w:before="240"/>
        <w:rPr>
          <w:rFonts w:ascii="Times New Roman" w:hAnsi="Times New Roman"/>
          <w:sz w:val="20"/>
          <w:szCs w:val="20"/>
        </w:rPr>
      </w:pPr>
      <w:r w:rsidRPr="00107EDD">
        <w:rPr>
          <w:rFonts w:ascii="Times New Roman" w:hAnsi="Times New Roman"/>
          <w:sz w:val="20"/>
          <w:szCs w:val="20"/>
        </w:rPr>
        <w:t>In</w:t>
      </w:r>
      <w:r w:rsidRPr="00107EDD">
        <w:rPr>
          <w:rFonts w:ascii="Times New Roman" w:hAnsi="Times New Roman"/>
          <w:sz w:val="20"/>
          <w:szCs w:val="20"/>
        </w:rPr>
        <w:t xml:space="preserve"> RAN1 #111 meeting, participants reached a series of agreements. In this article, we will elaborate some views on carrier phase measurement.</w:t>
      </w:r>
    </w:p>
    <w:p w14:paraId="337E49BE" w14:textId="209A3900" w:rsidR="006873B8" w:rsidRPr="00107EDD" w:rsidRDefault="006873B8" w:rsidP="006873B8">
      <w:pPr>
        <w:spacing w:before="240"/>
        <w:rPr>
          <w:rFonts w:ascii="Times New Roman" w:hAnsi="Times New Roman"/>
          <w:sz w:val="20"/>
          <w:szCs w:val="20"/>
        </w:rPr>
      </w:pPr>
      <w:r w:rsidRPr="00107EDD">
        <w:rPr>
          <w:rFonts w:ascii="Times New Roman" w:hAnsi="Times New Roman"/>
          <w:sz w:val="20"/>
          <w:szCs w:val="20"/>
        </w:rPr>
        <w:t>Some problems about carrier phase measurement and positioning were discussed in RAN</w:t>
      </w:r>
      <w:r w:rsidRPr="00107EDD">
        <w:rPr>
          <w:rFonts w:ascii="Times New Roman" w:hAnsi="Times New Roman"/>
          <w:sz w:val="20"/>
          <w:szCs w:val="20"/>
        </w:rPr>
        <w:t xml:space="preserve">1 </w:t>
      </w:r>
      <w:r w:rsidRPr="00107EDD">
        <w:rPr>
          <w:rFonts w:ascii="Times New Roman" w:hAnsi="Times New Roman"/>
          <w:sz w:val="20"/>
          <w:szCs w:val="20"/>
        </w:rPr>
        <w:t>#111 meeting. A series of consensus has been achieved, and the following results have been achieved in the multipath suppression method of carrier phase positioning [2].</w:t>
      </w:r>
    </w:p>
    <w:tbl>
      <w:tblPr>
        <w:tblStyle w:val="a7"/>
        <w:tblW w:w="0" w:type="auto"/>
        <w:tblInd w:w="0" w:type="dxa"/>
        <w:tblLook w:val="04A0" w:firstRow="1" w:lastRow="0" w:firstColumn="1" w:lastColumn="0" w:noHBand="0" w:noVBand="1"/>
      </w:tblPr>
      <w:tblGrid>
        <w:gridCol w:w="8296"/>
      </w:tblGrid>
      <w:tr w:rsidR="009B54D5" w14:paraId="60BC3478" w14:textId="77777777" w:rsidTr="009B54D5">
        <w:trPr>
          <w:trHeight w:val="1821"/>
        </w:trPr>
        <w:tc>
          <w:tcPr>
            <w:tcW w:w="8296" w:type="dxa"/>
          </w:tcPr>
          <w:p w14:paraId="12D86DF5" w14:textId="77777777" w:rsidR="009B54D5" w:rsidRPr="00107EDD" w:rsidRDefault="009B54D5" w:rsidP="00FB49FF">
            <w:pPr>
              <w:rPr>
                <w:rFonts w:ascii="Times New Roman" w:hAnsi="Times New Roman"/>
                <w:b/>
                <w:i/>
                <w:iCs/>
                <w:sz w:val="20"/>
                <w:lang w:eastAsia="x-none"/>
              </w:rPr>
            </w:pPr>
            <w:r w:rsidRPr="00107EDD">
              <w:rPr>
                <w:rFonts w:ascii="Times New Roman" w:hAnsi="Times New Roman"/>
                <w:b/>
                <w:i/>
                <w:iCs/>
                <w:highlight w:val="green"/>
                <w:lang w:eastAsia="x-none"/>
              </w:rPr>
              <w:t>Agreement</w:t>
            </w:r>
          </w:p>
          <w:p w14:paraId="3C3A9491" w14:textId="47AA25F4" w:rsidR="009B54D5" w:rsidRPr="00107EDD" w:rsidRDefault="009B54D5" w:rsidP="00FB49FF">
            <w:pPr>
              <w:rPr>
                <w:rFonts w:ascii="Times New Roman" w:hAnsi="Times New Roman"/>
                <w:bCs/>
                <w:iCs/>
                <w:sz w:val="20"/>
                <w:lang w:eastAsia="en-US"/>
              </w:rPr>
            </w:pPr>
            <w:r w:rsidRPr="00107EDD">
              <w:rPr>
                <w:rFonts w:ascii="Times New Roman" w:hAnsi="Times New Roman"/>
                <w:bCs/>
                <w:iCs/>
                <w:sz w:val="20"/>
              </w:rPr>
              <w:t>Capture the following TP into TR 38.859 as a conclusion:</w:t>
            </w:r>
          </w:p>
          <w:p w14:paraId="2E625C0A" w14:textId="77777777" w:rsidR="009B54D5" w:rsidRPr="00107EDD" w:rsidRDefault="009B54D5" w:rsidP="00FB49FF">
            <w:pPr>
              <w:pStyle w:val="a8"/>
              <w:numPr>
                <w:ilvl w:val="0"/>
                <w:numId w:val="4"/>
              </w:numPr>
              <w:ind w:leftChars="0"/>
              <w:jc w:val="both"/>
              <w:rPr>
                <w:rFonts w:ascii="Times New Roman" w:hAnsi="Times New Roman"/>
                <w:i/>
                <w:iCs/>
                <w:szCs w:val="20"/>
                <w:lang w:val="en-CA" w:eastAsia="zh-CN"/>
              </w:rPr>
            </w:pPr>
            <w:r w:rsidRPr="00107EDD">
              <w:rPr>
                <w:rFonts w:ascii="Times New Roman" w:hAnsi="Times New Roman"/>
                <w:i/>
                <w:iCs/>
                <w:szCs w:val="20"/>
                <w:lang w:val="en-CA" w:eastAsia="zh-CN"/>
              </w:rPr>
              <w:t>Multipath mitigation methods for the carrier phase positioning are recommended to be introduced during normative work, if NR CPP is introduced. The candidate solutions may include, but are not limited to, the following:</w:t>
            </w:r>
          </w:p>
          <w:p w14:paraId="0E71AB8D" w14:textId="77777777" w:rsidR="009B54D5" w:rsidRPr="00107EDD" w:rsidRDefault="009B54D5" w:rsidP="00FB49FF">
            <w:pPr>
              <w:pStyle w:val="a8"/>
              <w:numPr>
                <w:ilvl w:val="1"/>
                <w:numId w:val="4"/>
              </w:numPr>
              <w:ind w:leftChars="0"/>
              <w:jc w:val="both"/>
              <w:rPr>
                <w:rFonts w:ascii="Times New Roman" w:hAnsi="Times New Roman"/>
                <w:i/>
                <w:iCs/>
                <w:szCs w:val="20"/>
                <w:lang w:val="en-CA" w:eastAsia="zh-CN"/>
              </w:rPr>
            </w:pPr>
            <w:r w:rsidRPr="00107EDD">
              <w:rPr>
                <w:rFonts w:ascii="Times New Roman" w:hAnsi="Times New Roman"/>
                <w:i/>
                <w:iCs/>
                <w:szCs w:val="20"/>
                <w:lang w:val="en-CA" w:eastAsia="zh-CN"/>
              </w:rPr>
              <w:t>Reporting of the carrier phase of the first path</w:t>
            </w:r>
          </w:p>
          <w:p w14:paraId="39CEF160" w14:textId="77777777" w:rsidR="009B54D5" w:rsidRPr="00107EDD" w:rsidRDefault="009B54D5" w:rsidP="00FB49FF">
            <w:pPr>
              <w:pStyle w:val="a8"/>
              <w:numPr>
                <w:ilvl w:val="1"/>
                <w:numId w:val="4"/>
              </w:numPr>
              <w:ind w:leftChars="0"/>
              <w:jc w:val="both"/>
              <w:rPr>
                <w:rFonts w:ascii="Times New Roman" w:hAnsi="Times New Roman"/>
                <w:i/>
                <w:iCs/>
                <w:szCs w:val="20"/>
                <w:lang w:val="en-CA" w:eastAsia="zh-CN"/>
              </w:rPr>
            </w:pPr>
            <w:r w:rsidRPr="00107EDD">
              <w:rPr>
                <w:rFonts w:ascii="Times New Roman" w:hAnsi="Times New Roman"/>
                <w:i/>
                <w:iCs/>
                <w:szCs w:val="20"/>
                <w:lang w:val="en-CA" w:eastAsia="zh-CN"/>
              </w:rPr>
              <w:t>At least reporting of the carrier phase of the first path, and optionally, the additional paths.</w:t>
            </w:r>
          </w:p>
          <w:p w14:paraId="530ECFB5" w14:textId="77777777" w:rsidR="009B54D5" w:rsidRPr="00107EDD" w:rsidRDefault="009B54D5" w:rsidP="00FB49FF">
            <w:pPr>
              <w:pStyle w:val="a8"/>
              <w:numPr>
                <w:ilvl w:val="1"/>
                <w:numId w:val="4"/>
              </w:numPr>
              <w:ind w:leftChars="0"/>
              <w:jc w:val="both"/>
              <w:rPr>
                <w:rFonts w:ascii="Times New Roman" w:hAnsi="Times New Roman"/>
                <w:i/>
                <w:iCs/>
                <w:szCs w:val="20"/>
                <w:lang w:val="en-CA" w:eastAsia="zh-CN"/>
              </w:rPr>
            </w:pPr>
            <w:r w:rsidRPr="00107EDD">
              <w:rPr>
                <w:rFonts w:ascii="Times New Roman" w:hAnsi="Times New Roman"/>
                <w:i/>
                <w:iCs/>
                <w:szCs w:val="20"/>
                <w:lang w:val="en-CA" w:eastAsia="zh-CN"/>
              </w:rPr>
              <w:t>The use of LOS/NLOS indication for the carrier phase measurements.</w:t>
            </w:r>
          </w:p>
          <w:p w14:paraId="7A4338CE" w14:textId="77777777" w:rsidR="009B54D5" w:rsidRPr="00107EDD" w:rsidRDefault="009B54D5" w:rsidP="00FB49FF">
            <w:pPr>
              <w:pStyle w:val="a8"/>
              <w:numPr>
                <w:ilvl w:val="2"/>
                <w:numId w:val="4"/>
              </w:numPr>
              <w:ind w:leftChars="0"/>
              <w:jc w:val="both"/>
              <w:rPr>
                <w:rFonts w:ascii="Times New Roman" w:hAnsi="Times New Roman"/>
                <w:i/>
                <w:iCs/>
                <w:szCs w:val="20"/>
                <w:lang w:val="en-CA" w:eastAsia="zh-CN"/>
              </w:rPr>
            </w:pPr>
            <w:r w:rsidRPr="00107EDD">
              <w:rPr>
                <w:rFonts w:ascii="Times New Roman" w:hAnsi="Times New Roman"/>
                <w:i/>
                <w:iCs/>
                <w:szCs w:val="20"/>
                <w:lang w:val="en-CA" w:eastAsia="zh-CN"/>
              </w:rPr>
              <w:t>Note: Rel-17 LOS/NLOS indicator can be considered as a starting point.</w:t>
            </w:r>
          </w:p>
          <w:p w14:paraId="7FE71FCF" w14:textId="77777777" w:rsidR="009B54D5" w:rsidRPr="000607B1" w:rsidRDefault="009B54D5" w:rsidP="00FB49FF">
            <w:pPr>
              <w:pStyle w:val="a8"/>
              <w:numPr>
                <w:ilvl w:val="1"/>
                <w:numId w:val="4"/>
              </w:numPr>
              <w:ind w:leftChars="0"/>
              <w:jc w:val="both"/>
              <w:rPr>
                <w:lang w:val="en-CA" w:eastAsia="zh-CN"/>
              </w:rPr>
            </w:pPr>
            <w:r w:rsidRPr="00107EDD">
              <w:rPr>
                <w:rFonts w:ascii="Times New Roman" w:hAnsi="Times New Roman"/>
                <w:i/>
                <w:iCs/>
                <w:szCs w:val="20"/>
                <w:lang w:val="en-CA" w:eastAsia="zh-CN"/>
              </w:rPr>
              <w:t>Reporting of other channel information together with carrier phase measurements, such as existing RSRP/RSRPP.</w:t>
            </w:r>
          </w:p>
        </w:tc>
      </w:tr>
    </w:tbl>
    <w:p w14:paraId="57898001" w14:textId="356CC21C" w:rsidR="00A20FE6" w:rsidRPr="00913534" w:rsidRDefault="009B54D5" w:rsidP="006873B8">
      <w:pPr>
        <w:spacing w:before="240"/>
        <w:rPr>
          <w:rFonts w:ascii="Times New Roman" w:hAnsi="Times New Roman"/>
          <w:sz w:val="20"/>
          <w:szCs w:val="20"/>
        </w:rPr>
      </w:pPr>
      <w:r w:rsidRPr="00913534">
        <w:rPr>
          <w:rFonts w:ascii="Times New Roman" w:hAnsi="Times New Roman"/>
          <w:sz w:val="20"/>
          <w:szCs w:val="20"/>
        </w:rPr>
        <w:t xml:space="preserve">In order to </w:t>
      </w:r>
      <w:r w:rsidR="00873D8C" w:rsidRPr="00913534">
        <w:rPr>
          <w:rFonts w:ascii="Times New Roman" w:hAnsi="Times New Roman"/>
          <w:sz w:val="20"/>
          <w:szCs w:val="20"/>
        </w:rPr>
        <w:t>reduce</w:t>
      </w:r>
      <w:r w:rsidRPr="00913534">
        <w:rPr>
          <w:rFonts w:ascii="Times New Roman" w:hAnsi="Times New Roman"/>
          <w:sz w:val="20"/>
          <w:szCs w:val="20"/>
        </w:rPr>
        <w:t xml:space="preserve"> the phase error caused by multipath effect in carrier phase measurement, the last meeting proposed to report the carrier phase information of the first path and the additional path, or to </w:t>
      </w:r>
      <w:r w:rsidRPr="00913534">
        <w:rPr>
          <w:rFonts w:ascii="Times New Roman" w:hAnsi="Times New Roman"/>
          <w:sz w:val="20"/>
          <w:szCs w:val="20"/>
        </w:rPr>
        <w:lastRenderedPageBreak/>
        <w:t>report, for example, RSRP/RSRPP information and use LOS/NLOS indication as a method to mitigate multipath. In this article, we provide a view on mitigating carrier phase multipath.</w:t>
      </w:r>
    </w:p>
    <w:p w14:paraId="0431FE0C" w14:textId="592FAD5F" w:rsidR="009B54D5" w:rsidRDefault="009B54D5" w:rsidP="009B54D5">
      <w:pPr>
        <w:pStyle w:val="1"/>
        <w:snapToGrid w:val="0"/>
        <w:spacing w:beforeLines="50" w:before="156" w:afterLines="50" w:after="156"/>
        <w:ind w:left="431" w:hanging="431"/>
        <w:jc w:val="both"/>
        <w:rPr>
          <w:sz w:val="28"/>
          <w:lang w:val="en-US"/>
        </w:rPr>
      </w:pPr>
      <w:r w:rsidRPr="009B54D5">
        <w:rPr>
          <w:sz w:val="28"/>
          <w:lang w:val="en-US"/>
        </w:rPr>
        <w:t>Carrier phase measurement</w:t>
      </w:r>
      <w:r>
        <w:rPr>
          <w:sz w:val="28"/>
          <w:lang w:val="en-US"/>
        </w:rPr>
        <w:t xml:space="preserve"> - </w:t>
      </w:r>
      <w:r w:rsidRPr="009B54D5">
        <w:rPr>
          <w:sz w:val="28"/>
          <w:lang w:val="en-US"/>
        </w:rPr>
        <w:t>multipath mitigation</w:t>
      </w:r>
    </w:p>
    <w:p w14:paraId="14AB0D50" w14:textId="34B5A573" w:rsidR="009B54D5" w:rsidRPr="00913534" w:rsidRDefault="009B54D5" w:rsidP="009B54D5">
      <w:pPr>
        <w:pStyle w:val="a8"/>
        <w:keepNext/>
        <w:keepLines/>
        <w:numPr>
          <w:ilvl w:val="1"/>
          <w:numId w:val="1"/>
        </w:numPr>
        <w:tabs>
          <w:tab w:val="num" w:pos="576"/>
        </w:tabs>
        <w:overflowPunct w:val="0"/>
        <w:autoSpaceDE w:val="0"/>
        <w:autoSpaceDN w:val="0"/>
        <w:adjustRightInd w:val="0"/>
        <w:spacing w:before="120"/>
        <w:ind w:leftChars="0"/>
        <w:jc w:val="both"/>
        <w:textAlignment w:val="baseline"/>
        <w:outlineLvl w:val="1"/>
        <w:rPr>
          <w:rFonts w:ascii="Arial" w:eastAsia="宋体" w:hAnsi="Arial" w:cs="Arial"/>
          <w:b/>
          <w:iCs/>
          <w:szCs w:val="20"/>
        </w:rPr>
      </w:pPr>
      <w:r w:rsidRPr="00913534">
        <w:rPr>
          <w:rFonts w:ascii="Arial" w:eastAsia="宋体" w:hAnsi="Arial" w:cs="Arial"/>
          <w:b/>
          <w:iCs/>
          <w:szCs w:val="20"/>
        </w:rPr>
        <w:t xml:space="preserve">How to apply LOS/NLOS indication to </w:t>
      </w:r>
      <w:r w:rsidR="00873D8C" w:rsidRPr="00913534">
        <w:rPr>
          <w:rFonts w:ascii="Arial" w:eastAsia="宋体" w:hAnsi="Arial" w:cs="Arial"/>
          <w:b/>
          <w:iCs/>
          <w:szCs w:val="20"/>
        </w:rPr>
        <w:t>reduce</w:t>
      </w:r>
      <w:r w:rsidRPr="00913534">
        <w:rPr>
          <w:rFonts w:ascii="Arial" w:eastAsia="宋体" w:hAnsi="Arial" w:cs="Arial"/>
          <w:b/>
          <w:iCs/>
          <w:szCs w:val="20"/>
        </w:rPr>
        <w:t xml:space="preserve"> multipath</w:t>
      </w:r>
      <w:r w:rsidR="00873D8C" w:rsidRPr="00913534">
        <w:rPr>
          <w:rFonts w:ascii="Arial" w:eastAsia="宋体" w:hAnsi="Arial" w:cs="Arial"/>
          <w:b/>
          <w:iCs/>
          <w:szCs w:val="20"/>
        </w:rPr>
        <w:t xml:space="preserve"> error</w:t>
      </w:r>
    </w:p>
    <w:p w14:paraId="39E43E2C" w14:textId="2BA6634A" w:rsidR="009B54D5" w:rsidRPr="00913534" w:rsidRDefault="009B54D5" w:rsidP="00810F3C">
      <w:pPr>
        <w:spacing w:before="240"/>
        <w:rPr>
          <w:rFonts w:ascii="Times New Roman" w:hAnsi="Times New Roman"/>
          <w:sz w:val="20"/>
          <w:szCs w:val="20"/>
        </w:rPr>
      </w:pPr>
      <w:r w:rsidRPr="00913534">
        <w:rPr>
          <w:rFonts w:ascii="Times New Roman" w:hAnsi="Times New Roman"/>
          <w:sz w:val="20"/>
          <w:szCs w:val="20"/>
        </w:rPr>
        <w:t xml:space="preserve">In the previous meeting, regarding the use of LOS/NLOS indication in carrier phase measurement to </w:t>
      </w:r>
      <w:r w:rsidR="00873D8C" w:rsidRPr="00913534">
        <w:rPr>
          <w:rFonts w:ascii="Times New Roman" w:hAnsi="Times New Roman"/>
          <w:sz w:val="20"/>
          <w:szCs w:val="20"/>
        </w:rPr>
        <w:t>reduce</w:t>
      </w:r>
      <w:r w:rsidRPr="00913534">
        <w:rPr>
          <w:rFonts w:ascii="Times New Roman" w:hAnsi="Times New Roman"/>
          <w:sz w:val="20"/>
          <w:szCs w:val="20"/>
        </w:rPr>
        <w:t xml:space="preserve"> multipath, some participants proposed to use LOS/NLOS indication to distinguish LOS from multipath. However, even if the carrier phase is measured in multipath, it is still unable to correct the phase that generates multipath error. </w:t>
      </w:r>
      <w:r w:rsidR="00873D8C" w:rsidRPr="00913534">
        <w:rPr>
          <w:rFonts w:ascii="Times New Roman" w:hAnsi="Times New Roman"/>
          <w:sz w:val="20"/>
          <w:szCs w:val="20"/>
        </w:rPr>
        <w:t>Therefore, the method of using LOS/NLOS indication to mitigate multipath should be discussed in more detail.</w:t>
      </w:r>
    </w:p>
    <w:p w14:paraId="723A60CE" w14:textId="22E96B81" w:rsidR="00810F3C" w:rsidRPr="00913534" w:rsidRDefault="00913534" w:rsidP="00810F3C">
      <w:pPr>
        <w:spacing w:before="240"/>
        <w:rPr>
          <w:rFonts w:ascii="Times New Roman" w:hAnsi="Times New Roman"/>
          <w:b/>
          <w:bCs/>
          <w:i/>
          <w:iCs/>
          <w:sz w:val="20"/>
          <w:szCs w:val="20"/>
        </w:rPr>
      </w:pPr>
      <w:r w:rsidRPr="00913534">
        <w:rPr>
          <w:rFonts w:ascii="Times New Roman" w:hAnsi="Times New Roman"/>
          <w:b/>
          <w:bCs/>
          <w:i/>
          <w:iCs/>
          <w:sz w:val="20"/>
          <w:szCs w:val="20"/>
        </w:rPr>
        <w:t>Proposal</w:t>
      </w:r>
      <w:r w:rsidR="00810F3C" w:rsidRPr="00913534">
        <w:rPr>
          <w:rFonts w:ascii="Times New Roman" w:hAnsi="Times New Roman"/>
          <w:b/>
          <w:bCs/>
          <w:i/>
          <w:iCs/>
          <w:sz w:val="20"/>
          <w:szCs w:val="20"/>
        </w:rPr>
        <w:t xml:space="preserve"> 1: Discuss in more detail the scheme of using LOS/NLOS indication to mitigate multipath.</w:t>
      </w:r>
    </w:p>
    <w:p w14:paraId="1A7BBF6E" w14:textId="5ED33BED" w:rsidR="00810F3C" w:rsidRDefault="00810F3C" w:rsidP="00810F3C">
      <w:pPr>
        <w:keepNext/>
        <w:keepLines/>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rPr>
      </w:pPr>
      <w:r w:rsidRPr="00913534">
        <w:rPr>
          <w:rFonts w:ascii="Arial" w:eastAsia="宋体" w:hAnsi="Arial" w:cs="Arial"/>
          <w:b/>
          <w:iCs/>
          <w:sz w:val="20"/>
          <w:szCs w:val="20"/>
          <w:lang w:val="en-GB" w:eastAsia="x-none"/>
        </w:rPr>
        <w:t>2.2 Reducing multipath effect based on carrier phase analysis</w:t>
      </w:r>
      <w:r>
        <w:rPr>
          <w:rFonts w:ascii="Arial" w:eastAsia="宋体" w:hAnsi="Arial" w:cs="Arial"/>
          <w:bCs/>
          <w:iCs/>
          <w:sz w:val="28"/>
          <w:szCs w:val="28"/>
        </w:rPr>
        <w:t xml:space="preserve"> </w:t>
      </w:r>
    </w:p>
    <w:p w14:paraId="68AEE2BD" w14:textId="5BE1715D" w:rsidR="00810F3C" w:rsidRPr="00913534" w:rsidRDefault="00810F3C" w:rsidP="00810F3C">
      <w:pPr>
        <w:rPr>
          <w:rFonts w:ascii="Times New Roman" w:hAnsi="Times New Roman"/>
          <w:sz w:val="20"/>
          <w:szCs w:val="20"/>
        </w:rPr>
      </w:pPr>
      <w:r w:rsidRPr="00913534">
        <w:rPr>
          <w:rFonts w:ascii="Times New Roman" w:hAnsi="Times New Roman"/>
          <w:sz w:val="20"/>
          <w:szCs w:val="20"/>
        </w:rPr>
        <w:t>Taking CIR signal as an example, the amplitude results of reflected signal and LOS signal received by the receiver are shown in the figure:</w:t>
      </w:r>
    </w:p>
    <w:p w14:paraId="72C6D68C" w14:textId="4813C4FA" w:rsidR="00810F3C" w:rsidRDefault="00810F3C" w:rsidP="00810F3C">
      <w:pPr>
        <w:jc w:val="center"/>
      </w:pPr>
      <w:r w:rsidRPr="00272CF1">
        <w:rPr>
          <w:noProof/>
        </w:rPr>
        <w:drawing>
          <wp:inline distT="0" distB="0" distL="0" distR="0" wp14:anchorId="4E2BECCA" wp14:editId="0627E1D2">
            <wp:extent cx="2963683" cy="2223654"/>
            <wp:effectExtent l="0" t="0" r="825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0607" cy="2236352"/>
                    </a:xfrm>
                    <a:prstGeom prst="rect">
                      <a:avLst/>
                    </a:prstGeom>
                    <a:noFill/>
                    <a:ln>
                      <a:noFill/>
                    </a:ln>
                  </pic:spPr>
                </pic:pic>
              </a:graphicData>
            </a:graphic>
          </wp:inline>
        </w:drawing>
      </w:r>
    </w:p>
    <w:p w14:paraId="397896F1" w14:textId="6D390FCC" w:rsidR="00810F3C" w:rsidRPr="00913534" w:rsidRDefault="00810F3C" w:rsidP="00810F3C">
      <w:pPr>
        <w:jc w:val="center"/>
        <w:rPr>
          <w:rFonts w:ascii="Times New Roman" w:hAnsi="Times New Roman"/>
          <w:b/>
          <w:bCs/>
          <w:sz w:val="20"/>
          <w:szCs w:val="20"/>
        </w:rPr>
      </w:pPr>
      <w:r w:rsidRPr="00913534">
        <w:rPr>
          <w:rFonts w:ascii="Times New Roman" w:hAnsi="Times New Roman"/>
          <w:b/>
          <w:bCs/>
          <w:sz w:val="20"/>
          <w:szCs w:val="20"/>
        </w:rPr>
        <w:t xml:space="preserve">Figure 1. </w:t>
      </w:r>
      <w:r w:rsidRPr="00913534">
        <w:rPr>
          <w:rFonts w:ascii="Times New Roman" w:hAnsi="Times New Roman"/>
          <w:b/>
          <w:bCs/>
          <w:sz w:val="20"/>
          <w:szCs w:val="20"/>
        </w:rPr>
        <w:t>LOS/NLOS receiving signal</w:t>
      </w:r>
    </w:p>
    <w:p w14:paraId="411FEC70" w14:textId="3C02EE9C" w:rsidR="00705C91" w:rsidRDefault="00705C91" w:rsidP="00705C91">
      <w:r w:rsidRPr="00E70EFE">
        <w:rPr>
          <w:rFonts w:ascii="Times New Roman" w:hAnsi="Times New Roman"/>
          <w:sz w:val="20"/>
          <w:szCs w:val="20"/>
        </w:rPr>
        <w:t>The channel impulse response data in the figure above has 1016 sampling points, which are complex data composed of real part and imaginary part, so:</w:t>
      </w:r>
    </w:p>
    <w:p w14:paraId="5788AAF7" w14:textId="6780CD1B" w:rsidR="00705C91" w:rsidRPr="00E70EFE" w:rsidRDefault="00705C91" w:rsidP="00705C91">
      <w:pPr>
        <w:rPr>
          <w:rFonts w:ascii="Times New Roman" w:hAnsi="Times New Roman"/>
          <w:b/>
          <w:bCs/>
          <w:i/>
          <w:iCs/>
          <w:sz w:val="20"/>
          <w:szCs w:val="20"/>
        </w:rPr>
      </w:pPr>
      <w:r w:rsidRPr="00E70EFE">
        <w:rPr>
          <w:rFonts w:ascii="Times New Roman" w:hAnsi="Times New Roman"/>
          <w:b/>
          <w:bCs/>
          <w:i/>
          <w:iCs/>
          <w:sz w:val="20"/>
          <w:szCs w:val="20"/>
        </w:rPr>
        <w:t>Observation 1: LOS signal and multipath NLOS signal often have different attenuation, time delay and carrier phase.</w:t>
      </w:r>
    </w:p>
    <w:p w14:paraId="534965EA" w14:textId="2FEE95A1" w:rsidR="009D6A7C" w:rsidRPr="00E70EFE" w:rsidRDefault="009D6A7C" w:rsidP="00705C91">
      <w:pPr>
        <w:rPr>
          <w:rFonts w:ascii="Times New Roman" w:hAnsi="Times New Roman"/>
          <w:sz w:val="20"/>
          <w:szCs w:val="20"/>
        </w:rPr>
      </w:pPr>
      <w:r w:rsidRPr="00E70EFE">
        <w:rPr>
          <w:rFonts w:ascii="Times New Roman" w:hAnsi="Times New Roman"/>
          <w:sz w:val="20"/>
          <w:szCs w:val="20"/>
        </w:rPr>
        <w:t>Based on the above observation, for general signals, we can obtain the carrier phase difference between LOS and the reflected signal generated by multipath during the signal transmission by analyzing the energy change of I and Q channel output, and then obtain the phase change ∆</w:t>
      </w:r>
      <w:r w:rsidRPr="00E70EFE">
        <w:rPr>
          <w:rFonts w:ascii="Cambria Math" w:hAnsi="Cambria Math" w:cs="Cambria Math"/>
          <w:sz w:val="20"/>
          <w:szCs w:val="20"/>
        </w:rPr>
        <w:t>𝞿</w:t>
      </w:r>
      <w:r w:rsidRPr="00E70EFE">
        <w:rPr>
          <w:rFonts w:ascii="Times New Roman" w:hAnsi="Times New Roman"/>
          <w:sz w:val="20"/>
          <w:szCs w:val="20"/>
        </w:rPr>
        <w:t>, and compensate the phase error through ∆</w:t>
      </w:r>
      <w:r w:rsidRPr="00E70EFE">
        <w:rPr>
          <w:rFonts w:ascii="Cambria Math" w:hAnsi="Cambria Math" w:cs="Cambria Math"/>
          <w:sz w:val="20"/>
          <w:szCs w:val="20"/>
        </w:rPr>
        <w:t>𝞿</w:t>
      </w:r>
      <w:r w:rsidRPr="00E70EFE">
        <w:rPr>
          <w:rFonts w:ascii="Times New Roman" w:hAnsi="Times New Roman"/>
          <w:sz w:val="20"/>
          <w:szCs w:val="20"/>
        </w:rPr>
        <w:t xml:space="preserve"> </w:t>
      </w:r>
      <w:r w:rsidRPr="00E70EFE">
        <w:rPr>
          <w:rFonts w:ascii="Times New Roman" w:hAnsi="Times New Roman"/>
          <w:sz w:val="20"/>
          <w:szCs w:val="20"/>
        </w:rPr>
        <w:t>to obtain a more accurate carrier phase measurement value.</w:t>
      </w:r>
    </w:p>
    <w:p w14:paraId="6EEF1435" w14:textId="11A7AE0D" w:rsidR="009D6A7C" w:rsidRPr="00E70EFE" w:rsidRDefault="00E70EFE" w:rsidP="00705C91">
      <w:pPr>
        <w:rPr>
          <w:rFonts w:ascii="Times New Roman" w:hAnsi="Times New Roman"/>
          <w:b/>
          <w:bCs/>
          <w:i/>
          <w:iCs/>
          <w:sz w:val="20"/>
          <w:szCs w:val="20"/>
        </w:rPr>
      </w:pPr>
      <w:r w:rsidRPr="00E70EFE">
        <w:rPr>
          <w:rFonts w:ascii="Times New Roman" w:hAnsi="Times New Roman"/>
          <w:b/>
          <w:bCs/>
          <w:i/>
          <w:iCs/>
          <w:sz w:val="20"/>
          <w:szCs w:val="20"/>
        </w:rPr>
        <w:lastRenderedPageBreak/>
        <w:t>Proposal</w:t>
      </w:r>
      <w:r w:rsidR="009D6A7C" w:rsidRPr="00E70EFE">
        <w:rPr>
          <w:rFonts w:ascii="Times New Roman" w:hAnsi="Times New Roman"/>
          <w:b/>
          <w:bCs/>
          <w:i/>
          <w:iCs/>
          <w:sz w:val="20"/>
          <w:szCs w:val="20"/>
        </w:rPr>
        <w:t xml:space="preserve"> 2: Analyze the energy change of I/Q channel output to mitigate multipath.</w:t>
      </w:r>
    </w:p>
    <w:p w14:paraId="1127A7D3" w14:textId="1625847F" w:rsidR="00747B60" w:rsidRPr="00E70EFE" w:rsidRDefault="00747B60" w:rsidP="00747B60">
      <w:pPr>
        <w:keepNext/>
        <w:keepLines/>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
          <w:iCs/>
          <w:sz w:val="20"/>
          <w:szCs w:val="20"/>
          <w:lang w:val="en-GB" w:eastAsia="x-none"/>
        </w:rPr>
      </w:pPr>
      <w:r w:rsidRPr="00E70EFE">
        <w:rPr>
          <w:rFonts w:ascii="Arial" w:eastAsia="宋体" w:hAnsi="Arial" w:cs="Arial"/>
          <w:b/>
          <w:iCs/>
          <w:sz w:val="20"/>
          <w:szCs w:val="20"/>
          <w:lang w:val="en-GB" w:eastAsia="x-none"/>
        </w:rPr>
        <w:t>2.3 Mitigate multipath based on signal quality</w:t>
      </w:r>
    </w:p>
    <w:p w14:paraId="18F8C8EB" w14:textId="0D0A14DA" w:rsidR="00747B60" w:rsidRPr="00E70EFE" w:rsidRDefault="00DF2302" w:rsidP="00705C91">
      <w:pPr>
        <w:rPr>
          <w:rFonts w:ascii="Times New Roman" w:hAnsi="Times New Roman"/>
          <w:sz w:val="20"/>
          <w:szCs w:val="20"/>
        </w:rPr>
      </w:pPr>
      <w:r w:rsidRPr="00E70EFE">
        <w:rPr>
          <w:rFonts w:ascii="Times New Roman" w:hAnsi="Times New Roman"/>
          <w:sz w:val="20"/>
          <w:szCs w:val="20"/>
        </w:rPr>
        <w:t>Signal quality is a general term to describe the ratio of signal power to noise power, such as SNR in practical indicators.</w:t>
      </w:r>
      <w:r w:rsidRPr="00E70EFE">
        <w:rPr>
          <w:rFonts w:ascii="Times New Roman" w:hAnsi="Times New Roman"/>
          <w:sz w:val="20"/>
          <w:szCs w:val="20"/>
        </w:rPr>
        <w:t xml:space="preserve"> </w:t>
      </w:r>
      <w:r w:rsidRPr="00E70EFE">
        <w:rPr>
          <w:rFonts w:ascii="Times New Roman" w:hAnsi="Times New Roman"/>
          <w:sz w:val="20"/>
          <w:szCs w:val="20"/>
        </w:rPr>
        <w:t>We believe that the multipath fluctuation can be modeled as a sine signal and correlated with the signal-to-noise ratio. The parameters in the sine signal can be estimated from the signal-to-noise ratio. Based on the constructed carrier phase multipath profile, the estimated relative phase can be subtracted from the actual phase measurement to obtain a more accurate carrier phase measurement value.</w:t>
      </w:r>
    </w:p>
    <w:p w14:paraId="56CEA01F" w14:textId="456B0D6C" w:rsidR="00DF2302" w:rsidRPr="00E70EFE" w:rsidRDefault="00DF2302" w:rsidP="00705C91">
      <w:pPr>
        <w:rPr>
          <w:rFonts w:ascii="Times New Roman" w:hAnsi="Times New Roman"/>
          <w:sz w:val="20"/>
          <w:szCs w:val="20"/>
        </w:rPr>
      </w:pPr>
      <w:r w:rsidRPr="00E70EFE">
        <w:rPr>
          <w:rFonts w:ascii="Times New Roman" w:hAnsi="Times New Roman"/>
          <w:sz w:val="20"/>
          <w:szCs w:val="20"/>
        </w:rPr>
        <w:t>We try to express the mirror multipath error in carrier phase as a function of multipath amplitude and relative phase in SNR, and the carrier phase error ∆</w:t>
      </w:r>
      <w:r w:rsidRPr="00E70EFE">
        <w:rPr>
          <w:rFonts w:ascii="Cambria Math" w:hAnsi="Cambria Math" w:cs="Cambria Math"/>
          <w:sz w:val="20"/>
          <w:szCs w:val="20"/>
        </w:rPr>
        <w:t>𝞿</w:t>
      </w:r>
      <w:r w:rsidRPr="00E70EFE">
        <w:rPr>
          <w:rFonts w:ascii="Times New Roman" w:hAnsi="Times New Roman"/>
          <w:sz w:val="20"/>
          <w:szCs w:val="20"/>
        </w:rPr>
        <w:t xml:space="preserve"> caused by n mirror multipath signals is expressed as:</w:t>
      </w:r>
    </w:p>
    <w:p w14:paraId="17DABA5D" w14:textId="77777777" w:rsidR="00DF2302" w:rsidRPr="00012414" w:rsidRDefault="00DF2302" w:rsidP="00DF2302">
      <w:pPr>
        <w:spacing w:before="240"/>
        <w:jc w:val="center"/>
        <w:rPr>
          <w:rFonts w:ascii="Cambria Math" w:hAnsi="Cambria Math" w:cs="Calibri"/>
        </w:rPr>
      </w:pPr>
      <m:oMathPara>
        <m:oMath>
          <m:eqArr>
            <m:eqArrPr>
              <m:maxDist m:val="1"/>
              <m:ctrlPr>
                <w:rPr>
                  <w:rFonts w:ascii="Cambria Math" w:hAnsi="Cambria Math" w:cs="Calibri"/>
                  <w:i/>
                </w:rPr>
              </m:ctrlPr>
            </m:eqArrPr>
            <m:e>
              <m:r>
                <m:rPr>
                  <m:sty m:val="p"/>
                </m:rPr>
                <w:rPr>
                  <w:rFonts w:ascii="Cambria Math" w:hAnsi="Cambria Math" w:cs="Calibri"/>
                </w:rPr>
                <m:t>∆φ</m:t>
              </m:r>
              <m:r>
                <w:rPr>
                  <w:rFonts w:ascii="Cambria Math" w:hAnsi="Cambria Math" w:cs="Calibri"/>
                </w:rPr>
                <m:t>=</m:t>
              </m:r>
              <m:f>
                <m:fPr>
                  <m:ctrlPr>
                    <w:rPr>
                      <w:rFonts w:ascii="Cambria Math" w:hAnsi="Cambria Math" w:cs="Calibri"/>
                      <w:i/>
                    </w:rPr>
                  </m:ctrlPr>
                </m:fPr>
                <m:num>
                  <m:nary>
                    <m:naryPr>
                      <m:chr m:val="∑"/>
                      <m:limLoc m:val="subSup"/>
                      <m:ctrlPr>
                        <w:rPr>
                          <w:rFonts w:ascii="Cambria Math" w:hAnsi="Cambria Math" w:cs="Calibri"/>
                          <w:i/>
                        </w:rPr>
                      </m:ctrlPr>
                    </m:naryPr>
                    <m:sub>
                      <m:r>
                        <w:rPr>
                          <w:rFonts w:ascii="Cambria Math" w:hAnsi="Cambria Math" w:cs="Calibri" w:hint="eastAsia"/>
                        </w:rPr>
                        <m:t>i</m:t>
                      </m:r>
                    </m:sub>
                    <m:sup>
                      <m:r>
                        <w:rPr>
                          <w:rFonts w:ascii="Cambria Math" w:hAnsi="Cambria Math" w:cs="Calibri" w:hint="eastAsia"/>
                        </w:rPr>
                        <m:t>n</m:t>
                      </m:r>
                    </m:sup>
                    <m:e>
                      <m:sSub>
                        <m:sSubPr>
                          <m:ctrlPr>
                            <w:rPr>
                              <w:rFonts w:ascii="Cambria Math" w:hAnsi="Cambria Math" w:cs="Calibri"/>
                              <w:i/>
                            </w:rPr>
                          </m:ctrlPr>
                        </m:sSubPr>
                        <m:e>
                          <m:r>
                            <w:rPr>
                              <w:rFonts w:ascii="Cambria Math" w:hAnsi="Cambria Math" w:cs="Calibri" w:hint="eastAsia"/>
                            </w:rPr>
                            <m:t>α</m:t>
                          </m:r>
                        </m:e>
                        <m:sub>
                          <m:r>
                            <w:rPr>
                              <w:rFonts w:ascii="Cambria Math" w:hAnsi="Cambria Math" w:cs="Calibri" w:hint="eastAsia"/>
                            </w:rPr>
                            <m:t>i</m:t>
                          </m:r>
                        </m:sub>
                      </m:sSub>
                      <m:sSub>
                        <m:sSubPr>
                          <m:ctrlPr>
                            <w:rPr>
                              <w:rFonts w:ascii="Cambria Math" w:hAnsi="Cambria Math" w:cs="Calibri"/>
                              <w:i/>
                            </w:rPr>
                          </m:ctrlPr>
                        </m:sSubPr>
                        <m:e>
                          <m:r>
                            <w:rPr>
                              <w:rFonts w:ascii="Cambria Math" w:hAnsi="Cambria Math" w:cs="Calibri"/>
                            </w:rPr>
                            <m:t>A</m:t>
                          </m:r>
                        </m:e>
                        <m:sub>
                          <m:r>
                            <w:rPr>
                              <w:rFonts w:ascii="Cambria Math" w:hAnsi="Cambria Math" w:cs="Calibri"/>
                            </w:rPr>
                            <m:t>0</m:t>
                          </m:r>
                        </m:sub>
                      </m:sSub>
                      <m:func>
                        <m:funcPr>
                          <m:ctrlPr>
                            <w:rPr>
                              <w:rFonts w:ascii="Cambria Math" w:hAnsi="Cambria Math" w:cs="Calibri"/>
                              <w:i/>
                            </w:rPr>
                          </m:ctrlPr>
                        </m:funcPr>
                        <m:fName>
                          <m:r>
                            <m:rPr>
                              <m:sty m:val="p"/>
                            </m:rPr>
                            <w:rPr>
                              <w:rFonts w:ascii="Cambria Math" w:hAnsi="Cambria Math" w:cs="Calibri" w:hint="eastAsia"/>
                            </w:rPr>
                            <m:t>sin</m:t>
                          </m:r>
                        </m:fName>
                        <m:e>
                          <m:sSub>
                            <m:sSubPr>
                              <m:ctrlPr>
                                <w:rPr>
                                  <w:rFonts w:ascii="Cambria Math" w:hAnsi="Cambria Math" w:cs="Calibri"/>
                                  <w:i/>
                                </w:rPr>
                              </m:ctrlPr>
                            </m:sSubPr>
                            <m:e>
                              <m:r>
                                <w:rPr>
                                  <w:rFonts w:ascii="Cambria Math" w:hAnsi="Cambria Math" w:cs="Calibri"/>
                                </w:rPr>
                                <m:t>φ</m:t>
                              </m:r>
                            </m:e>
                            <m:sub>
                              <m:r>
                                <w:rPr>
                                  <w:rFonts w:ascii="Cambria Math" w:hAnsi="Cambria Math" w:cs="Calibri" w:hint="eastAsia"/>
                                </w:rPr>
                                <m:t>i</m:t>
                              </m:r>
                            </m:sub>
                          </m:sSub>
                        </m:e>
                      </m:func>
                    </m:e>
                  </m:nary>
                </m:num>
                <m:den>
                  <m:sSub>
                    <m:sSubPr>
                      <m:ctrlPr>
                        <w:rPr>
                          <w:rFonts w:ascii="Cambria Math" w:hAnsi="Cambria Math" w:cs="Calibri"/>
                          <w:i/>
                        </w:rPr>
                      </m:ctrlPr>
                    </m:sSubPr>
                    <m:e>
                      <m:r>
                        <w:rPr>
                          <w:rFonts w:ascii="Cambria Math" w:hAnsi="Cambria Math" w:cs="Calibri"/>
                        </w:rPr>
                        <m:t>A</m:t>
                      </m:r>
                    </m:e>
                    <m:sub>
                      <m:r>
                        <w:rPr>
                          <w:rFonts w:ascii="Cambria Math" w:hAnsi="Cambria Math" w:cs="Calibri"/>
                        </w:rPr>
                        <m:t>0</m:t>
                      </m:r>
                    </m:sub>
                  </m:sSub>
                  <m:sSub>
                    <m:sSubPr>
                      <m:ctrlPr>
                        <w:rPr>
                          <w:rFonts w:ascii="Cambria Math" w:hAnsi="Cambria Math" w:cs="Calibri"/>
                          <w:i/>
                        </w:rPr>
                      </m:ctrlPr>
                    </m:sSubPr>
                    <m:e>
                      <m:r>
                        <w:rPr>
                          <w:rFonts w:ascii="Cambria Math" w:hAnsi="Cambria Math" w:cs="Calibri"/>
                        </w:rPr>
                        <m:t>A</m:t>
                      </m:r>
                    </m:e>
                    <m:sub>
                      <m:r>
                        <w:rPr>
                          <w:rFonts w:ascii="Cambria Math" w:hAnsi="Cambria Math" w:cs="Calibri" w:hint="eastAsia"/>
                        </w:rPr>
                        <m:t>a</m:t>
                      </m:r>
                    </m:sub>
                  </m:sSub>
                  <m:r>
                    <w:rPr>
                      <w:rFonts w:ascii="Cambria Math" w:hAnsi="Cambria Math" w:cs="Calibri"/>
                    </w:rPr>
                    <m:t>+</m:t>
                  </m:r>
                  <m:nary>
                    <m:naryPr>
                      <m:chr m:val="∑"/>
                      <m:limLoc m:val="subSup"/>
                      <m:ctrlPr>
                        <w:rPr>
                          <w:rFonts w:ascii="Cambria Math" w:hAnsi="Cambria Math" w:cs="Calibri"/>
                          <w:i/>
                        </w:rPr>
                      </m:ctrlPr>
                    </m:naryPr>
                    <m:sub>
                      <m:r>
                        <w:rPr>
                          <w:rFonts w:ascii="Cambria Math" w:hAnsi="Cambria Math" w:cs="Calibri" w:hint="eastAsia"/>
                        </w:rPr>
                        <m:t>i</m:t>
                      </m:r>
                    </m:sub>
                    <m:sup>
                      <m:r>
                        <w:rPr>
                          <w:rFonts w:ascii="Cambria Math" w:hAnsi="Cambria Math" w:cs="Calibri" w:hint="eastAsia"/>
                        </w:rPr>
                        <m:t>n</m:t>
                      </m:r>
                    </m:sup>
                    <m:e>
                      <m:sSub>
                        <m:sSubPr>
                          <m:ctrlPr>
                            <w:rPr>
                              <w:rFonts w:ascii="Cambria Math" w:hAnsi="Cambria Math" w:cs="Calibri"/>
                              <w:i/>
                            </w:rPr>
                          </m:ctrlPr>
                        </m:sSubPr>
                        <m:e>
                          <m:r>
                            <w:rPr>
                              <w:rFonts w:ascii="Cambria Math" w:hAnsi="Cambria Math" w:cs="Calibri" w:hint="eastAsia"/>
                            </w:rPr>
                            <m:t>α</m:t>
                          </m:r>
                        </m:e>
                        <m:sub>
                          <m:r>
                            <w:rPr>
                              <w:rFonts w:ascii="Cambria Math" w:hAnsi="Cambria Math" w:cs="Calibri" w:hint="eastAsia"/>
                            </w:rPr>
                            <m:t>i</m:t>
                          </m:r>
                        </m:sub>
                      </m:sSub>
                      <m:sSub>
                        <m:sSubPr>
                          <m:ctrlPr>
                            <w:rPr>
                              <w:rFonts w:ascii="Cambria Math" w:hAnsi="Cambria Math" w:cs="Calibri"/>
                              <w:i/>
                            </w:rPr>
                          </m:ctrlPr>
                        </m:sSubPr>
                        <m:e>
                          <m:r>
                            <w:rPr>
                              <w:rFonts w:ascii="Cambria Math" w:hAnsi="Cambria Math" w:cs="Calibri"/>
                            </w:rPr>
                            <m:t>A</m:t>
                          </m:r>
                        </m:e>
                        <m:sub>
                          <m:r>
                            <w:rPr>
                              <w:rFonts w:ascii="Cambria Math" w:hAnsi="Cambria Math" w:cs="Calibri"/>
                            </w:rPr>
                            <m:t>0</m:t>
                          </m:r>
                        </m:sub>
                      </m:sSub>
                      <m:func>
                        <m:funcPr>
                          <m:ctrlPr>
                            <w:rPr>
                              <w:rFonts w:ascii="Cambria Math" w:hAnsi="Cambria Math" w:cs="Calibri"/>
                              <w:i/>
                            </w:rPr>
                          </m:ctrlPr>
                        </m:funcPr>
                        <m:fName>
                          <m:r>
                            <m:rPr>
                              <m:sty m:val="p"/>
                            </m:rPr>
                            <w:rPr>
                              <w:rFonts w:ascii="Cambria Math" w:hAnsi="Cambria Math" w:cs="Calibri"/>
                            </w:rPr>
                            <m:t>cos</m:t>
                          </m:r>
                        </m:fName>
                        <m:e>
                          <m:sSub>
                            <m:sSubPr>
                              <m:ctrlPr>
                                <w:rPr>
                                  <w:rFonts w:ascii="Cambria Math" w:hAnsi="Cambria Math" w:cs="Calibri"/>
                                  <w:i/>
                                </w:rPr>
                              </m:ctrlPr>
                            </m:sSubPr>
                            <m:e>
                              <m:r>
                                <w:rPr>
                                  <w:rFonts w:ascii="Cambria Math" w:hAnsi="Cambria Math" w:cs="Calibri"/>
                                </w:rPr>
                                <m:t>φ</m:t>
                              </m:r>
                            </m:e>
                            <m:sub>
                              <m:r>
                                <w:rPr>
                                  <w:rFonts w:ascii="Cambria Math" w:hAnsi="Cambria Math" w:cs="Calibri" w:hint="eastAsia"/>
                                </w:rPr>
                                <m:t>i</m:t>
                              </m:r>
                            </m:sub>
                          </m:sSub>
                        </m:e>
                      </m:func>
                    </m:e>
                  </m:nary>
                </m:den>
              </m:f>
              <m:r>
                <w:rPr>
                  <w:rFonts w:ascii="Cambria Math" w:hAnsi="Cambria Math" w:cs="Calibri"/>
                </w:rPr>
                <m:t xml:space="preserve"> #(1)</m:t>
              </m:r>
            </m:e>
          </m:eqArr>
        </m:oMath>
      </m:oMathPara>
    </w:p>
    <w:p w14:paraId="36EECC90" w14:textId="22162F50" w:rsidR="00DF2302" w:rsidRPr="00E70EFE" w:rsidRDefault="00DF2302" w:rsidP="00705C91">
      <w:pPr>
        <w:rPr>
          <w:rFonts w:ascii="Times New Roman" w:hAnsi="Times New Roman"/>
          <w:sz w:val="20"/>
          <w:szCs w:val="20"/>
        </w:rPr>
      </w:pPr>
      <w:r w:rsidRPr="00E70EFE">
        <w:rPr>
          <w:rFonts w:ascii="Times New Roman" w:hAnsi="Times New Roman"/>
          <w:sz w:val="20"/>
          <w:szCs w:val="20"/>
        </w:rPr>
        <w:t>where</w:t>
      </w:r>
      <w:r w:rsidRPr="00E70EFE">
        <w:rPr>
          <w:rFonts w:ascii="Times New Roman" w:hAnsi="Times New Roman"/>
          <w:sz w:val="20"/>
          <w:szCs w:val="20"/>
        </w:rPr>
        <w:t xml:space="preserve"> </w:t>
      </w:r>
      <m:oMath>
        <m:sSub>
          <m:sSubPr>
            <m:ctrlPr>
              <w:rPr>
                <w:rFonts w:ascii="Cambria Math" w:hAnsi="Cambria Math"/>
                <w:sz w:val="20"/>
                <w:szCs w:val="20"/>
              </w:rPr>
            </m:ctrlPr>
          </m:sSubPr>
          <m:e>
            <m:r>
              <w:rPr>
                <w:rFonts w:ascii="Cambria Math" w:hAnsi="Cambria Math" w:hint="eastAsia"/>
                <w:sz w:val="20"/>
                <w:szCs w:val="20"/>
              </w:rPr>
              <m:t>α</m:t>
            </m:r>
          </m:e>
          <m:sub>
            <m:r>
              <w:rPr>
                <w:rFonts w:ascii="Cambria Math" w:hAnsi="Cambria Math" w:hint="eastAsia"/>
                <w:sz w:val="20"/>
                <w:szCs w:val="20"/>
              </w:rPr>
              <m:t>i</m:t>
            </m:r>
          </m:sub>
        </m:sSub>
        <m:sSub>
          <m:sSubPr>
            <m:ctrlPr>
              <w:rPr>
                <w:rFonts w:ascii="Cambria Math" w:hAnsi="Cambria Math"/>
                <w:sz w:val="20"/>
                <w:szCs w:val="20"/>
              </w:rPr>
            </m:ctrlPr>
          </m:sSubPr>
          <m:e>
            <m:r>
              <w:rPr>
                <w:rFonts w:ascii="Cambria Math" w:hAnsi="Cambria Math"/>
                <w:sz w:val="20"/>
                <w:szCs w:val="20"/>
              </w:rPr>
              <m:t>A</m:t>
            </m:r>
          </m:e>
          <m:sub>
            <m:r>
              <m:rPr>
                <m:sty m:val="p"/>
              </m:rPr>
              <w:rPr>
                <w:rFonts w:ascii="Cambria Math" w:hAnsi="Cambria Math"/>
                <w:sz w:val="20"/>
                <w:szCs w:val="20"/>
              </w:rPr>
              <m:t>0</m:t>
            </m:r>
          </m:sub>
        </m:sSub>
      </m:oMath>
      <w:r w:rsidRPr="00E70EFE">
        <w:rPr>
          <w:rFonts w:ascii="Times New Roman" w:hAnsi="Times New Roman"/>
          <w:sz w:val="20"/>
          <w:szCs w:val="20"/>
        </w:rPr>
        <w:t xml:space="preserve"> is amplitude, </w:t>
      </w:r>
      <m:oMath>
        <m:sSub>
          <m:sSubPr>
            <m:ctrlPr>
              <w:rPr>
                <w:rFonts w:ascii="Cambria Math" w:hAnsi="Cambria Math"/>
                <w:sz w:val="20"/>
                <w:szCs w:val="20"/>
              </w:rPr>
            </m:ctrlPr>
          </m:sSubPr>
          <m:e>
            <m:r>
              <w:rPr>
                <w:rFonts w:ascii="Cambria Math" w:hAnsi="Cambria Math"/>
                <w:sz w:val="20"/>
                <w:szCs w:val="20"/>
              </w:rPr>
              <m:t>A</m:t>
            </m:r>
          </m:e>
          <m:sub>
            <m:r>
              <w:rPr>
                <w:rFonts w:ascii="Cambria Math" w:hAnsi="Cambria Math" w:hint="eastAsia"/>
                <w:sz w:val="20"/>
                <w:szCs w:val="20"/>
              </w:rPr>
              <m:t>a</m:t>
            </m:r>
          </m:sub>
        </m:sSub>
      </m:oMath>
      <w:r w:rsidRPr="00E70EFE">
        <w:rPr>
          <w:rFonts w:ascii="Times New Roman" w:hAnsi="Times New Roman"/>
          <w:sz w:val="20"/>
          <w:szCs w:val="20"/>
        </w:rPr>
        <w:t xml:space="preserve"> is the gain, </w:t>
      </w:r>
      <m:oMath>
        <m:sSub>
          <m:sSubPr>
            <m:ctrlPr>
              <w:rPr>
                <w:rFonts w:ascii="Cambria Math" w:hAnsi="Cambria Math"/>
                <w:sz w:val="20"/>
                <w:szCs w:val="20"/>
              </w:rPr>
            </m:ctrlPr>
          </m:sSubPr>
          <m:e>
            <m:r>
              <w:rPr>
                <w:rFonts w:ascii="Cambria Math" w:hAnsi="Cambria Math"/>
                <w:sz w:val="20"/>
                <w:szCs w:val="20"/>
              </w:rPr>
              <m:t>φ</m:t>
            </m:r>
          </m:e>
          <m:sub>
            <m:r>
              <w:rPr>
                <w:rFonts w:ascii="Cambria Math" w:hAnsi="Cambria Math" w:hint="eastAsia"/>
                <w:sz w:val="20"/>
                <w:szCs w:val="20"/>
              </w:rPr>
              <m:t>i</m:t>
            </m:r>
          </m:sub>
        </m:sSub>
      </m:oMath>
      <w:r w:rsidRPr="00E70EFE">
        <w:rPr>
          <w:rFonts w:ascii="Times New Roman" w:hAnsi="Times New Roman"/>
          <w:sz w:val="20"/>
          <w:szCs w:val="20"/>
        </w:rPr>
        <w:t xml:space="preserve"> is the relative phase of the multipath signal. These parameters are estimated from the signal-to-noise ratio by modeling multipath fluctuations as sinusoidal signals, as shown in the following formula:</w:t>
      </w:r>
    </w:p>
    <w:p w14:paraId="0603906A" w14:textId="77777777" w:rsidR="00DB5EDA" w:rsidRPr="00012414" w:rsidRDefault="00DB5EDA" w:rsidP="00DB5EDA">
      <w:pPr>
        <w:spacing w:before="240"/>
        <w:jc w:val="center"/>
        <w:rPr>
          <w:rFonts w:hint="eastAsia"/>
        </w:rPr>
      </w:pPr>
      <m:oMathPara>
        <m:oMath>
          <m:eqArr>
            <m:eqArrPr>
              <m:maxDist m:val="1"/>
              <m:ctrlPr>
                <w:rPr>
                  <w:rFonts w:ascii="Cambria Math" w:hAnsi="Cambria Math"/>
                  <w:i/>
                </w:rPr>
              </m:ctrlPr>
            </m:eqArrPr>
            <m:e>
              <m:r>
                <m:rPr>
                  <m:sty m:val="p"/>
                </m:rPr>
                <w:rPr>
                  <w:rFonts w:ascii="Cambria Math" w:hAnsi="Cambria Math" w:hint="eastAsia"/>
                </w:rPr>
                <m:t>S</m:t>
              </m:r>
              <m:r>
                <m:rPr>
                  <m:sty m:val="p"/>
                </m:rPr>
                <w:rPr>
                  <w:rFonts w:ascii="Cambria Math" w:hAnsi="Cambria Math"/>
                </w:rPr>
                <m:t>NR</m:t>
              </m:r>
              <m:r>
                <w:rPr>
                  <w:rFonts w:ascii="Cambria Math" w:hAnsi="Cambria Math"/>
                </w:rPr>
                <m:t>=</m:t>
              </m:r>
              <m:nary>
                <m:naryPr>
                  <m:chr m:val="∑"/>
                  <m:limLoc m:val="undOvr"/>
                  <m:ctrlPr>
                    <w:rPr>
                      <w:rFonts w:ascii="Cambria Math" w:hAnsi="Cambria Math"/>
                      <w:i/>
                    </w:rPr>
                  </m:ctrlPr>
                </m:naryPr>
                <m:sub>
                  <m:r>
                    <w:rPr>
                      <w:rFonts w:ascii="Cambria Math" w:hAnsi="Cambria Math" w:hint="eastAsia"/>
                    </w:rPr>
                    <m:t>i</m:t>
                  </m:r>
                  <m:r>
                    <w:rPr>
                      <w:rFonts w:ascii="Cambria Math" w:hAnsi="Cambria Math"/>
                    </w:rPr>
                    <m:t>=1</m:t>
                  </m:r>
                </m:sub>
                <m:sup>
                  <m:r>
                    <w:rPr>
                      <w:rFonts w:ascii="Cambria Math" w:hAnsi="Cambria Math" w:hint="eastAsia"/>
                    </w:rPr>
                    <m:t>n</m:t>
                  </m:r>
                </m:sup>
                <m:e>
                  <m:sSub>
                    <m:sSubPr>
                      <m:ctrlPr>
                        <w:rPr>
                          <w:rFonts w:ascii="Cambria Math" w:hAnsi="Cambria Math"/>
                          <w:i/>
                        </w:rPr>
                      </m:ctrlPr>
                    </m:sSubPr>
                    <m:e>
                      <m:r>
                        <w:rPr>
                          <w:rFonts w:ascii="Cambria Math" w:hAnsi="Cambria Math" w:hint="eastAsia"/>
                        </w:rPr>
                        <m:t>α</m:t>
                      </m:r>
                    </m:e>
                    <m:sub>
                      <m:r>
                        <w:rPr>
                          <w:rFonts w:ascii="Cambria Math" w:hAnsi="Cambria Math" w:hint="eastAsia"/>
                        </w:rPr>
                        <m:t>i</m:t>
                      </m:r>
                    </m:sub>
                  </m:sSub>
                  <m:d>
                    <m:dPr>
                      <m:ctrlPr>
                        <w:rPr>
                          <w:rFonts w:ascii="Cambria Math" w:hAnsi="Cambria Math"/>
                          <w:i/>
                        </w:rPr>
                      </m:ctrlPr>
                    </m:dPr>
                    <m:e>
                      <m:r>
                        <w:rPr>
                          <w:rFonts w:ascii="Cambria Math" w:hAnsi="Cambria Math"/>
                        </w:rPr>
                        <m:t>t</m:t>
                      </m:r>
                    </m:e>
                  </m:d>
                  <m:sSub>
                    <m:sSubPr>
                      <m:ctrlPr>
                        <w:rPr>
                          <w:rFonts w:ascii="Cambria Math" w:hAnsi="Cambria Math"/>
                          <w:i/>
                        </w:rPr>
                      </m:ctrlPr>
                    </m:sSubPr>
                    <m:e>
                      <m:r>
                        <w:rPr>
                          <w:rFonts w:ascii="Cambria Math" w:hAnsi="Cambria Math"/>
                        </w:rPr>
                        <m:t>A</m:t>
                      </m:r>
                    </m:e>
                    <m:sub>
                      <m:r>
                        <w:rPr>
                          <w:rFonts w:ascii="Cambria Math" w:hAnsi="Cambria Math"/>
                        </w:rPr>
                        <m:t>0</m:t>
                      </m:r>
                    </m:sub>
                  </m:sSub>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η</m:t>
                              </m:r>
                            </m:e>
                            <m:sub>
                              <m:r>
                                <w:rPr>
                                  <w:rFonts w:ascii="Cambria Math" w:hAnsi="Cambria Math"/>
                                </w:rPr>
                                <m:t>i</m:t>
                              </m:r>
                            </m:sub>
                          </m:sSub>
                          <m:d>
                            <m:dPr>
                              <m:ctrlPr>
                                <w:rPr>
                                  <w:rFonts w:ascii="Cambria Math" w:hAnsi="Cambria Math"/>
                                  <w:i/>
                                </w:rPr>
                              </m:ctrlPr>
                            </m:dPr>
                            <m:e>
                              <m:r>
                                <w:rPr>
                                  <w:rFonts w:ascii="Cambria Math" w:hAnsi="Cambria Math"/>
                                </w:rPr>
                                <m:t>t</m:t>
                              </m:r>
                            </m:e>
                          </m:d>
                        </m:e>
                      </m:d>
                      <m:r>
                        <w:rPr>
                          <w:rFonts w:ascii="Cambria Math" w:hAnsi="Cambria Math"/>
                        </w:rPr>
                        <m:t>+v</m:t>
                      </m:r>
                    </m:e>
                  </m:func>
                </m:e>
              </m:nary>
              <m:r>
                <w:rPr>
                  <w:rFonts w:ascii="Cambria Math" w:hAnsi="Cambria Math"/>
                </w:rPr>
                <m:t xml:space="preserve"> #(2)</m:t>
              </m:r>
            </m:e>
          </m:eqArr>
        </m:oMath>
      </m:oMathPara>
    </w:p>
    <w:p w14:paraId="4821DC57" w14:textId="031EE762" w:rsidR="00DB5EDA" w:rsidRPr="00E70EFE" w:rsidRDefault="001226C8" w:rsidP="00705C91">
      <w:pPr>
        <w:rPr>
          <w:rFonts w:ascii="Times New Roman" w:hAnsi="Times New Roman"/>
          <w:sz w:val="20"/>
          <w:szCs w:val="20"/>
        </w:rPr>
      </w:pPr>
      <w:r>
        <w:rPr>
          <w:rFonts w:ascii="Times New Roman" w:hAnsi="Times New Roman"/>
          <w:sz w:val="20"/>
          <w:szCs w:val="20"/>
        </w:rPr>
        <w:t>w</w:t>
      </w:r>
      <w:r w:rsidR="00DB5EDA" w:rsidRPr="00E70EFE">
        <w:rPr>
          <w:rFonts w:ascii="Times New Roman" w:hAnsi="Times New Roman"/>
          <w:sz w:val="20"/>
          <w:szCs w:val="20"/>
        </w:rPr>
        <w:t xml:space="preserve">here parameter </w:t>
      </w:r>
      <m:oMath>
        <m:sSub>
          <m:sSubPr>
            <m:ctrlPr>
              <w:rPr>
                <w:rFonts w:ascii="Cambria Math" w:hAnsi="Cambria Math"/>
                <w:sz w:val="20"/>
                <w:szCs w:val="20"/>
              </w:rPr>
            </m:ctrlPr>
          </m:sSubPr>
          <m:e>
            <m:r>
              <w:rPr>
                <w:rFonts w:ascii="Cambria Math" w:hAnsi="Cambria Math"/>
                <w:sz w:val="20"/>
                <w:szCs w:val="20"/>
              </w:rPr>
              <m:t>η</m:t>
            </m:r>
          </m:e>
          <m:sub>
            <m:r>
              <w:rPr>
                <w:rFonts w:ascii="Cambria Math" w:hAnsi="Cambria Math"/>
                <w:sz w:val="20"/>
                <w:szCs w:val="20"/>
              </w:rPr>
              <m:t>i</m:t>
            </m:r>
          </m:sub>
        </m:sSub>
      </m:oMath>
      <w:r w:rsidR="00DB5EDA" w:rsidRPr="00E70EFE">
        <w:rPr>
          <w:rFonts w:ascii="Times New Roman" w:hAnsi="Times New Roman"/>
          <w:sz w:val="20"/>
          <w:szCs w:val="20"/>
        </w:rPr>
        <w:t xml:space="preserve"> is directly related</w:t>
      </w:r>
      <w:r w:rsidR="00DB5EDA" w:rsidRPr="00E70EFE">
        <w:rPr>
          <w:rFonts w:ascii="Times New Roman" w:hAnsi="Times New Roman"/>
          <w:sz w:val="20"/>
          <w:szCs w:val="20"/>
        </w:rPr>
        <w:t xml:space="preserve"> to r</w:t>
      </w:r>
      <w:r w:rsidR="00DB5EDA" w:rsidRPr="00E70EFE">
        <w:rPr>
          <w:rFonts w:ascii="Times New Roman" w:hAnsi="Times New Roman"/>
          <w:sz w:val="20"/>
          <w:szCs w:val="20"/>
        </w:rPr>
        <w:t xml:space="preserve">elative phase with multipath </w:t>
      </w:r>
      <m:oMath>
        <m:sSub>
          <m:sSubPr>
            <m:ctrlPr>
              <w:rPr>
                <w:rFonts w:ascii="Cambria Math" w:hAnsi="Cambria Math"/>
                <w:sz w:val="20"/>
                <w:szCs w:val="20"/>
              </w:rPr>
            </m:ctrlPr>
          </m:sSubPr>
          <m:e>
            <m:r>
              <w:rPr>
                <w:rFonts w:ascii="Cambria Math" w:hAnsi="Cambria Math"/>
                <w:sz w:val="20"/>
                <w:szCs w:val="20"/>
              </w:rPr>
              <m:t>φ</m:t>
            </m:r>
          </m:e>
          <m:sub>
            <m:r>
              <w:rPr>
                <w:rFonts w:ascii="Cambria Math" w:hAnsi="Cambria Math" w:hint="eastAsia"/>
                <w:sz w:val="20"/>
                <w:szCs w:val="20"/>
              </w:rPr>
              <m:t>i</m:t>
            </m:r>
          </m:sub>
        </m:sSub>
      </m:oMath>
      <w:r w:rsidR="00DB5EDA" w:rsidRPr="00E70EFE">
        <w:rPr>
          <w:rFonts w:ascii="Times New Roman" w:hAnsi="Times New Roman"/>
          <w:sz w:val="20"/>
          <w:szCs w:val="20"/>
        </w:rPr>
        <w:t>, v is noise. Then use (1) to construct the multipath profile in the carrier phase, and subtract the phase error from the actual phase measurement to obtain a more accurate carrier phase measurement value.</w:t>
      </w:r>
    </w:p>
    <w:p w14:paraId="7129CDB2" w14:textId="689AC3BC" w:rsidR="00DB5EDA" w:rsidRPr="00E70EFE" w:rsidRDefault="00DB5EDA" w:rsidP="00705C91">
      <w:pPr>
        <w:rPr>
          <w:rFonts w:ascii="Times New Roman" w:hAnsi="Times New Roman"/>
          <w:sz w:val="20"/>
          <w:szCs w:val="20"/>
        </w:rPr>
      </w:pPr>
      <w:r w:rsidRPr="00E70EFE">
        <w:rPr>
          <w:rFonts w:ascii="Times New Roman" w:hAnsi="Times New Roman"/>
          <w:sz w:val="20"/>
          <w:szCs w:val="20"/>
        </w:rPr>
        <w:t>Therefore, for multipath mitigation based on signal quality:</w:t>
      </w:r>
    </w:p>
    <w:p w14:paraId="1453ECF3" w14:textId="6B363F31" w:rsidR="00DB5EDA" w:rsidRPr="00E70EFE" w:rsidRDefault="002B3745" w:rsidP="00705C91">
      <w:pPr>
        <w:rPr>
          <w:rFonts w:ascii="Times New Roman" w:hAnsi="Times New Roman"/>
          <w:b/>
          <w:bCs/>
          <w:i/>
          <w:iCs/>
          <w:sz w:val="20"/>
          <w:szCs w:val="20"/>
        </w:rPr>
      </w:pPr>
      <w:r>
        <w:rPr>
          <w:rFonts w:ascii="Times New Roman" w:hAnsi="Times New Roman"/>
          <w:b/>
          <w:bCs/>
          <w:i/>
          <w:iCs/>
          <w:sz w:val="20"/>
          <w:szCs w:val="20"/>
        </w:rPr>
        <w:t>Proposal</w:t>
      </w:r>
      <w:r w:rsidR="00DB5EDA" w:rsidRPr="00E70EFE">
        <w:rPr>
          <w:rFonts w:ascii="Times New Roman" w:hAnsi="Times New Roman"/>
          <w:b/>
          <w:bCs/>
          <w:i/>
          <w:iCs/>
          <w:sz w:val="20"/>
          <w:szCs w:val="20"/>
        </w:rPr>
        <w:t xml:space="preserve"> 3: The carrier phase method based on UL and DL LMF should support the reporting of SNR information.</w:t>
      </w:r>
    </w:p>
    <w:p w14:paraId="4D63BE24" w14:textId="78085E6B" w:rsidR="00DB5EDA" w:rsidRPr="00E70EFE" w:rsidRDefault="002B3745" w:rsidP="00705C91">
      <w:pPr>
        <w:rPr>
          <w:rFonts w:ascii="Times New Roman" w:hAnsi="Times New Roman"/>
          <w:b/>
          <w:bCs/>
          <w:i/>
          <w:iCs/>
          <w:sz w:val="20"/>
          <w:szCs w:val="20"/>
        </w:rPr>
      </w:pPr>
      <w:r>
        <w:rPr>
          <w:rFonts w:ascii="Times New Roman" w:hAnsi="Times New Roman"/>
          <w:b/>
          <w:bCs/>
          <w:i/>
          <w:iCs/>
          <w:sz w:val="20"/>
          <w:szCs w:val="20"/>
        </w:rPr>
        <w:t>Proposal</w:t>
      </w:r>
      <w:r w:rsidR="00DB5EDA" w:rsidRPr="00E70EFE">
        <w:rPr>
          <w:rFonts w:ascii="Times New Roman" w:hAnsi="Times New Roman"/>
          <w:b/>
          <w:bCs/>
          <w:i/>
          <w:iCs/>
          <w:sz w:val="20"/>
          <w:szCs w:val="20"/>
        </w:rPr>
        <w:t xml:space="preserve"> 4: UE-based carrier phase positioning should support the transmission of SNR information from LMF/PRU to UE.</w:t>
      </w:r>
    </w:p>
    <w:p w14:paraId="141EB762" w14:textId="48903E88" w:rsidR="00DB5EDA" w:rsidRDefault="00DB5EDA" w:rsidP="00DB5EDA">
      <w:pPr>
        <w:pStyle w:val="1"/>
        <w:snapToGrid w:val="0"/>
        <w:spacing w:beforeLines="50" w:before="156" w:afterLines="50" w:after="156"/>
        <w:ind w:left="431" w:hanging="431"/>
        <w:jc w:val="both"/>
        <w:rPr>
          <w:sz w:val="28"/>
          <w:lang w:val="en-US"/>
        </w:rPr>
      </w:pPr>
      <w:r>
        <w:rPr>
          <w:sz w:val="28"/>
          <w:lang w:val="en-US"/>
        </w:rPr>
        <w:t>C</w:t>
      </w:r>
      <w:r w:rsidRPr="00DB5EDA">
        <w:rPr>
          <w:sz w:val="28"/>
          <w:lang w:val="en-US"/>
        </w:rPr>
        <w:t>onclusion</w:t>
      </w:r>
    </w:p>
    <w:p w14:paraId="596E3EA8" w14:textId="586AFD7F" w:rsidR="00DB5EDA" w:rsidRPr="0003187B" w:rsidRDefault="0003187B" w:rsidP="00DB5EDA">
      <w:pPr>
        <w:spacing w:before="240"/>
        <w:rPr>
          <w:rFonts w:ascii="Times New Roman" w:hAnsi="Times New Roman"/>
          <w:b/>
          <w:bCs/>
          <w:i/>
          <w:iCs/>
          <w:sz w:val="20"/>
          <w:szCs w:val="20"/>
        </w:rPr>
      </w:pPr>
      <w:r>
        <w:rPr>
          <w:rFonts w:ascii="Times New Roman" w:hAnsi="Times New Roman"/>
          <w:b/>
          <w:bCs/>
          <w:i/>
          <w:iCs/>
          <w:sz w:val="20"/>
          <w:szCs w:val="20"/>
        </w:rPr>
        <w:t>Proposal</w:t>
      </w:r>
      <w:r w:rsidR="00DB5EDA" w:rsidRPr="0003187B">
        <w:rPr>
          <w:rFonts w:ascii="Times New Roman" w:hAnsi="Times New Roman"/>
          <w:b/>
          <w:bCs/>
          <w:i/>
          <w:iCs/>
          <w:sz w:val="20"/>
          <w:szCs w:val="20"/>
        </w:rPr>
        <w:t xml:space="preserve"> 1: Discuss in more detail the scheme of using LOS/NLOS indication to mitigate multipath.</w:t>
      </w:r>
    </w:p>
    <w:p w14:paraId="7CD4DA8C" w14:textId="77777777" w:rsidR="00DB5EDA" w:rsidRPr="0003187B" w:rsidRDefault="00DB5EDA" w:rsidP="00DB5EDA">
      <w:pPr>
        <w:rPr>
          <w:rFonts w:ascii="Times New Roman" w:hAnsi="Times New Roman"/>
          <w:b/>
          <w:bCs/>
          <w:i/>
          <w:iCs/>
          <w:sz w:val="20"/>
          <w:szCs w:val="20"/>
        </w:rPr>
      </w:pPr>
      <w:r w:rsidRPr="0003187B">
        <w:rPr>
          <w:rFonts w:ascii="Times New Roman" w:hAnsi="Times New Roman"/>
          <w:b/>
          <w:bCs/>
          <w:i/>
          <w:iCs/>
          <w:sz w:val="20"/>
          <w:szCs w:val="20"/>
        </w:rPr>
        <w:t>Observation 1: LOS signal and multipath NLOS signal often have different attenuation, time delay and carrier phase.</w:t>
      </w:r>
    </w:p>
    <w:p w14:paraId="4F811325" w14:textId="47385439" w:rsidR="00DB5EDA" w:rsidRPr="0003187B" w:rsidRDefault="00771EE0" w:rsidP="00DB5EDA">
      <w:pPr>
        <w:rPr>
          <w:rFonts w:ascii="Times New Roman" w:hAnsi="Times New Roman"/>
          <w:b/>
          <w:bCs/>
          <w:i/>
          <w:iCs/>
          <w:sz w:val="20"/>
          <w:szCs w:val="20"/>
        </w:rPr>
      </w:pPr>
      <w:r>
        <w:rPr>
          <w:rFonts w:ascii="Times New Roman" w:hAnsi="Times New Roman"/>
          <w:b/>
          <w:bCs/>
          <w:i/>
          <w:iCs/>
          <w:sz w:val="20"/>
          <w:szCs w:val="20"/>
        </w:rPr>
        <w:lastRenderedPageBreak/>
        <w:t>Proposal</w:t>
      </w:r>
      <w:r w:rsidR="00DB5EDA" w:rsidRPr="0003187B">
        <w:rPr>
          <w:rFonts w:ascii="Times New Roman" w:hAnsi="Times New Roman"/>
          <w:b/>
          <w:bCs/>
          <w:i/>
          <w:iCs/>
          <w:sz w:val="20"/>
          <w:szCs w:val="20"/>
        </w:rPr>
        <w:t xml:space="preserve"> 2: Analyze the energy change of I/Q channel output to mitigate multipath.</w:t>
      </w:r>
    </w:p>
    <w:p w14:paraId="68F70595" w14:textId="7C9D273F" w:rsidR="00DB5EDA" w:rsidRPr="0003187B" w:rsidRDefault="00771EE0" w:rsidP="00DB5EDA">
      <w:pPr>
        <w:rPr>
          <w:rFonts w:ascii="Times New Roman" w:hAnsi="Times New Roman"/>
          <w:b/>
          <w:bCs/>
          <w:i/>
          <w:iCs/>
          <w:sz w:val="20"/>
          <w:szCs w:val="20"/>
        </w:rPr>
      </w:pPr>
      <w:r>
        <w:rPr>
          <w:rFonts w:ascii="Times New Roman" w:hAnsi="Times New Roman"/>
          <w:b/>
          <w:bCs/>
          <w:i/>
          <w:iCs/>
          <w:sz w:val="20"/>
          <w:szCs w:val="20"/>
        </w:rPr>
        <w:t>Proposal</w:t>
      </w:r>
      <w:r w:rsidR="00DB5EDA" w:rsidRPr="0003187B">
        <w:rPr>
          <w:rFonts w:ascii="Times New Roman" w:hAnsi="Times New Roman"/>
          <w:b/>
          <w:bCs/>
          <w:i/>
          <w:iCs/>
          <w:sz w:val="20"/>
          <w:szCs w:val="20"/>
        </w:rPr>
        <w:t xml:space="preserve"> 3: The carrier phase method based on UL and DL LMF should support the reporting of SNR information.</w:t>
      </w:r>
    </w:p>
    <w:p w14:paraId="679E0A0E" w14:textId="6B852221" w:rsidR="00DB5EDA" w:rsidRPr="0003187B" w:rsidRDefault="00771EE0" w:rsidP="00DB5EDA">
      <w:pPr>
        <w:rPr>
          <w:rFonts w:ascii="Times New Roman" w:hAnsi="Times New Roman"/>
          <w:b/>
          <w:bCs/>
          <w:i/>
          <w:iCs/>
          <w:sz w:val="20"/>
          <w:szCs w:val="20"/>
        </w:rPr>
      </w:pPr>
      <w:r>
        <w:rPr>
          <w:rFonts w:ascii="Times New Roman" w:hAnsi="Times New Roman"/>
          <w:b/>
          <w:bCs/>
          <w:i/>
          <w:iCs/>
          <w:sz w:val="20"/>
          <w:szCs w:val="20"/>
        </w:rPr>
        <w:t>Proposal</w:t>
      </w:r>
      <w:r w:rsidR="00DB5EDA" w:rsidRPr="0003187B">
        <w:rPr>
          <w:rFonts w:ascii="Times New Roman" w:hAnsi="Times New Roman"/>
          <w:b/>
          <w:bCs/>
          <w:i/>
          <w:iCs/>
          <w:sz w:val="20"/>
          <w:szCs w:val="20"/>
        </w:rPr>
        <w:t xml:space="preserve"> 4: UE-based carrier phase positioning should support the transmission of SNR information from LMF/PRU to UE.</w:t>
      </w:r>
    </w:p>
    <w:p w14:paraId="29DC0D6A" w14:textId="4C36B924" w:rsidR="00DB5EDA" w:rsidRDefault="00DB5EDA" w:rsidP="00DB5EDA">
      <w:pPr>
        <w:pStyle w:val="1"/>
        <w:snapToGrid w:val="0"/>
        <w:spacing w:beforeLines="50" w:before="156" w:afterLines="50" w:after="156"/>
        <w:ind w:left="431" w:hanging="431"/>
        <w:jc w:val="both"/>
        <w:rPr>
          <w:sz w:val="28"/>
          <w:lang w:val="en-US"/>
        </w:rPr>
      </w:pPr>
      <w:r>
        <w:rPr>
          <w:rFonts w:hint="eastAsia"/>
          <w:sz w:val="28"/>
          <w:lang w:val="en-US"/>
        </w:rPr>
        <w:t>R</w:t>
      </w:r>
      <w:r w:rsidRPr="00DB5EDA">
        <w:rPr>
          <w:sz w:val="28"/>
          <w:lang w:val="en-US"/>
        </w:rPr>
        <w:t>eference</w:t>
      </w:r>
    </w:p>
    <w:p w14:paraId="7408ABD4" w14:textId="77777777" w:rsidR="00546953" w:rsidRDefault="00546953" w:rsidP="00546953">
      <w:pPr>
        <w:numPr>
          <w:ilvl w:val="0"/>
          <w:numId w:val="5"/>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RP-2135</w:t>
      </w:r>
      <w:r>
        <w:rPr>
          <w:rFonts w:ascii="Times New Roman" w:eastAsia="宋体" w:hAnsi="Times New Roman"/>
          <w:sz w:val="20"/>
          <w:szCs w:val="20"/>
        </w:rPr>
        <w:t>88</w:t>
      </w:r>
      <w:r>
        <w:rPr>
          <w:rFonts w:ascii="Times New Roman" w:eastAsia="宋体" w:hAnsi="Times New Roman" w:hint="eastAsia"/>
          <w:sz w:val="20"/>
          <w:szCs w:val="20"/>
        </w:rPr>
        <w:t xml:space="preserve"> </w:t>
      </w:r>
      <w:r>
        <w:rPr>
          <w:rFonts w:ascii="Times New Roman" w:eastAsia="宋体" w:hAnsi="Times New Roman"/>
          <w:sz w:val="20"/>
          <w:szCs w:val="20"/>
        </w:rPr>
        <w:t>Revised SID on Study on expanded and improved NR positioning</w:t>
      </w:r>
      <w:r>
        <w:rPr>
          <w:rFonts w:ascii="Times New Roman" w:eastAsia="宋体" w:hAnsi="Times New Roman" w:hint="eastAsia"/>
          <w:sz w:val="20"/>
          <w:szCs w:val="20"/>
        </w:rPr>
        <w:t>,</w:t>
      </w:r>
      <w:r>
        <w:rPr>
          <w:rFonts w:ascii="Times New Roman" w:eastAsia="宋体" w:hAnsi="Times New Roman"/>
          <w:sz w:val="20"/>
          <w:szCs w:val="20"/>
        </w:rPr>
        <w:t xml:space="preserve"> </w:t>
      </w:r>
      <w:r>
        <w:rPr>
          <w:rFonts w:ascii="Times New Roman" w:eastAsia="宋体" w:hAnsi="Times New Roman" w:hint="eastAsia"/>
          <w:sz w:val="20"/>
          <w:szCs w:val="20"/>
        </w:rPr>
        <w:t>RAN#94e</w:t>
      </w:r>
      <w:r>
        <w:rPr>
          <w:rFonts w:ascii="Times New Roman" w:eastAsia="宋体" w:hAnsi="Times New Roman"/>
          <w:sz w:val="20"/>
          <w:szCs w:val="20"/>
        </w:rPr>
        <w:t>.</w:t>
      </w:r>
    </w:p>
    <w:p w14:paraId="31FD21AA" w14:textId="56B80284" w:rsidR="00DB5EDA" w:rsidRPr="00546953" w:rsidRDefault="00546953" w:rsidP="00705C91">
      <w:pPr>
        <w:widowControl w:val="0"/>
        <w:numPr>
          <w:ilvl w:val="0"/>
          <w:numId w:val="5"/>
        </w:numPr>
        <w:spacing w:after="0"/>
        <w:rPr>
          <w:rFonts w:hint="eastAsia"/>
          <w:sz w:val="20"/>
          <w:szCs w:val="20"/>
        </w:rPr>
      </w:pPr>
      <w:bookmarkStart w:id="0" w:name="_Ref110332281"/>
      <w:r w:rsidRPr="00814A51">
        <w:rPr>
          <w:sz w:val="20"/>
          <w:szCs w:val="20"/>
        </w:rPr>
        <w:t>Chair’s Notes RAN1#1</w:t>
      </w:r>
      <w:r>
        <w:rPr>
          <w:sz w:val="20"/>
          <w:szCs w:val="20"/>
        </w:rPr>
        <w:t>11 v15</w:t>
      </w:r>
      <w:r w:rsidRPr="00814A51">
        <w:rPr>
          <w:sz w:val="20"/>
          <w:szCs w:val="20"/>
        </w:rPr>
        <w:t xml:space="preserve">, </w:t>
      </w:r>
      <w:r>
        <w:rPr>
          <w:sz w:val="20"/>
          <w:szCs w:val="20"/>
        </w:rPr>
        <w:t>November</w:t>
      </w:r>
      <w:r w:rsidRPr="00814A51">
        <w:rPr>
          <w:sz w:val="20"/>
          <w:szCs w:val="20"/>
        </w:rPr>
        <w:t xml:space="preserve"> </w:t>
      </w:r>
      <w:r>
        <w:rPr>
          <w:sz w:val="20"/>
          <w:szCs w:val="20"/>
        </w:rPr>
        <w:t>14</w:t>
      </w:r>
      <w:r w:rsidRPr="00814A51">
        <w:rPr>
          <w:sz w:val="20"/>
          <w:szCs w:val="20"/>
        </w:rPr>
        <w:t xml:space="preserve">th – </w:t>
      </w:r>
      <w:r>
        <w:rPr>
          <w:sz w:val="20"/>
          <w:szCs w:val="20"/>
        </w:rPr>
        <w:t>18</w:t>
      </w:r>
      <w:r w:rsidRPr="00814A51">
        <w:rPr>
          <w:sz w:val="20"/>
          <w:szCs w:val="20"/>
        </w:rPr>
        <w:t>th, 2022</w:t>
      </w:r>
      <w:bookmarkEnd w:id="0"/>
      <w:r>
        <w:rPr>
          <w:sz w:val="20"/>
          <w:szCs w:val="20"/>
        </w:rPr>
        <w:t>.</w:t>
      </w:r>
    </w:p>
    <w:sectPr w:rsidR="00DB5EDA" w:rsidRPr="005469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040F8" w14:textId="77777777" w:rsidR="001C6797" w:rsidRDefault="001C6797" w:rsidP="007C60E3">
      <w:pPr>
        <w:spacing w:after="0" w:line="240" w:lineRule="auto"/>
      </w:pPr>
      <w:r>
        <w:separator/>
      </w:r>
    </w:p>
  </w:endnote>
  <w:endnote w:type="continuationSeparator" w:id="0">
    <w:p w14:paraId="356422FF" w14:textId="77777777" w:rsidR="001C6797" w:rsidRDefault="001C6797" w:rsidP="007C6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607A2" w14:textId="77777777" w:rsidR="001C6797" w:rsidRDefault="001C6797" w:rsidP="007C60E3">
      <w:pPr>
        <w:spacing w:after="0" w:line="240" w:lineRule="auto"/>
      </w:pPr>
      <w:r>
        <w:separator/>
      </w:r>
    </w:p>
  </w:footnote>
  <w:footnote w:type="continuationSeparator" w:id="0">
    <w:p w14:paraId="273F0C4C" w14:textId="77777777" w:rsidR="001C6797" w:rsidRDefault="001C6797" w:rsidP="007C60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DE83EA3"/>
    <w:multiLevelType w:val="hybridMultilevel"/>
    <w:tmpl w:val="005AD276"/>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09800093">
    <w:abstractNumId w:val="4"/>
  </w:num>
  <w:num w:numId="2" w16cid:durableId="2038382980">
    <w:abstractNumId w:val="2"/>
  </w:num>
  <w:num w:numId="3" w16cid:durableId="881861968">
    <w:abstractNumId w:val="1"/>
  </w:num>
  <w:num w:numId="4" w16cid:durableId="1025987329">
    <w:abstractNumId w:val="3"/>
  </w:num>
  <w:num w:numId="5" w16cid:durableId="205408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4F6"/>
    <w:rsid w:val="0003187B"/>
    <w:rsid w:val="0005567D"/>
    <w:rsid w:val="00107EDD"/>
    <w:rsid w:val="001226C8"/>
    <w:rsid w:val="001A4522"/>
    <w:rsid w:val="001C6797"/>
    <w:rsid w:val="002B3745"/>
    <w:rsid w:val="0050179D"/>
    <w:rsid w:val="00546953"/>
    <w:rsid w:val="00670D52"/>
    <w:rsid w:val="006873B8"/>
    <w:rsid w:val="00705C91"/>
    <w:rsid w:val="00747B60"/>
    <w:rsid w:val="00771EE0"/>
    <w:rsid w:val="007C60E3"/>
    <w:rsid w:val="00810F3C"/>
    <w:rsid w:val="00873D8C"/>
    <w:rsid w:val="00913534"/>
    <w:rsid w:val="009B54D5"/>
    <w:rsid w:val="009D6A7C"/>
    <w:rsid w:val="00A20FE6"/>
    <w:rsid w:val="00A24E72"/>
    <w:rsid w:val="00AA548E"/>
    <w:rsid w:val="00DB5EDA"/>
    <w:rsid w:val="00DF2302"/>
    <w:rsid w:val="00E424F6"/>
    <w:rsid w:val="00E70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2FDB4"/>
  <w15:chartTrackingRefBased/>
  <w15:docId w15:val="{B83213EB-425E-425C-9E65-9B3BCAF2E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0E3"/>
    <w:pPr>
      <w:spacing w:after="200" w:line="276" w:lineRule="auto"/>
    </w:pPr>
    <w:rPr>
      <w:rFonts w:ascii="Calibri" w:hAnsi="Calibri" w:cs="Times New Roman"/>
      <w:kern w:val="0"/>
      <w:sz w:val="22"/>
    </w:rPr>
  </w:style>
  <w:style w:type="paragraph" w:styleId="1">
    <w:name w:val="heading 1"/>
    <w:basedOn w:val="a"/>
    <w:next w:val="a"/>
    <w:link w:val="10"/>
    <w:qFormat/>
    <w:rsid w:val="007C60E3"/>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60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C60E3"/>
    <w:rPr>
      <w:sz w:val="18"/>
      <w:szCs w:val="18"/>
    </w:rPr>
  </w:style>
  <w:style w:type="paragraph" w:styleId="a5">
    <w:name w:val="footer"/>
    <w:basedOn w:val="a"/>
    <w:link w:val="a6"/>
    <w:uiPriority w:val="99"/>
    <w:unhideWhenUsed/>
    <w:rsid w:val="007C60E3"/>
    <w:pPr>
      <w:tabs>
        <w:tab w:val="center" w:pos="4153"/>
        <w:tab w:val="right" w:pos="8306"/>
      </w:tabs>
      <w:snapToGrid w:val="0"/>
    </w:pPr>
    <w:rPr>
      <w:sz w:val="18"/>
      <w:szCs w:val="18"/>
    </w:rPr>
  </w:style>
  <w:style w:type="character" w:customStyle="1" w:styleId="a6">
    <w:name w:val="页脚 字符"/>
    <w:basedOn w:val="a0"/>
    <w:link w:val="a5"/>
    <w:uiPriority w:val="99"/>
    <w:rsid w:val="007C60E3"/>
    <w:rPr>
      <w:sz w:val="18"/>
      <w:szCs w:val="18"/>
    </w:rPr>
  </w:style>
  <w:style w:type="character" w:customStyle="1" w:styleId="10">
    <w:name w:val="标题 1 字符"/>
    <w:basedOn w:val="a0"/>
    <w:link w:val="1"/>
    <w:qFormat/>
    <w:rsid w:val="007C60E3"/>
    <w:rPr>
      <w:rFonts w:ascii="Arial" w:eastAsia="黑体" w:hAnsi="Arial" w:cs="Times New Roman"/>
      <w:b/>
      <w:bCs/>
      <w:kern w:val="0"/>
      <w:sz w:val="30"/>
      <w:szCs w:val="30"/>
      <w:lang w:val="zh-CN"/>
    </w:rPr>
  </w:style>
  <w:style w:type="table" w:styleId="a7">
    <w:name w:val="Table Grid"/>
    <w:basedOn w:val="a1"/>
    <w:uiPriority w:val="59"/>
    <w:qFormat/>
    <w:rsid w:val="007C60E3"/>
    <w:rPr>
      <w:rFonts w:ascii="Times New Roman" w:eastAsia="等线"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numbere"/>
    <w:basedOn w:val="a"/>
    <w:link w:val="a9"/>
    <w:uiPriority w:val="34"/>
    <w:qFormat/>
    <w:rsid w:val="009B54D5"/>
    <w:pPr>
      <w:spacing w:after="0" w:line="240" w:lineRule="auto"/>
      <w:ind w:leftChars="400" w:left="840"/>
    </w:pPr>
    <w:rPr>
      <w:rFonts w:ascii="Times" w:eastAsia="Batang" w:hAnsi="Times"/>
      <w:sz w:val="20"/>
      <w:szCs w:val="24"/>
      <w:lang w:val="en-GB" w:eastAsia="x-none"/>
    </w:rPr>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8"/>
    <w:uiPriority w:val="34"/>
    <w:qFormat/>
    <w:rsid w:val="009B54D5"/>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4</Pages>
  <Words>957</Words>
  <Characters>5455</Characters>
  <Application>Microsoft Office Word</Application>
  <DocSecurity>0</DocSecurity>
  <Lines>45</Lines>
  <Paragraphs>12</Paragraphs>
  <ScaleCrop>false</ScaleCrop>
  <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 海龙</dc:creator>
  <cp:keywords/>
  <dc:description/>
  <cp:lastModifiedBy>任 海龙</cp:lastModifiedBy>
  <cp:revision>128</cp:revision>
  <dcterms:created xsi:type="dcterms:W3CDTF">2023-02-16T05:17:00Z</dcterms:created>
  <dcterms:modified xsi:type="dcterms:W3CDTF">2023-02-16T06:54:00Z</dcterms:modified>
</cp:coreProperties>
</file>