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5EDEC3EC" w:rsidR="00433158" w:rsidRPr="00432C89" w:rsidRDefault="00F97D3C"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Pr>
          <w:rFonts w:ascii="Arial" w:hAnsi="Arial" w:cs="Arial"/>
          <w:b/>
          <w:bCs/>
          <w:sz w:val="28"/>
        </w:rPr>
        <w:t>1</w:t>
      </w:r>
      <w:r w:rsidR="00045ACF">
        <w:rPr>
          <w:rFonts w:ascii="Arial" w:hAnsi="Arial" w:cs="Arial"/>
          <w:b/>
          <w:bCs/>
          <w:sz w:val="28"/>
        </w:rPr>
        <w:t>2</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AD67A2">
        <w:rPr>
          <w:rFonts w:ascii="Arial" w:hAnsi="Arial" w:cs="Arial"/>
          <w:b/>
          <w:bCs/>
          <w:sz w:val="28"/>
        </w:rPr>
        <w:t xml:space="preserve">       </w:t>
      </w:r>
      <w:r w:rsidR="0033360E" w:rsidRPr="0033360E">
        <w:rPr>
          <w:rFonts w:ascii="Arial" w:hAnsi="Arial" w:cs="Arial"/>
          <w:b/>
          <w:bCs/>
          <w:sz w:val="28"/>
        </w:rPr>
        <w:t>R1-2300218</w:t>
      </w:r>
    </w:p>
    <w:p w14:paraId="2FC38140" w14:textId="451F8057" w:rsidR="00433158" w:rsidRPr="001365C0" w:rsidRDefault="001365C0" w:rsidP="00DA3AF4">
      <w:pPr>
        <w:tabs>
          <w:tab w:val="center" w:pos="4536"/>
          <w:tab w:val="right" w:pos="9072"/>
        </w:tabs>
        <w:rPr>
          <w:rFonts w:ascii="Arial" w:hAnsi="Arial" w:cs="Arial"/>
          <w:b/>
          <w:bCs/>
          <w:sz w:val="28"/>
        </w:rPr>
      </w:pPr>
      <w:bookmarkStart w:id="0" w:name="OLE_LINK13"/>
      <w:bookmarkStart w:id="1" w:name="OLE_LINK14"/>
      <w:r w:rsidRPr="001365C0">
        <w:rPr>
          <w:rFonts w:ascii="Arial" w:hAnsi="Arial" w:cs="Arial"/>
          <w:b/>
          <w:bCs/>
          <w:sz w:val="28"/>
        </w:rPr>
        <w:t>Athens, Greece, February 27</w:t>
      </w:r>
      <w:r w:rsidRPr="001365C0">
        <w:rPr>
          <w:rFonts w:ascii="Arial" w:hAnsi="Arial" w:cs="Arial"/>
          <w:b/>
          <w:bCs/>
          <w:sz w:val="28"/>
          <w:vertAlign w:val="superscript"/>
        </w:rPr>
        <w:t>th</w:t>
      </w:r>
      <w:r w:rsidRPr="001365C0">
        <w:rPr>
          <w:rFonts w:ascii="Arial" w:hAnsi="Arial" w:cs="Arial"/>
          <w:b/>
          <w:bCs/>
          <w:sz w:val="28"/>
        </w:rPr>
        <w:t xml:space="preserve"> – March </w:t>
      </w:r>
      <w:r w:rsidR="00F76AA0">
        <w:rPr>
          <w:rFonts w:ascii="Arial" w:hAnsi="Arial" w:cs="Arial" w:hint="eastAsia"/>
          <w:b/>
          <w:bCs/>
          <w:sz w:val="28"/>
        </w:rPr>
        <w:t>3</w:t>
      </w:r>
      <w:bookmarkStart w:id="2" w:name="_GoBack"/>
      <w:bookmarkEnd w:id="2"/>
      <w:r w:rsidR="00E61876">
        <w:rPr>
          <w:rFonts w:ascii="Arial" w:hAnsi="Arial" w:cs="Arial"/>
          <w:b/>
          <w:bCs/>
          <w:sz w:val="28"/>
          <w:vertAlign w:val="superscript"/>
        </w:rPr>
        <w:t>rd</w:t>
      </w:r>
      <w:r w:rsidRPr="001365C0">
        <w:rPr>
          <w:rFonts w:ascii="Arial" w:hAnsi="Arial" w:cs="Arial"/>
          <w:b/>
          <w:bCs/>
          <w:sz w:val="28"/>
        </w:rPr>
        <w:t>, 2023</w:t>
      </w:r>
    </w:p>
    <w:bookmarkEnd w:id="0"/>
    <w:bookmarkEnd w:id="1"/>
    <w:p w14:paraId="7A4241A6" w14:textId="77777777" w:rsidR="00433158" w:rsidRPr="00CF123B" w:rsidRDefault="00433158" w:rsidP="00433158">
      <w:pPr>
        <w:pBdr>
          <w:top w:val="single" w:sz="4" w:space="0" w:color="auto"/>
        </w:pBdr>
        <w:rPr>
          <w:b/>
          <w:bCs/>
          <w:sz w:val="16"/>
          <w:szCs w:val="16"/>
          <w:highlight w:val="yellow"/>
        </w:rPr>
      </w:pPr>
    </w:p>
    <w:p w14:paraId="5ADD6F7E" w14:textId="77777777" w:rsidR="00433158" w:rsidRPr="00F0251E" w:rsidRDefault="00433158" w:rsidP="00433158">
      <w:pPr>
        <w:spacing w:after="60"/>
        <w:ind w:left="1555" w:hanging="1555"/>
        <w:rPr>
          <w:rFonts w:ascii="Times New Roman" w:eastAsia="MS PGothic" w:hAnsi="Times New Roman" w:cs="Times New Roman"/>
          <w:b/>
          <w:sz w:val="22"/>
        </w:rPr>
      </w:pPr>
      <w:r w:rsidRPr="00F0251E">
        <w:rPr>
          <w:rFonts w:ascii="Times New Roman" w:hAnsi="Times New Roman" w:cs="Times New Roman"/>
          <w:b/>
          <w:sz w:val="22"/>
        </w:rPr>
        <w:t>Agenda Item:</w:t>
      </w:r>
      <w:r w:rsidRPr="00F0251E">
        <w:rPr>
          <w:rFonts w:ascii="Times New Roman" w:hAnsi="Times New Roman" w:cs="Times New Roman"/>
          <w:b/>
          <w:sz w:val="22"/>
        </w:rPr>
        <w:tab/>
      </w:r>
      <w:r w:rsidR="00262802" w:rsidRPr="00F0251E">
        <w:rPr>
          <w:rFonts w:ascii="Times New Roman" w:hAnsi="Times New Roman" w:cs="Times New Roman"/>
          <w:b/>
          <w:sz w:val="22"/>
        </w:rPr>
        <w:t>9.3.</w:t>
      </w:r>
      <w:r w:rsidR="007A6AAE" w:rsidRPr="00F0251E">
        <w:rPr>
          <w:rFonts w:ascii="Times New Roman" w:hAnsi="Times New Roman" w:cs="Times New Roman"/>
          <w:b/>
          <w:sz w:val="22"/>
        </w:rPr>
        <w:t>3</w:t>
      </w:r>
    </w:p>
    <w:p w14:paraId="7C0B2E1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Source:</w:t>
      </w:r>
      <w:r w:rsidRPr="00F0251E">
        <w:rPr>
          <w:rFonts w:ascii="Times New Roman" w:hAnsi="Times New Roman" w:cs="Times New Roman"/>
          <w:b/>
          <w:sz w:val="22"/>
        </w:rPr>
        <w:tab/>
        <w:t>Spreadtrum Communications</w:t>
      </w:r>
    </w:p>
    <w:p w14:paraId="53F3B86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Title:</w:t>
      </w:r>
      <w:r w:rsidRPr="00F0251E">
        <w:rPr>
          <w:rFonts w:ascii="Times New Roman" w:hAnsi="Times New Roman" w:cs="Times New Roman"/>
          <w:b/>
          <w:sz w:val="22"/>
        </w:rPr>
        <w:tab/>
      </w:r>
      <w:r w:rsidR="00262802" w:rsidRPr="00F0251E">
        <w:rPr>
          <w:rFonts w:ascii="Times New Roman" w:hAnsi="Times New Roman" w:cs="Times New Roman"/>
          <w:b/>
          <w:sz w:val="22"/>
        </w:rPr>
        <w:t xml:space="preserve">Discussion on </w:t>
      </w:r>
      <w:r w:rsidR="007A6AAE" w:rsidRPr="00F0251E">
        <w:rPr>
          <w:rFonts w:ascii="Times New Roman" w:hAnsi="Times New Roman" w:cs="Times New Roman"/>
          <w:b/>
          <w:sz w:val="22"/>
        </w:rPr>
        <w:t>potential enhancements on dynamic/flexible TDD</w:t>
      </w:r>
    </w:p>
    <w:p w14:paraId="47F5A95F"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Document for:</w:t>
      </w:r>
      <w:r w:rsidRPr="00F0251E">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7777777" w:rsidR="00433158" w:rsidRDefault="00433158" w:rsidP="00433158">
      <w:pPr>
        <w:pStyle w:val="1"/>
        <w:rPr>
          <w:lang w:eastAsia="zh-CN"/>
        </w:rPr>
      </w:pPr>
      <w:r>
        <w:rPr>
          <w:lang w:eastAsia="zh-CN"/>
        </w:rPr>
        <w:t>Introduction</w:t>
      </w:r>
    </w:p>
    <w:p w14:paraId="1BB96D5C" w14:textId="722F9220" w:rsidR="00634CBF" w:rsidRPr="00D244BB" w:rsidRDefault="000A29BB" w:rsidP="00FD77DB">
      <w:pPr>
        <w:spacing w:afterLines="50" w:after="156"/>
        <w:rPr>
          <w:rFonts w:ascii="Times New Roman" w:hAnsi="Times New Roman" w:cs="Times New Roman"/>
          <w:sz w:val="22"/>
        </w:rPr>
      </w:pPr>
      <w:r w:rsidRPr="003245D8">
        <w:rPr>
          <w:rFonts w:ascii="Times New Roman" w:hAnsi="Times New Roman" w:cs="Times New Roman"/>
          <w:sz w:val="22"/>
        </w:rPr>
        <w:t>In this contribution, we discuss the</w:t>
      </w:r>
      <w:r>
        <w:rPr>
          <w:rFonts w:ascii="Times New Roman" w:hAnsi="Times New Roman" w:cs="Times New Roman"/>
          <w:sz w:val="22"/>
        </w:rPr>
        <w:t xml:space="preserve"> possible solutions related to </w:t>
      </w:r>
      <w:r w:rsidR="002E5B9B">
        <w:rPr>
          <w:rFonts w:ascii="Times New Roman" w:hAnsi="Times New Roman" w:cs="Times New Roman"/>
          <w:sz w:val="22"/>
        </w:rPr>
        <w:t>potential enhancements on dynamic/flexible TDD</w:t>
      </w:r>
      <w:r>
        <w:rPr>
          <w:rFonts w:ascii="Times New Roman" w:hAnsi="Times New Roman" w:cs="Times New Roman"/>
          <w:sz w:val="22"/>
        </w:rPr>
        <w:t>.</w:t>
      </w:r>
      <w:r w:rsidR="00FD77DB" w:rsidRPr="00D244BB">
        <w:rPr>
          <w:rFonts w:ascii="Times New Roman" w:hAnsi="Times New Roman" w:cs="Times New Roman"/>
          <w:sz w:val="22"/>
        </w:rPr>
        <w:t xml:space="preserve"> </w:t>
      </w:r>
    </w:p>
    <w:p w14:paraId="2824596F" w14:textId="6CAD0E9C" w:rsidR="003C14E2" w:rsidRPr="003C14E2" w:rsidRDefault="00B264FE" w:rsidP="003C14E2">
      <w:pPr>
        <w:pStyle w:val="1"/>
        <w:rPr>
          <w:lang w:eastAsia="zh-CN"/>
        </w:rPr>
      </w:pPr>
      <w:r>
        <w:rPr>
          <w:lang w:eastAsia="zh-CN"/>
        </w:rPr>
        <w:t>I</w:t>
      </w:r>
      <w:r>
        <w:rPr>
          <w:rFonts w:hint="eastAsia"/>
          <w:lang w:eastAsia="zh-CN"/>
        </w:rPr>
        <w:t>nter-gNB</w:t>
      </w:r>
      <w:r>
        <w:rPr>
          <w:lang w:eastAsia="zh-CN"/>
        </w:rPr>
        <w:t xml:space="preserve"> </w:t>
      </w:r>
      <w:r w:rsidR="001035E7">
        <w:rPr>
          <w:lang w:eastAsia="zh-CN"/>
        </w:rPr>
        <w:t>CLI handling</w:t>
      </w:r>
    </w:p>
    <w:tbl>
      <w:tblPr>
        <w:tblStyle w:val="aa"/>
        <w:tblW w:w="0" w:type="auto"/>
        <w:tblLook w:val="04A0" w:firstRow="1" w:lastRow="0" w:firstColumn="1" w:lastColumn="0" w:noHBand="0" w:noVBand="1"/>
      </w:tblPr>
      <w:tblGrid>
        <w:gridCol w:w="9322"/>
      </w:tblGrid>
      <w:tr w:rsidR="009926A7" w14:paraId="0809D503" w14:textId="77777777" w:rsidTr="009926A7">
        <w:tc>
          <w:tcPr>
            <w:tcW w:w="9322" w:type="dxa"/>
          </w:tcPr>
          <w:p w14:paraId="7C3D8816" w14:textId="1F248C09" w:rsidR="009926A7" w:rsidRPr="001365C0" w:rsidRDefault="009926A7" w:rsidP="001365C0">
            <w:pPr>
              <w:tabs>
                <w:tab w:val="left" w:pos="0"/>
              </w:tabs>
              <w:contextualSpacing/>
              <w:rPr>
                <w:rFonts w:ascii="Times New Roman" w:hAnsi="Times New Roman" w:cs="Times New Roman"/>
                <w:sz w:val="22"/>
              </w:rPr>
            </w:pPr>
            <w:r w:rsidRPr="001365C0">
              <w:rPr>
                <w:rFonts w:ascii="Times New Roman" w:hAnsi="Times New Roman" w:cs="Times New Roman"/>
                <w:b/>
                <w:bCs/>
                <w:sz w:val="22"/>
                <w:highlight w:val="green"/>
              </w:rPr>
              <w:t>Agreement</w:t>
            </w:r>
          </w:p>
          <w:p w14:paraId="5F9AB671" w14:textId="77777777" w:rsidR="009926A7" w:rsidRPr="001365C0" w:rsidRDefault="009926A7" w:rsidP="009926A7">
            <w:pPr>
              <w:tabs>
                <w:tab w:val="left" w:pos="0"/>
              </w:tabs>
              <w:contextualSpacing/>
              <w:rPr>
                <w:rFonts w:ascii="Times New Roman" w:hAnsi="Times New Roman" w:cs="Times New Roman"/>
                <w:sz w:val="22"/>
              </w:rPr>
            </w:pPr>
            <w:r w:rsidRPr="001365C0">
              <w:rPr>
                <w:rFonts w:ascii="Times New Roman" w:hAnsi="Times New Roman" w:cs="Times New Roman"/>
                <w:sz w:val="22"/>
              </w:rPr>
              <w:t>For gNB-to-gNB co-channel CLI measurement and/or channel measurement, at least periodic NZP CSI-RS/SSB is the baseline in RAN1 study.</w:t>
            </w:r>
          </w:p>
          <w:p w14:paraId="4D55F008" w14:textId="77777777" w:rsidR="009926A7" w:rsidRPr="001365C0" w:rsidRDefault="009926A7" w:rsidP="009926A7">
            <w:pPr>
              <w:pStyle w:val="a3"/>
              <w:widowControl/>
              <w:numPr>
                <w:ilvl w:val="0"/>
                <w:numId w:val="27"/>
              </w:numPr>
              <w:overflowPunct w:val="0"/>
              <w:autoSpaceDE w:val="0"/>
              <w:autoSpaceDN w:val="0"/>
              <w:adjustRightInd w:val="0"/>
              <w:spacing w:after="180"/>
              <w:ind w:firstLineChars="0"/>
              <w:contextualSpacing/>
              <w:jc w:val="left"/>
              <w:textAlignment w:val="baseline"/>
              <w:rPr>
                <w:rFonts w:ascii="Times New Roman" w:hAnsi="Times New Roman" w:cs="Times New Roman"/>
                <w:sz w:val="22"/>
              </w:rPr>
            </w:pPr>
            <w:r w:rsidRPr="001365C0">
              <w:rPr>
                <w:rFonts w:ascii="Times New Roman" w:hAnsi="Times New Roman" w:cs="Times New Roman"/>
                <w:sz w:val="22"/>
              </w:rPr>
              <w:t>FFS: Whether SSB is CD-SSB or NCD-SSB</w:t>
            </w:r>
          </w:p>
          <w:p w14:paraId="76A9B5A3" w14:textId="77777777" w:rsidR="009926A7" w:rsidRDefault="009926A7" w:rsidP="001365C0">
            <w:pPr>
              <w:rPr>
                <w:rFonts w:ascii="Times New Roman" w:hAnsi="Times New Roman" w:cs="Times New Roman"/>
                <w:sz w:val="22"/>
              </w:rPr>
            </w:pPr>
            <w:r w:rsidRPr="001365C0">
              <w:rPr>
                <w:rFonts w:ascii="Times New Roman" w:hAnsi="Times New Roman" w:cs="Times New Roman"/>
                <w:sz w:val="22"/>
              </w:rPr>
              <w:t xml:space="preserve">In the study RAN1 assumes that exchange of configuration for NZP CSI-RS /SSB can be an enabler for gNB-to-gNB CLI measurement and/or channel measurement. </w:t>
            </w:r>
          </w:p>
          <w:p w14:paraId="67AA183C" w14:textId="77777777" w:rsidR="00FD77DB" w:rsidRPr="003D7AAC" w:rsidRDefault="00FD77DB" w:rsidP="00FD77DB">
            <w:pPr>
              <w:rPr>
                <w:rFonts w:ascii="Times New Roman" w:hAnsi="Times New Roman" w:cs="Times New Roman"/>
                <w:sz w:val="22"/>
              </w:rPr>
            </w:pPr>
            <w:r w:rsidRPr="003D7AAC">
              <w:rPr>
                <w:rFonts w:ascii="Times New Roman" w:hAnsi="Times New Roman" w:cs="Times New Roman"/>
                <w:b/>
                <w:bCs/>
                <w:sz w:val="22"/>
                <w:highlight w:val="green"/>
              </w:rPr>
              <w:t>Agreement</w:t>
            </w:r>
          </w:p>
          <w:p w14:paraId="53BCAB70" w14:textId="0370B6E7" w:rsidR="00FD77DB" w:rsidRPr="009926A7" w:rsidRDefault="00FD77DB" w:rsidP="00FD77DB">
            <w:r w:rsidRPr="003D7AAC">
              <w:rPr>
                <w:rFonts w:ascii="Times New Roman" w:hAnsi="Times New Roman" w:cs="Times New Roman"/>
                <w:sz w:val="22"/>
              </w:rPr>
              <w:t>For gNB-to-gNB co-channel CLI handling, beam level (i.e., based on measurement result per SSB resource and/or per CSI-RS resource) CLI measurement can be considered for study.</w:t>
            </w:r>
          </w:p>
        </w:tc>
      </w:tr>
    </w:tbl>
    <w:p w14:paraId="1A1F2468" w14:textId="4E2AD95E" w:rsidR="00345674" w:rsidRPr="001365C0" w:rsidRDefault="009926A7" w:rsidP="00275493">
      <w:pPr>
        <w:spacing w:beforeLines="50" w:before="156"/>
        <w:rPr>
          <w:rFonts w:ascii="Times New Roman" w:hAnsi="Times New Roman" w:cs="Times New Roman"/>
          <w:sz w:val="22"/>
        </w:rPr>
      </w:pPr>
      <w:r w:rsidRPr="001365C0">
        <w:rPr>
          <w:rFonts w:ascii="Times New Roman" w:hAnsi="Times New Roman" w:cs="Times New Roman"/>
          <w:sz w:val="22"/>
        </w:rPr>
        <w:t xml:space="preserve">For </w:t>
      </w:r>
      <w:r>
        <w:rPr>
          <w:rFonts w:ascii="Times New Roman" w:hAnsi="Times New Roman" w:cs="Times New Roman"/>
          <w:sz w:val="22"/>
        </w:rPr>
        <w:t xml:space="preserve">mobility </w:t>
      </w:r>
      <w:r w:rsidR="000971FC">
        <w:rPr>
          <w:rFonts w:ascii="Times New Roman" w:hAnsi="Times New Roman" w:cs="Times New Roman"/>
          <w:sz w:val="22"/>
        </w:rPr>
        <w:t xml:space="preserve">measurement, the neighbor cell SSB information is shared among different cells. The reference signal for mobility measurement </w:t>
      </w:r>
      <w:r w:rsidR="003F0EDC">
        <w:rPr>
          <w:rFonts w:ascii="Times New Roman" w:hAnsi="Times New Roman" w:cs="Times New Roman"/>
          <w:sz w:val="22"/>
        </w:rPr>
        <w:t>is either CSI-RS or SSB, and there is n</w:t>
      </w:r>
      <w:r w:rsidR="003F0EDC">
        <w:rPr>
          <w:rFonts w:ascii="Times New Roman" w:hAnsi="Times New Roman" w:cs="Times New Roman" w:hint="eastAsia"/>
          <w:sz w:val="22"/>
        </w:rPr>
        <w:t>o</w:t>
      </w:r>
      <w:r w:rsidR="00155541">
        <w:rPr>
          <w:rFonts w:ascii="Times New Roman" w:hAnsi="Times New Roman" w:cs="Times New Roman"/>
          <w:sz w:val="22"/>
        </w:rPr>
        <w:t xml:space="preserve"> further distinguishing between CD-SSB and</w:t>
      </w:r>
      <w:r w:rsidR="003F0EDC">
        <w:rPr>
          <w:rFonts w:ascii="Times New Roman" w:hAnsi="Times New Roman" w:cs="Times New Roman"/>
          <w:sz w:val="22"/>
        </w:rPr>
        <w:t xml:space="preserve"> NCD-SSB. </w:t>
      </w:r>
      <w:r w:rsidR="00222E4A">
        <w:rPr>
          <w:rFonts w:ascii="Times New Roman" w:hAnsi="Times New Roman" w:cs="Times New Roman"/>
          <w:sz w:val="22"/>
        </w:rPr>
        <w:t>Similarly, for inter-gNB CLI measurement both CD-SSB and NCD-SSB can be utilized.</w:t>
      </w:r>
      <w:r w:rsidR="002C6DD4">
        <w:rPr>
          <w:rFonts w:ascii="Times New Roman" w:hAnsi="Times New Roman" w:cs="Times New Roman"/>
          <w:sz w:val="22"/>
        </w:rPr>
        <w:t xml:space="preserve"> </w:t>
      </w:r>
      <w:r w:rsidR="00345674">
        <w:rPr>
          <w:rFonts w:ascii="Times New Roman" w:hAnsi="Times New Roman" w:cs="Times New Roman"/>
          <w:sz w:val="22"/>
        </w:rPr>
        <w:t>Once</w:t>
      </w:r>
      <w:r w:rsidR="00345674">
        <w:rPr>
          <w:rFonts w:ascii="Times New Roman" w:hAnsi="Times New Roman" w:cs="Times New Roman" w:hint="eastAsia"/>
          <w:sz w:val="22"/>
        </w:rPr>
        <w:t xml:space="preserve"> a</w:t>
      </w:r>
      <w:r w:rsidR="00345674">
        <w:rPr>
          <w:rFonts w:ascii="Times New Roman" w:hAnsi="Times New Roman" w:cs="Times New Roman"/>
          <w:sz w:val="22"/>
        </w:rPr>
        <w:t xml:space="preserve"> gNB needs to measure multiple SSBs from different cells, the </w:t>
      </w:r>
      <w:r w:rsidR="00C45E48">
        <w:rPr>
          <w:rFonts w:ascii="Times New Roman" w:hAnsi="Times New Roman" w:cs="Times New Roman"/>
          <w:sz w:val="22"/>
        </w:rPr>
        <w:t xml:space="preserve">SSB </w:t>
      </w:r>
      <w:r w:rsidR="00345674">
        <w:rPr>
          <w:rFonts w:ascii="Times New Roman" w:hAnsi="Times New Roman" w:cs="Times New Roman"/>
          <w:sz w:val="22"/>
        </w:rPr>
        <w:t xml:space="preserve">collision issue </w:t>
      </w:r>
      <w:r w:rsidR="00155541">
        <w:rPr>
          <w:rFonts w:ascii="Times New Roman" w:hAnsi="Times New Roman" w:cs="Times New Roman"/>
          <w:sz w:val="22"/>
        </w:rPr>
        <w:t xml:space="preserve">together with </w:t>
      </w:r>
      <w:r w:rsidR="00345674">
        <w:rPr>
          <w:rFonts w:ascii="Times New Roman" w:hAnsi="Times New Roman" w:cs="Times New Roman"/>
          <w:sz w:val="22"/>
        </w:rPr>
        <w:t xml:space="preserve">Tx-Rx timing </w:t>
      </w:r>
      <w:r w:rsidR="00155541">
        <w:rPr>
          <w:rFonts w:ascii="Times New Roman" w:hAnsi="Times New Roman" w:cs="Times New Roman"/>
          <w:sz w:val="22"/>
        </w:rPr>
        <w:t>issue should be considered and</w:t>
      </w:r>
      <w:r w:rsidR="00345674">
        <w:rPr>
          <w:rFonts w:ascii="Times New Roman" w:hAnsi="Times New Roman" w:cs="Times New Roman"/>
          <w:sz w:val="22"/>
        </w:rPr>
        <w:t xml:space="preserve"> further investigated.</w:t>
      </w:r>
    </w:p>
    <w:p w14:paraId="0FB6878C" w14:textId="4B47F64D" w:rsidR="002F5DCF" w:rsidRDefault="002F5DCF" w:rsidP="002F5DCF">
      <w:pPr>
        <w:spacing w:beforeLines="50" w:before="156"/>
      </w:pPr>
      <w:r w:rsidRPr="00275493">
        <w:rPr>
          <w:rFonts w:ascii="Times New Roman" w:hAnsi="Times New Roman" w:hint="eastAsia"/>
          <w:b/>
          <w:i/>
          <w:sz w:val="22"/>
        </w:rPr>
        <w:t>Proposal</w:t>
      </w:r>
      <w:r w:rsidR="00155541">
        <w:rPr>
          <w:rFonts w:ascii="Times New Roman" w:hAnsi="Times New Roman"/>
          <w:b/>
          <w:i/>
          <w:sz w:val="22"/>
        </w:rPr>
        <w:t xml:space="preserve"> 1</w:t>
      </w:r>
      <w:r w:rsidR="00F76AA0">
        <w:rPr>
          <w:rFonts w:ascii="Times New Roman" w:hAnsi="Times New Roman"/>
          <w:b/>
          <w:i/>
          <w:sz w:val="22"/>
        </w:rPr>
        <w:t>:</w:t>
      </w:r>
      <w:r w:rsidR="002B6A70">
        <w:rPr>
          <w:rFonts w:ascii="Times New Roman" w:hAnsi="Times New Roman"/>
          <w:b/>
          <w:i/>
          <w:sz w:val="22"/>
        </w:rPr>
        <w:t xml:space="preserve"> </w:t>
      </w:r>
      <w:r>
        <w:rPr>
          <w:rFonts w:ascii="Times New Roman" w:hAnsi="Times New Roman"/>
          <w:b/>
          <w:i/>
          <w:sz w:val="22"/>
        </w:rPr>
        <w:t>Both</w:t>
      </w:r>
      <w:r w:rsidRPr="001365C0">
        <w:rPr>
          <w:rFonts w:ascii="Times New Roman" w:hAnsi="Times New Roman"/>
          <w:b/>
          <w:i/>
          <w:sz w:val="22"/>
        </w:rPr>
        <w:t xml:space="preserve"> CD-SSB and NCD-SSB can be used for inter-gNB CLI measurement</w:t>
      </w:r>
      <w:r w:rsidRPr="00275493">
        <w:rPr>
          <w:rFonts w:ascii="Times New Roman" w:hAnsi="Times New Roman"/>
          <w:b/>
          <w:i/>
          <w:sz w:val="22"/>
        </w:rPr>
        <w:t>.</w:t>
      </w:r>
      <w:r w:rsidRPr="001365C0">
        <w:rPr>
          <w:rFonts w:ascii="Times New Roman" w:hAnsi="Times New Roman"/>
          <w:b/>
          <w:i/>
          <w:sz w:val="22"/>
        </w:rPr>
        <w:t xml:space="preserve"> </w:t>
      </w:r>
    </w:p>
    <w:p w14:paraId="06D0B070" w14:textId="22C0BDD8" w:rsidR="002F5DCF" w:rsidRPr="001365C0" w:rsidRDefault="00D90C2A" w:rsidP="0043205C">
      <w:pPr>
        <w:rPr>
          <w:rFonts w:ascii="Times New Roman" w:hAnsi="Times New Roman"/>
          <w:b/>
          <w:i/>
          <w:sz w:val="22"/>
        </w:rPr>
      </w:pPr>
      <w:r>
        <w:rPr>
          <w:rFonts w:ascii="Times New Roman" w:hAnsi="Times New Roman" w:cs="Times New Roman"/>
          <w:sz w:val="22"/>
        </w:rPr>
        <w:t>S</w:t>
      </w:r>
      <w:r>
        <w:rPr>
          <w:rFonts w:ascii="Times New Roman" w:hAnsi="Times New Roman" w:cs="Times New Roman" w:hint="eastAsia"/>
          <w:sz w:val="22"/>
        </w:rPr>
        <w:t>ince</w:t>
      </w:r>
      <w:r>
        <w:rPr>
          <w:rFonts w:ascii="Times New Roman" w:hAnsi="Times New Roman" w:cs="Times New Roman"/>
          <w:sz w:val="22"/>
        </w:rPr>
        <w:t xml:space="preserve"> </w:t>
      </w:r>
      <w:r>
        <w:rPr>
          <w:rFonts w:ascii="Times New Roman" w:hAnsi="Times New Roman" w:cs="Times New Roman" w:hint="eastAsia"/>
          <w:sz w:val="22"/>
        </w:rPr>
        <w:t>t</w:t>
      </w:r>
      <w:r>
        <w:rPr>
          <w:rFonts w:ascii="Times New Roman" w:hAnsi="Times New Roman" w:cs="Times New Roman"/>
          <w:sz w:val="22"/>
        </w:rPr>
        <w:t>he geographic location</w:t>
      </w:r>
      <w:r w:rsidR="00155541">
        <w:rPr>
          <w:rFonts w:ascii="Times New Roman" w:hAnsi="Times New Roman" w:cs="Times New Roman"/>
          <w:sz w:val="22"/>
        </w:rPr>
        <w:t>s</w:t>
      </w:r>
      <w:r>
        <w:rPr>
          <w:rFonts w:ascii="Times New Roman" w:hAnsi="Times New Roman" w:cs="Times New Roman"/>
          <w:sz w:val="22"/>
        </w:rPr>
        <w:t xml:space="preserve"> of gNBs are probably stable,</w:t>
      </w:r>
      <w:r w:rsidR="00432904">
        <w:rPr>
          <w:rFonts w:ascii="Times New Roman" w:hAnsi="Times New Roman" w:cs="Times New Roman"/>
          <w:sz w:val="22"/>
        </w:rPr>
        <w:t xml:space="preserve"> </w:t>
      </w:r>
      <w:r w:rsidR="00112286">
        <w:rPr>
          <w:rFonts w:ascii="Times New Roman" w:hAnsi="Times New Roman" w:cs="Times New Roman"/>
          <w:sz w:val="22"/>
        </w:rPr>
        <w:t>the directions of interference from aggressor gNB</w:t>
      </w:r>
      <w:r w:rsidR="00112286">
        <w:rPr>
          <w:rFonts w:ascii="Times New Roman" w:hAnsi="Times New Roman" w:cs="Times New Roman" w:hint="eastAsia"/>
          <w:sz w:val="22"/>
        </w:rPr>
        <w:t xml:space="preserve"> </w:t>
      </w:r>
      <w:r w:rsidR="00155541">
        <w:rPr>
          <w:rFonts w:ascii="Times New Roman" w:hAnsi="Times New Roman" w:cs="Times New Roman"/>
          <w:sz w:val="22"/>
        </w:rPr>
        <w:t>may not frequently vary</w:t>
      </w:r>
      <w:r w:rsidR="00112286">
        <w:rPr>
          <w:rFonts w:ascii="Times New Roman" w:hAnsi="Times New Roman" w:cs="Times New Roman"/>
          <w:sz w:val="22"/>
        </w:rPr>
        <w:t>. For the victim gNB, once identifying the prefer</w:t>
      </w:r>
      <w:r w:rsidR="00155541">
        <w:rPr>
          <w:rFonts w:ascii="Times New Roman" w:hAnsi="Times New Roman" w:cs="Times New Roman"/>
          <w:sz w:val="22"/>
        </w:rPr>
        <w:t>red</w:t>
      </w:r>
      <w:r w:rsidR="00112286">
        <w:rPr>
          <w:rFonts w:ascii="Times New Roman" w:hAnsi="Times New Roman" w:cs="Times New Roman" w:hint="eastAsia"/>
          <w:sz w:val="22"/>
        </w:rPr>
        <w:t>/non-</w:t>
      </w:r>
      <w:r w:rsidR="00112286">
        <w:rPr>
          <w:rFonts w:ascii="Times New Roman" w:hAnsi="Times New Roman" w:cs="Times New Roman"/>
          <w:sz w:val="22"/>
        </w:rPr>
        <w:t>prefer</w:t>
      </w:r>
      <w:r w:rsidR="00155541">
        <w:rPr>
          <w:rFonts w:ascii="Times New Roman" w:hAnsi="Times New Roman" w:cs="Times New Roman"/>
          <w:sz w:val="22"/>
        </w:rPr>
        <w:t>red</w:t>
      </w:r>
      <w:r w:rsidR="00112286">
        <w:rPr>
          <w:rFonts w:ascii="Times New Roman" w:hAnsi="Times New Roman" w:cs="Times New Roman"/>
          <w:sz w:val="22"/>
        </w:rPr>
        <w:t xml:space="preserve"> directions </w:t>
      </w:r>
      <w:r w:rsidR="00BA1D14">
        <w:rPr>
          <w:rFonts w:ascii="Times New Roman" w:hAnsi="Times New Roman" w:cs="Times New Roman"/>
          <w:sz w:val="22"/>
        </w:rPr>
        <w:t xml:space="preserve">towards a </w:t>
      </w:r>
      <w:r w:rsidR="00F76AA0">
        <w:rPr>
          <w:rFonts w:ascii="Times New Roman" w:hAnsi="Times New Roman" w:cs="Times New Roman"/>
          <w:sz w:val="22"/>
        </w:rPr>
        <w:t>specific</w:t>
      </w:r>
      <w:r w:rsidR="00BA1D14">
        <w:rPr>
          <w:rFonts w:ascii="Times New Roman" w:hAnsi="Times New Roman" w:cs="Times New Roman"/>
          <w:sz w:val="22"/>
        </w:rPr>
        <w:t xml:space="preserve"> gNB, this</w:t>
      </w:r>
      <w:r w:rsidR="00155541">
        <w:rPr>
          <w:rFonts w:ascii="Times New Roman" w:hAnsi="Times New Roman" w:cs="Times New Roman"/>
          <w:sz w:val="22"/>
        </w:rPr>
        <w:t xml:space="preserve"> kind of</w:t>
      </w:r>
      <w:r w:rsidR="00BA1D14">
        <w:rPr>
          <w:rFonts w:ascii="Times New Roman" w:hAnsi="Times New Roman" w:cs="Times New Roman"/>
          <w:sz w:val="22"/>
        </w:rPr>
        <w:t xml:space="preserve"> information could be effective for a long period. Thus, aperiodic or on-demand gNB CLI </w:t>
      </w:r>
      <w:r w:rsidR="00F76AA0">
        <w:rPr>
          <w:rFonts w:ascii="Times New Roman" w:hAnsi="Times New Roman" w:cs="Times New Roman"/>
          <w:sz w:val="22"/>
        </w:rPr>
        <w:t xml:space="preserve">measurement </w:t>
      </w:r>
      <w:r w:rsidR="00155541">
        <w:rPr>
          <w:rFonts w:ascii="Times New Roman" w:hAnsi="Times New Roman" w:cs="Times New Roman"/>
          <w:sz w:val="22"/>
        </w:rPr>
        <w:t>is</w:t>
      </w:r>
      <w:r w:rsidR="00BA1D14">
        <w:rPr>
          <w:rFonts w:ascii="Times New Roman" w:hAnsi="Times New Roman" w:cs="Times New Roman"/>
          <w:sz w:val="22"/>
        </w:rPr>
        <w:t xml:space="preserve"> sufficient. Besides, periodic/semi-persistent gNB CLI management could lead higher resource consumption and computation</w:t>
      </w:r>
      <w:r w:rsidR="00294657">
        <w:rPr>
          <w:rFonts w:ascii="Times New Roman" w:hAnsi="Times New Roman" w:cs="Times New Roman"/>
          <w:sz w:val="22"/>
        </w:rPr>
        <w:t xml:space="preserve"> </w:t>
      </w:r>
      <w:r w:rsidR="00294657">
        <w:rPr>
          <w:rFonts w:ascii="Times New Roman" w:hAnsi="Times New Roman" w:cs="Times New Roman" w:hint="eastAsia"/>
          <w:sz w:val="22"/>
        </w:rPr>
        <w:t>comp</w:t>
      </w:r>
      <w:r w:rsidR="00294657">
        <w:rPr>
          <w:rFonts w:ascii="Times New Roman" w:hAnsi="Times New Roman" w:cs="Times New Roman"/>
          <w:sz w:val="22"/>
        </w:rPr>
        <w:t xml:space="preserve">lexity. </w:t>
      </w:r>
    </w:p>
    <w:p w14:paraId="0D89E700" w14:textId="573FC116" w:rsidR="000433E2" w:rsidRDefault="00597B6B" w:rsidP="0043205C">
      <w:pPr>
        <w:rPr>
          <w:rFonts w:ascii="Times New Roman" w:hAnsi="Times New Roman"/>
          <w:b/>
          <w:i/>
          <w:sz w:val="22"/>
        </w:rPr>
      </w:pPr>
      <w:r w:rsidRPr="00275493">
        <w:rPr>
          <w:rFonts w:ascii="Times New Roman" w:hAnsi="Times New Roman" w:hint="eastAsia"/>
          <w:b/>
          <w:i/>
          <w:sz w:val="22"/>
        </w:rPr>
        <w:t>Proposal</w:t>
      </w:r>
      <w:r w:rsidR="00155541">
        <w:rPr>
          <w:rFonts w:ascii="Times New Roman" w:hAnsi="Times New Roman"/>
          <w:b/>
          <w:i/>
          <w:sz w:val="22"/>
        </w:rPr>
        <w:t xml:space="preserve"> 2</w:t>
      </w:r>
      <w:r w:rsidR="008C5400">
        <w:rPr>
          <w:rFonts w:ascii="Times New Roman" w:hAnsi="Times New Roman"/>
          <w:b/>
          <w:i/>
          <w:sz w:val="22"/>
        </w:rPr>
        <w:t xml:space="preserve">: </w:t>
      </w:r>
      <w:r w:rsidR="00294657">
        <w:rPr>
          <w:rFonts w:ascii="Times New Roman" w:hAnsi="Times New Roman"/>
          <w:b/>
          <w:i/>
          <w:sz w:val="22"/>
        </w:rPr>
        <w:t>A</w:t>
      </w:r>
      <w:r w:rsidR="00294657" w:rsidRPr="001365C0">
        <w:rPr>
          <w:rFonts w:ascii="Times New Roman" w:hAnsi="Times New Roman"/>
          <w:b/>
          <w:i/>
          <w:sz w:val="22"/>
        </w:rPr>
        <w:t xml:space="preserve">periodic or on-demand gNB CLI </w:t>
      </w:r>
      <w:r w:rsidR="00A066F4">
        <w:rPr>
          <w:rFonts w:ascii="Times New Roman" w:hAnsi="Times New Roman"/>
          <w:b/>
          <w:i/>
          <w:sz w:val="22"/>
        </w:rPr>
        <w:t xml:space="preserve">measurement/report </w:t>
      </w:r>
      <w:r w:rsidR="00294657" w:rsidRPr="001365C0">
        <w:rPr>
          <w:rFonts w:ascii="Times New Roman" w:hAnsi="Times New Roman"/>
          <w:b/>
          <w:i/>
          <w:sz w:val="22"/>
        </w:rPr>
        <w:t>could be further investigated for inter-gNB CLI handling.</w:t>
      </w:r>
    </w:p>
    <w:p w14:paraId="093251FA" w14:textId="42077484" w:rsidR="00597B6B" w:rsidRDefault="00597B6B" w:rsidP="0043205C">
      <w:pPr>
        <w:rPr>
          <w:rFonts w:ascii="Times New Roman" w:hAnsi="Times New Roman" w:cs="Times New Roman"/>
          <w:sz w:val="22"/>
        </w:rPr>
      </w:pPr>
    </w:p>
    <w:tbl>
      <w:tblPr>
        <w:tblStyle w:val="aa"/>
        <w:tblW w:w="0" w:type="auto"/>
        <w:tblLook w:val="04A0" w:firstRow="1" w:lastRow="0" w:firstColumn="1" w:lastColumn="0" w:noHBand="0" w:noVBand="1"/>
      </w:tblPr>
      <w:tblGrid>
        <w:gridCol w:w="9322"/>
      </w:tblGrid>
      <w:tr w:rsidR="00A066F4" w14:paraId="695CB1AE" w14:textId="77777777" w:rsidTr="003D7AAC">
        <w:tc>
          <w:tcPr>
            <w:tcW w:w="9322" w:type="dxa"/>
          </w:tcPr>
          <w:p w14:paraId="31F6D398" w14:textId="77777777" w:rsidR="00A066F4" w:rsidRPr="0043205C" w:rsidRDefault="00A066F4" w:rsidP="003D7AAC">
            <w:pPr>
              <w:pStyle w:val="proposal2"/>
              <w:spacing w:before="0" w:beforeAutospacing="0" w:after="0" w:afterAutospacing="0"/>
              <w:ind w:left="862" w:hanging="862"/>
              <w:rPr>
                <w:rFonts w:ascii="Times New Roman" w:eastAsiaTheme="minorEastAsia" w:hAnsi="Times New Roman"/>
                <w:kern w:val="2"/>
                <w:sz w:val="22"/>
                <w:szCs w:val="22"/>
                <w:lang w:eastAsia="zh-CN"/>
              </w:rPr>
            </w:pPr>
            <w:r w:rsidRPr="0043205C">
              <w:rPr>
                <w:rFonts w:ascii="Times New Roman" w:eastAsiaTheme="minorEastAsia" w:hAnsi="Times New Roman"/>
                <w:b/>
                <w:bCs/>
                <w:kern w:val="2"/>
                <w:sz w:val="22"/>
                <w:szCs w:val="22"/>
                <w:highlight w:val="green"/>
                <w:lang w:eastAsia="zh-CN"/>
              </w:rPr>
              <w:t>Agreement</w:t>
            </w:r>
          </w:p>
          <w:p w14:paraId="65202CA2" w14:textId="77777777" w:rsidR="00A066F4" w:rsidRPr="0043205C" w:rsidRDefault="00A066F4" w:rsidP="003D7AAC">
            <w:pPr>
              <w:rPr>
                <w:rFonts w:ascii="Times New Roman" w:hAnsi="Times New Roman" w:cs="Times New Roman"/>
                <w:sz w:val="22"/>
              </w:rPr>
            </w:pPr>
            <w:r w:rsidRPr="0043205C">
              <w:rPr>
                <w:rFonts w:ascii="Times New Roman" w:hAnsi="Times New Roman" w:cs="Times New Roman"/>
                <w:sz w:val="22"/>
              </w:rPr>
              <w:t>For gNB-to-gNB co-channel CLI measurement, the potential benefit of uplink resources muting can be studied further.</w:t>
            </w:r>
          </w:p>
          <w:p w14:paraId="1E5D2875" w14:textId="77777777" w:rsidR="00A066F4" w:rsidRPr="0043205C" w:rsidRDefault="00A066F4" w:rsidP="003D7AAC">
            <w:pPr>
              <w:rPr>
                <w:rFonts w:ascii="Times New Roman" w:hAnsi="Times New Roman" w:cs="Times New Roman"/>
                <w:sz w:val="22"/>
              </w:rPr>
            </w:pPr>
            <w:r w:rsidRPr="0043205C">
              <w:rPr>
                <w:rFonts w:ascii="Times New Roman" w:hAnsi="Times New Roman" w:cs="Times New Roman"/>
                <w:sz w:val="22"/>
              </w:rPr>
              <w:lastRenderedPageBreak/>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76E5CFAA" w14:textId="77777777" w:rsidR="00A066F4" w:rsidRPr="0043205C" w:rsidRDefault="00A066F4" w:rsidP="003D7AAC">
            <w:pPr>
              <w:suppressAutoHyphens/>
              <w:textAlignment w:val="baseline"/>
              <w:rPr>
                <w:rFonts w:eastAsia="Malgun Gothic"/>
                <w:b/>
                <w:bCs/>
                <w:highlight w:val="green"/>
                <w:lang w:eastAsia="ko-KR"/>
              </w:rPr>
            </w:pPr>
          </w:p>
        </w:tc>
      </w:tr>
    </w:tbl>
    <w:p w14:paraId="2419430B" w14:textId="5848618D" w:rsidR="00A066F4" w:rsidRDefault="00A066F4" w:rsidP="00A066F4">
      <w:pPr>
        <w:rPr>
          <w:rFonts w:ascii="Times New Roman" w:hAnsi="Times New Roman" w:cs="Times New Roman"/>
          <w:sz w:val="22"/>
        </w:rPr>
      </w:pPr>
      <w:r w:rsidRPr="00DD0F6B">
        <w:rPr>
          <w:rFonts w:ascii="Times New Roman" w:hAnsi="Times New Roman" w:cs="Times New Roman"/>
          <w:sz w:val="22"/>
        </w:rPr>
        <w:lastRenderedPageBreak/>
        <w:t xml:space="preserve">To </w:t>
      </w:r>
      <w:r>
        <w:rPr>
          <w:rFonts w:ascii="Times New Roman" w:hAnsi="Times New Roman" w:cs="Times New Roman"/>
          <w:sz w:val="22"/>
        </w:rPr>
        <w:t>alleviate</w:t>
      </w:r>
      <w:r w:rsidRPr="00DD0F6B">
        <w:rPr>
          <w:rFonts w:ascii="Times New Roman" w:hAnsi="Times New Roman" w:cs="Times New Roman"/>
          <w:sz w:val="22"/>
        </w:rPr>
        <w:t xml:space="preserve"> </w:t>
      </w:r>
      <w:r w:rsidR="00155541">
        <w:rPr>
          <w:rFonts w:ascii="Times New Roman" w:hAnsi="Times New Roman" w:cs="Times New Roman"/>
          <w:sz w:val="22"/>
        </w:rPr>
        <w:t>inter-gNB CLI</w:t>
      </w:r>
      <w:r w:rsidRPr="00DD0F6B">
        <w:rPr>
          <w:rFonts w:ascii="Times New Roman" w:hAnsi="Times New Roman" w:cs="Times New Roman"/>
          <w:sz w:val="22"/>
        </w:rPr>
        <w:t xml:space="preserve"> issue,</w:t>
      </w:r>
      <w:r>
        <w:rPr>
          <w:rFonts w:ascii="Times New Roman" w:hAnsi="Times New Roman" w:cs="Times New Roman"/>
          <w:sz w:val="22"/>
        </w:rPr>
        <w:t xml:space="preserve"> muting scheme is an effective scheme which has already been executed for PRS transmission. Similarly, for handling inter-gNB CLI issue, muting scheme can also be </w:t>
      </w:r>
      <w:r w:rsidR="00155541">
        <w:rPr>
          <w:rFonts w:ascii="Times New Roman" w:hAnsi="Times New Roman" w:cs="Times New Roman"/>
          <w:sz w:val="22"/>
        </w:rPr>
        <w:t>applied for downlink/uplink transmission</w:t>
      </w:r>
      <w:r>
        <w:rPr>
          <w:rFonts w:ascii="Times New Roman" w:hAnsi="Times New Roman" w:cs="Times New Roman"/>
          <w:sz w:val="22"/>
        </w:rPr>
        <w:t xml:space="preserve">. Specifically, pseudo-sequence based muting scheme </w:t>
      </w:r>
      <w:r w:rsidR="00155541">
        <w:rPr>
          <w:rFonts w:ascii="Times New Roman" w:hAnsi="Times New Roman" w:cs="Times New Roman"/>
          <w:sz w:val="22"/>
        </w:rPr>
        <w:t xml:space="preserve">may be favorable. </w:t>
      </w:r>
      <w:r w:rsidR="00D45FC4">
        <w:rPr>
          <w:rFonts w:ascii="Times New Roman" w:hAnsi="Times New Roman" w:cs="Times New Roman"/>
          <w:sz w:val="22"/>
        </w:rPr>
        <w:t>Pseudo-sequence based interference management has already been adopted for the topic of MIMO SRS inter</w:t>
      </w:r>
      <w:r w:rsidR="00155541">
        <w:rPr>
          <w:rFonts w:ascii="Times New Roman" w:hAnsi="Times New Roman" w:cs="Times New Roman"/>
          <w:sz w:val="22"/>
        </w:rPr>
        <w:t>ference randomization</w:t>
      </w:r>
      <w:r w:rsidR="00D45FC4">
        <w:rPr>
          <w:rFonts w:ascii="Times New Roman" w:hAnsi="Times New Roman" w:cs="Times New Roman"/>
          <w:sz w:val="22"/>
        </w:rPr>
        <w:t xml:space="preserve"> in Rel-18</w:t>
      </w:r>
      <w:r w:rsidR="00155541">
        <w:rPr>
          <w:rFonts w:ascii="Times New Roman" w:hAnsi="Times New Roman" w:cs="Times New Roman"/>
          <w:sz w:val="22"/>
        </w:rPr>
        <w:t>.</w:t>
      </w:r>
      <w:r w:rsidR="00D45FC4">
        <w:rPr>
          <w:rFonts w:ascii="Times New Roman" w:hAnsi="Times New Roman" w:cs="Times New Roman"/>
          <w:sz w:val="22"/>
        </w:rPr>
        <w:t xml:space="preserve"> </w:t>
      </w:r>
      <w:r w:rsidR="00155541">
        <w:rPr>
          <w:rFonts w:ascii="Times New Roman" w:hAnsi="Times New Roman" w:cs="Times New Roman"/>
          <w:sz w:val="22"/>
        </w:rPr>
        <w:t>Besides, the transmissions</w:t>
      </w:r>
      <w:r>
        <w:rPr>
          <w:rFonts w:ascii="Times New Roman" w:hAnsi="Times New Roman" w:cs="Times New Roman"/>
          <w:sz w:val="22"/>
        </w:rPr>
        <w:t xml:space="preserve"> that can be applied muting operation can be further discussed.</w:t>
      </w:r>
    </w:p>
    <w:p w14:paraId="20674DD6" w14:textId="5060A2F4" w:rsidR="00A066F4" w:rsidRPr="001365C0" w:rsidRDefault="00A066F4" w:rsidP="0043205C">
      <w:pPr>
        <w:rPr>
          <w:rFonts w:ascii="Times New Roman" w:hAnsi="Times New Roman" w:cs="Times New Roman"/>
          <w:sz w:val="22"/>
        </w:rPr>
      </w:pPr>
      <w:r w:rsidRPr="00275493">
        <w:rPr>
          <w:rFonts w:ascii="Times New Roman" w:hAnsi="Times New Roman" w:hint="eastAsia"/>
          <w:b/>
          <w:i/>
          <w:sz w:val="22"/>
        </w:rPr>
        <w:t>Proposal</w:t>
      </w:r>
      <w:r w:rsidR="00D45FC4">
        <w:rPr>
          <w:rFonts w:ascii="Times New Roman" w:hAnsi="Times New Roman"/>
          <w:b/>
          <w:i/>
          <w:sz w:val="22"/>
        </w:rPr>
        <w:t xml:space="preserve"> 3</w:t>
      </w:r>
      <w:r w:rsidR="00FF2081">
        <w:rPr>
          <w:rFonts w:ascii="Times New Roman" w:hAnsi="Times New Roman"/>
          <w:b/>
          <w:i/>
          <w:sz w:val="22"/>
        </w:rPr>
        <w:t xml:space="preserve">: </w:t>
      </w:r>
      <w:r w:rsidRPr="00275493">
        <w:rPr>
          <w:rFonts w:ascii="Times New Roman" w:hAnsi="Times New Roman" w:hint="eastAsia"/>
          <w:b/>
          <w:i/>
          <w:sz w:val="22"/>
        </w:rPr>
        <w:t>Support</w:t>
      </w:r>
      <w:r w:rsidRPr="00275493">
        <w:rPr>
          <w:rFonts w:ascii="Times New Roman" w:hAnsi="Times New Roman"/>
          <w:b/>
          <w:i/>
          <w:sz w:val="22"/>
        </w:rPr>
        <w:t xml:space="preserve"> to use pseudo-sequence based muting scheme for</w:t>
      </w:r>
      <w:r w:rsidR="00D45FC4">
        <w:rPr>
          <w:rFonts w:ascii="Times New Roman" w:hAnsi="Times New Roman"/>
          <w:b/>
          <w:i/>
          <w:sz w:val="22"/>
        </w:rPr>
        <w:t xml:space="preserve"> inter-gNB CLI handling</w:t>
      </w:r>
    </w:p>
    <w:p w14:paraId="0466576D" w14:textId="2468A595" w:rsidR="0043205C" w:rsidRDefault="0043205C" w:rsidP="0043205C"/>
    <w:tbl>
      <w:tblPr>
        <w:tblStyle w:val="aa"/>
        <w:tblW w:w="0" w:type="auto"/>
        <w:tblLook w:val="04A0" w:firstRow="1" w:lastRow="0" w:firstColumn="1" w:lastColumn="0" w:noHBand="0" w:noVBand="1"/>
      </w:tblPr>
      <w:tblGrid>
        <w:gridCol w:w="9322"/>
      </w:tblGrid>
      <w:tr w:rsidR="00275493" w14:paraId="13CA668E" w14:textId="77777777" w:rsidTr="00B869CD">
        <w:tc>
          <w:tcPr>
            <w:tcW w:w="9322" w:type="dxa"/>
          </w:tcPr>
          <w:p w14:paraId="7613793E" w14:textId="77777777" w:rsidR="00275493" w:rsidRPr="001778EA" w:rsidRDefault="00275493" w:rsidP="00B869CD">
            <w:pPr>
              <w:rPr>
                <w:rFonts w:ascii="Times New Roman" w:hAnsi="Times New Roman" w:cs="Times New Roman"/>
                <w:b/>
                <w:bCs/>
                <w:sz w:val="22"/>
                <w:highlight w:val="green"/>
              </w:rPr>
            </w:pPr>
            <w:r w:rsidRPr="001778EA">
              <w:rPr>
                <w:rFonts w:ascii="Times New Roman" w:hAnsi="Times New Roman" w:cs="Times New Roman"/>
                <w:b/>
                <w:bCs/>
                <w:sz w:val="22"/>
                <w:highlight w:val="green"/>
              </w:rPr>
              <w:t>Agreement</w:t>
            </w:r>
          </w:p>
          <w:p w14:paraId="641F3A08" w14:textId="77777777" w:rsidR="00275493" w:rsidRPr="001778EA" w:rsidRDefault="00275493" w:rsidP="00B869CD">
            <w:pPr>
              <w:rPr>
                <w:rFonts w:ascii="Times New Roman" w:hAnsi="Times New Roman" w:cs="Times New Roman"/>
                <w:sz w:val="22"/>
              </w:rPr>
            </w:pPr>
            <w:r w:rsidRPr="001778EA">
              <w:rPr>
                <w:rFonts w:ascii="Times New Roman" w:hAnsi="Times New Roman" w:cs="Times New Roman"/>
                <w:sz w:val="22"/>
              </w:rPr>
              <w:t xml:space="preserve">For details of spatial domain coordination method for gNB-to-gNB co-channel CLI handling, at least followings can be studied. </w:t>
            </w:r>
          </w:p>
          <w:p w14:paraId="1D021E26" w14:textId="77777777" w:rsidR="00275493" w:rsidRPr="001778EA" w:rsidRDefault="00275493" w:rsidP="00B869CD">
            <w:pPr>
              <w:pStyle w:val="a3"/>
              <w:widowControl/>
              <w:numPr>
                <w:ilvl w:val="0"/>
                <w:numId w:val="24"/>
              </w:numPr>
              <w:suppressAutoHyphens/>
              <w:ind w:left="851" w:firstLineChars="0" w:hanging="403"/>
              <w:textAlignment w:val="baseline"/>
              <w:rPr>
                <w:rFonts w:ascii="Times New Roman" w:hAnsi="Times New Roman" w:cs="Times New Roman"/>
                <w:sz w:val="22"/>
              </w:rPr>
            </w:pPr>
            <w:r w:rsidRPr="001778EA">
              <w:rPr>
                <w:rFonts w:ascii="Times New Roman" w:hAnsi="Times New Roman" w:cs="Times New Roman"/>
                <w:sz w:val="22"/>
              </w:rPr>
              <w:t>Recommended/restricted Beams between gNBs</w:t>
            </w:r>
          </w:p>
          <w:p w14:paraId="754B5817" w14:textId="77777777" w:rsidR="00275493" w:rsidRPr="001778EA" w:rsidRDefault="00275493" w:rsidP="00B869CD">
            <w:pPr>
              <w:pStyle w:val="a3"/>
              <w:widowControl/>
              <w:numPr>
                <w:ilvl w:val="0"/>
                <w:numId w:val="24"/>
              </w:numPr>
              <w:suppressAutoHyphens/>
              <w:ind w:left="851" w:firstLineChars="0" w:hanging="403"/>
              <w:textAlignment w:val="baseline"/>
              <w:rPr>
                <w:rFonts w:ascii="Times New Roman" w:hAnsi="Times New Roman" w:cs="Times New Roman"/>
                <w:sz w:val="22"/>
              </w:rPr>
            </w:pPr>
            <w:r w:rsidRPr="001778EA">
              <w:rPr>
                <w:rFonts w:ascii="Times New Roman" w:hAnsi="Times New Roman" w:cs="Times New Roman"/>
                <w:sz w:val="22"/>
              </w:rPr>
              <w:t>Beam nulling between gNBs</w:t>
            </w:r>
          </w:p>
          <w:p w14:paraId="667F64B6" w14:textId="77777777" w:rsidR="00275493" w:rsidRPr="001778EA" w:rsidRDefault="00275493" w:rsidP="00B869CD">
            <w:pPr>
              <w:pStyle w:val="a3"/>
              <w:widowControl/>
              <w:numPr>
                <w:ilvl w:val="0"/>
                <w:numId w:val="24"/>
              </w:numPr>
              <w:suppressAutoHyphens/>
              <w:ind w:left="851" w:firstLineChars="0" w:hanging="403"/>
              <w:textAlignment w:val="baseline"/>
              <w:rPr>
                <w:rFonts w:ascii="Times New Roman" w:hAnsi="Times New Roman" w:cs="Times New Roman"/>
                <w:sz w:val="22"/>
              </w:rPr>
            </w:pPr>
            <w:r w:rsidRPr="001778EA">
              <w:rPr>
                <w:rFonts w:ascii="Times New Roman" w:hAnsi="Times New Roman" w:cs="Times New Roman"/>
                <w:sz w:val="22"/>
              </w:rPr>
              <w:t>Beam pairing between gNBs</w:t>
            </w:r>
          </w:p>
          <w:p w14:paraId="40CEAA96" w14:textId="77777777" w:rsidR="00275493" w:rsidRDefault="00275493" w:rsidP="00B869CD">
            <w:pPr>
              <w:rPr>
                <w:rFonts w:ascii="Times New Roman" w:hAnsi="Times New Roman" w:cs="Times New Roman"/>
                <w:sz w:val="22"/>
              </w:rPr>
            </w:pPr>
            <w:r w:rsidRPr="001778EA">
              <w:rPr>
                <w:rFonts w:ascii="Times New Roman" w:hAnsi="Times New Roman" w:cs="Times New Roman"/>
                <w:sz w:val="22"/>
              </w:rPr>
              <w:t>Other schemes are not precluded</w:t>
            </w:r>
          </w:p>
          <w:p w14:paraId="53731222" w14:textId="77777777" w:rsidR="00C91AAF" w:rsidRPr="001365C0" w:rsidRDefault="00C91AAF" w:rsidP="00C91AAF">
            <w:pPr>
              <w:rPr>
                <w:rFonts w:ascii="Times New Roman" w:hAnsi="Times New Roman" w:cs="Times New Roman"/>
                <w:b/>
                <w:bCs/>
                <w:sz w:val="22"/>
                <w:highlight w:val="green"/>
              </w:rPr>
            </w:pPr>
            <w:r w:rsidRPr="001365C0">
              <w:rPr>
                <w:rFonts w:ascii="Times New Roman" w:hAnsi="Times New Roman" w:cs="Times New Roman"/>
                <w:b/>
                <w:bCs/>
                <w:sz w:val="22"/>
                <w:highlight w:val="green"/>
              </w:rPr>
              <w:t>Agreement</w:t>
            </w:r>
          </w:p>
          <w:p w14:paraId="008B93CC" w14:textId="77777777" w:rsidR="00C91AAF" w:rsidRPr="001365C0" w:rsidRDefault="00C91AAF" w:rsidP="00C91AAF">
            <w:pPr>
              <w:rPr>
                <w:rFonts w:ascii="Times New Roman" w:hAnsi="Times New Roman" w:cs="Times New Roman"/>
                <w:sz w:val="22"/>
              </w:rPr>
            </w:pPr>
            <w:r w:rsidRPr="001365C0">
              <w:rPr>
                <w:rFonts w:ascii="Times New Roman" w:hAnsi="Times New Roman" w:cs="Times New Roman"/>
                <w:sz w:val="22"/>
              </w:rPr>
              <w:t>For spatial domain coordination, the exchange of beam related information among gNB(s) (e.g., victim gNB(s) and aggressor gNB(s)) can be an enabler for inter-gNB co-channel CLI management.</w:t>
            </w:r>
          </w:p>
          <w:p w14:paraId="05B1ACBD" w14:textId="77777777" w:rsidR="00C91AAF" w:rsidRPr="001365C0" w:rsidRDefault="00C91AAF" w:rsidP="00C91AAF">
            <w:pPr>
              <w:pStyle w:val="a3"/>
              <w:widowControl/>
              <w:numPr>
                <w:ilvl w:val="0"/>
                <w:numId w:val="27"/>
              </w:numPr>
              <w:overflowPunct w:val="0"/>
              <w:autoSpaceDE w:val="0"/>
              <w:autoSpaceDN w:val="0"/>
              <w:adjustRightInd w:val="0"/>
              <w:ind w:left="714" w:firstLineChars="0" w:hanging="357"/>
              <w:contextualSpacing/>
              <w:jc w:val="left"/>
              <w:textAlignment w:val="baseline"/>
              <w:rPr>
                <w:rFonts w:ascii="Times New Roman" w:hAnsi="Times New Roman" w:cs="Times New Roman"/>
                <w:sz w:val="22"/>
              </w:rPr>
            </w:pPr>
            <w:r w:rsidRPr="001365C0">
              <w:rPr>
                <w:rFonts w:ascii="Times New Roman" w:hAnsi="Times New Roman" w:cs="Times New Roman"/>
                <w:sz w:val="22"/>
              </w:rPr>
              <w:t>For example 1 (from aggressor gNB to victim gNB), DL beam indication from aggressor gNB(s)</w:t>
            </w:r>
          </w:p>
          <w:p w14:paraId="0C3C87E9" w14:textId="77777777" w:rsidR="00C91AAF" w:rsidRPr="001365C0" w:rsidRDefault="00C91AAF" w:rsidP="00C91AAF">
            <w:pPr>
              <w:pStyle w:val="a3"/>
              <w:widowControl/>
              <w:numPr>
                <w:ilvl w:val="0"/>
                <w:numId w:val="27"/>
              </w:numPr>
              <w:overflowPunct w:val="0"/>
              <w:autoSpaceDE w:val="0"/>
              <w:autoSpaceDN w:val="0"/>
              <w:adjustRightInd w:val="0"/>
              <w:ind w:left="714" w:firstLineChars="0" w:hanging="357"/>
              <w:contextualSpacing/>
              <w:jc w:val="left"/>
              <w:textAlignment w:val="baseline"/>
              <w:rPr>
                <w:rFonts w:ascii="Times New Roman" w:hAnsi="Times New Roman" w:cs="Times New Roman"/>
                <w:sz w:val="22"/>
              </w:rPr>
            </w:pPr>
            <w:r w:rsidRPr="001365C0">
              <w:rPr>
                <w:rFonts w:ascii="Times New Roman" w:hAnsi="Times New Roman" w:cs="Times New Roman"/>
                <w:sz w:val="22"/>
              </w:rPr>
              <w:t>For example 2 (from victim gNB to aggressor gNB), preferred/restricted DL beam and associated resource configuration, beam based inter-gNB co-channel CLI measurement result from victim gNB</w:t>
            </w:r>
          </w:p>
          <w:p w14:paraId="0936ABEE" w14:textId="77777777" w:rsidR="00C91AAF" w:rsidRPr="001365C0" w:rsidRDefault="00C91AAF" w:rsidP="00C91AAF">
            <w:pPr>
              <w:pStyle w:val="a3"/>
              <w:widowControl/>
              <w:numPr>
                <w:ilvl w:val="0"/>
                <w:numId w:val="27"/>
              </w:numPr>
              <w:overflowPunct w:val="0"/>
              <w:autoSpaceDE w:val="0"/>
              <w:autoSpaceDN w:val="0"/>
              <w:adjustRightInd w:val="0"/>
              <w:ind w:left="714" w:firstLineChars="0" w:hanging="357"/>
              <w:contextualSpacing/>
              <w:jc w:val="left"/>
              <w:textAlignment w:val="baseline"/>
              <w:rPr>
                <w:rFonts w:ascii="Times New Roman" w:hAnsi="Times New Roman" w:cs="Times New Roman"/>
                <w:sz w:val="22"/>
              </w:rPr>
            </w:pPr>
            <w:r w:rsidRPr="001365C0">
              <w:rPr>
                <w:rFonts w:ascii="Times New Roman" w:hAnsi="Times New Roman" w:cs="Times New Roman"/>
                <w:sz w:val="22"/>
              </w:rPr>
              <w:t>FFS: how to define DL beam indication</w:t>
            </w:r>
          </w:p>
          <w:p w14:paraId="116E791A" w14:textId="77777777" w:rsidR="00C91AAF" w:rsidRPr="001365C0" w:rsidRDefault="00C91AAF" w:rsidP="00C91AAF">
            <w:pPr>
              <w:pStyle w:val="a3"/>
              <w:widowControl/>
              <w:numPr>
                <w:ilvl w:val="0"/>
                <w:numId w:val="27"/>
              </w:numPr>
              <w:overflowPunct w:val="0"/>
              <w:autoSpaceDE w:val="0"/>
              <w:autoSpaceDN w:val="0"/>
              <w:adjustRightInd w:val="0"/>
              <w:ind w:left="714" w:firstLineChars="0" w:hanging="357"/>
              <w:contextualSpacing/>
              <w:jc w:val="left"/>
              <w:textAlignment w:val="baseline"/>
              <w:rPr>
                <w:rFonts w:ascii="Times New Roman" w:hAnsi="Times New Roman" w:cs="Times New Roman"/>
                <w:sz w:val="22"/>
              </w:rPr>
            </w:pPr>
            <w:r w:rsidRPr="001365C0">
              <w:rPr>
                <w:rFonts w:ascii="Times New Roman" w:hAnsi="Times New Roman" w:cs="Times New Roman"/>
                <w:sz w:val="22"/>
              </w:rPr>
              <w:t>FFS: how to define DL beam</w:t>
            </w:r>
          </w:p>
          <w:p w14:paraId="40478BC9" w14:textId="5C9E94C9" w:rsidR="00C91AAF" w:rsidRPr="001365C0" w:rsidRDefault="00C91AAF" w:rsidP="00B869CD">
            <w:pPr>
              <w:rPr>
                <w:rFonts w:eastAsia="Malgun Gothic"/>
                <w:lang w:eastAsia="ko-KR"/>
              </w:rPr>
            </w:pPr>
            <w:r w:rsidRPr="001365C0">
              <w:rPr>
                <w:rFonts w:ascii="Times New Roman" w:hAnsi="Times New Roman" w:cs="Times New Roman"/>
                <w:sz w:val="22"/>
              </w:rPr>
              <w:t>Note: The above examples are only provided as starting point for further discussions</w:t>
            </w:r>
          </w:p>
        </w:tc>
      </w:tr>
    </w:tbl>
    <w:p w14:paraId="6363DD37" w14:textId="2D5005B3" w:rsidR="00275493" w:rsidRPr="002E1939" w:rsidRDefault="00275493" w:rsidP="00275493">
      <w:pPr>
        <w:rPr>
          <w:rFonts w:ascii="Times New Roman" w:hAnsi="Times New Roman" w:cs="Times New Roman"/>
          <w:sz w:val="22"/>
        </w:rPr>
      </w:pPr>
      <w:r w:rsidRPr="002E1939">
        <w:rPr>
          <w:rFonts w:ascii="Times New Roman" w:hAnsi="Times New Roman" w:cs="Times New Roman" w:hint="eastAsia"/>
          <w:sz w:val="22"/>
        </w:rPr>
        <w:t>B</w:t>
      </w:r>
      <w:r w:rsidRPr="002E1939">
        <w:rPr>
          <w:rFonts w:ascii="Times New Roman" w:hAnsi="Times New Roman" w:cs="Times New Roman"/>
          <w:sz w:val="22"/>
        </w:rPr>
        <w:t xml:space="preserve">asically, we are fine to allow </w:t>
      </w:r>
      <w:r w:rsidR="002E1939" w:rsidRPr="002E1939">
        <w:rPr>
          <w:rFonts w:ascii="Times New Roman" w:hAnsi="Times New Roman" w:cs="Times New Roman"/>
          <w:sz w:val="22"/>
        </w:rPr>
        <w:t xml:space="preserve">beam </w:t>
      </w:r>
      <w:r w:rsidRPr="001778EA">
        <w:rPr>
          <w:rFonts w:ascii="Times New Roman" w:hAnsi="Times New Roman" w:cs="Times New Roman"/>
          <w:sz w:val="22"/>
        </w:rPr>
        <w:t>coordination</w:t>
      </w:r>
      <w:r>
        <w:rPr>
          <w:rFonts w:ascii="Times New Roman" w:hAnsi="Times New Roman" w:cs="Times New Roman"/>
          <w:sz w:val="22"/>
        </w:rPr>
        <w:t xml:space="preserve"> </w:t>
      </w:r>
      <w:r w:rsidR="002E1939">
        <w:rPr>
          <w:rFonts w:ascii="Times New Roman" w:hAnsi="Times New Roman" w:cs="Times New Roman"/>
          <w:sz w:val="22"/>
        </w:rPr>
        <w:t>among gNB</w:t>
      </w:r>
      <w:r w:rsidR="00F96DC9">
        <w:rPr>
          <w:rFonts w:ascii="Times New Roman" w:hAnsi="Times New Roman" w:cs="Times New Roman" w:hint="eastAsia"/>
          <w:sz w:val="22"/>
        </w:rPr>
        <w:t>s</w:t>
      </w:r>
      <w:r w:rsidR="002E1939">
        <w:rPr>
          <w:rFonts w:ascii="Times New Roman" w:hAnsi="Times New Roman" w:cs="Times New Roman"/>
          <w:sz w:val="22"/>
        </w:rPr>
        <w:t xml:space="preserve">, e.g., preferred/non-preferred beams. </w:t>
      </w:r>
      <w:r w:rsidR="007A0BDF">
        <w:rPr>
          <w:rFonts w:ascii="Times New Roman" w:hAnsi="Times New Roman" w:cs="Times New Roman"/>
          <w:sz w:val="22"/>
        </w:rPr>
        <w:t>Similar coordination procedure can be found in the topic of i</w:t>
      </w:r>
      <w:r w:rsidR="00D45FC4">
        <w:rPr>
          <w:rFonts w:ascii="Times New Roman" w:hAnsi="Times New Roman" w:cs="Times New Roman"/>
          <w:sz w:val="22"/>
        </w:rPr>
        <w:t>nter-UE coordination of Rel-17 s</w:t>
      </w:r>
      <w:r w:rsidR="007A0BDF">
        <w:rPr>
          <w:rFonts w:ascii="Times New Roman" w:hAnsi="Times New Roman" w:cs="Times New Roman"/>
          <w:sz w:val="22"/>
        </w:rPr>
        <w:t>idelink, where othe</w:t>
      </w:r>
      <w:r w:rsidR="007A0BDF">
        <w:rPr>
          <w:rFonts w:ascii="Times New Roman" w:hAnsi="Times New Roman" w:cs="Times New Roman" w:hint="eastAsia"/>
          <w:sz w:val="22"/>
        </w:rPr>
        <w:t>r</w:t>
      </w:r>
      <w:r w:rsidR="007A0BDF">
        <w:rPr>
          <w:rFonts w:ascii="Times New Roman" w:hAnsi="Times New Roman" w:cs="Times New Roman"/>
          <w:sz w:val="22"/>
        </w:rPr>
        <w:t xml:space="preserve"> UEs can recommend prefer/non-prefer resources to a UE.</w:t>
      </w:r>
      <w:r w:rsidR="00121AB9">
        <w:rPr>
          <w:rFonts w:ascii="Times New Roman" w:hAnsi="Times New Roman" w:cs="Times New Roman"/>
          <w:sz w:val="22"/>
        </w:rPr>
        <w:t xml:space="preserve"> The usage of preferred/non-preferred beams can be left for network implementation.</w:t>
      </w:r>
      <w:r w:rsidR="007A0BDF">
        <w:rPr>
          <w:rFonts w:ascii="Times New Roman" w:hAnsi="Times New Roman" w:cs="Times New Roman"/>
          <w:sz w:val="22"/>
        </w:rPr>
        <w:t xml:space="preserve"> </w:t>
      </w:r>
    </w:p>
    <w:p w14:paraId="30BC645B" w14:textId="4DAE1EDD" w:rsidR="002E1939" w:rsidRPr="00545678" w:rsidRDefault="002E1939" w:rsidP="002E1939">
      <w:pPr>
        <w:spacing w:beforeLines="50" w:before="156"/>
        <w:rPr>
          <w:rFonts w:ascii="Times New Roman" w:hAnsi="Times New Roman"/>
          <w:b/>
          <w:i/>
          <w:sz w:val="22"/>
        </w:rPr>
      </w:pPr>
      <w:r>
        <w:rPr>
          <w:rFonts w:ascii="Times New Roman" w:hAnsi="Times New Roman"/>
          <w:b/>
          <w:i/>
          <w:sz w:val="22"/>
        </w:rPr>
        <w:t xml:space="preserve">Proposal </w:t>
      </w:r>
      <w:r w:rsidR="00D45FC4">
        <w:rPr>
          <w:rFonts w:ascii="Times New Roman" w:hAnsi="Times New Roman"/>
          <w:b/>
          <w:i/>
          <w:sz w:val="22"/>
        </w:rPr>
        <w:t>4</w:t>
      </w:r>
      <w:r w:rsidRPr="00545678">
        <w:rPr>
          <w:rFonts w:ascii="Times New Roman" w:hAnsi="Times New Roman"/>
          <w:b/>
          <w:i/>
          <w:sz w:val="22"/>
        </w:rPr>
        <w:t>:</w:t>
      </w:r>
      <w:r>
        <w:rPr>
          <w:rFonts w:ascii="Times New Roman" w:hAnsi="Times New Roman"/>
          <w:b/>
          <w:i/>
          <w:sz w:val="22"/>
        </w:rPr>
        <w:t xml:space="preserve"> Information concerning </w:t>
      </w:r>
      <w:r w:rsidRPr="002E1939">
        <w:rPr>
          <w:rFonts w:ascii="Times New Roman" w:hAnsi="Times New Roman"/>
          <w:b/>
          <w:i/>
          <w:sz w:val="22"/>
        </w:rPr>
        <w:t>preferred/non-preferred beams can be shared among gNBs</w:t>
      </w:r>
      <w:r w:rsidRPr="00545678">
        <w:rPr>
          <w:rFonts w:ascii="Times New Roman" w:hAnsi="Times New Roman"/>
          <w:b/>
          <w:i/>
          <w:sz w:val="22"/>
        </w:rPr>
        <w:t>.</w:t>
      </w:r>
    </w:p>
    <w:p w14:paraId="3A264272" w14:textId="68CFD060" w:rsidR="00B264FE" w:rsidRDefault="00B264FE" w:rsidP="0043205C"/>
    <w:p w14:paraId="63602936" w14:textId="3286A10A" w:rsidR="00B264FE" w:rsidRPr="003C14E2" w:rsidRDefault="00B264FE" w:rsidP="00B264FE">
      <w:pPr>
        <w:pStyle w:val="1"/>
        <w:rPr>
          <w:lang w:eastAsia="zh-CN"/>
        </w:rPr>
      </w:pPr>
      <w:r>
        <w:rPr>
          <w:lang w:eastAsia="zh-CN"/>
        </w:rPr>
        <w:t>I</w:t>
      </w:r>
      <w:r>
        <w:rPr>
          <w:rFonts w:hint="eastAsia"/>
          <w:lang w:eastAsia="zh-CN"/>
        </w:rPr>
        <w:t>nter-UE</w:t>
      </w:r>
      <w:r>
        <w:rPr>
          <w:lang w:eastAsia="zh-CN"/>
        </w:rPr>
        <w:t xml:space="preserve"> CLI handling</w:t>
      </w:r>
    </w:p>
    <w:tbl>
      <w:tblPr>
        <w:tblStyle w:val="aa"/>
        <w:tblW w:w="0" w:type="auto"/>
        <w:tblLook w:val="04A0" w:firstRow="1" w:lastRow="0" w:firstColumn="1" w:lastColumn="0" w:noHBand="0" w:noVBand="1"/>
      </w:tblPr>
      <w:tblGrid>
        <w:gridCol w:w="9322"/>
      </w:tblGrid>
      <w:tr w:rsidR="001C2B1A" w14:paraId="3C539B69" w14:textId="77777777" w:rsidTr="001C2B1A">
        <w:tc>
          <w:tcPr>
            <w:tcW w:w="9322" w:type="dxa"/>
          </w:tcPr>
          <w:p w14:paraId="31775526" w14:textId="77777777" w:rsidR="001C2B1A" w:rsidRPr="001778EA" w:rsidRDefault="001C2B1A" w:rsidP="001C2B1A">
            <w:pPr>
              <w:rPr>
                <w:rFonts w:ascii="Times New Roman" w:hAnsi="Times New Roman" w:cs="Times New Roman"/>
                <w:b/>
                <w:bCs/>
                <w:sz w:val="22"/>
                <w:highlight w:val="green"/>
              </w:rPr>
            </w:pPr>
            <w:r w:rsidRPr="001778EA">
              <w:rPr>
                <w:rFonts w:ascii="Times New Roman" w:hAnsi="Times New Roman" w:cs="Times New Roman"/>
                <w:b/>
                <w:bCs/>
                <w:sz w:val="22"/>
                <w:highlight w:val="green"/>
              </w:rPr>
              <w:t>Agreement</w:t>
            </w:r>
          </w:p>
          <w:p w14:paraId="4A0A4F7F" w14:textId="77777777" w:rsidR="001C2B1A" w:rsidRPr="001778EA" w:rsidRDefault="001C2B1A" w:rsidP="001C2B1A">
            <w:pPr>
              <w:rPr>
                <w:rFonts w:ascii="Times New Roman" w:hAnsi="Times New Roman" w:cs="Times New Roman"/>
                <w:sz w:val="22"/>
              </w:rPr>
            </w:pPr>
            <w:r w:rsidRPr="001778EA">
              <w:rPr>
                <w:rFonts w:ascii="Times New Roman" w:hAnsi="Times New Roman" w:cs="Times New Roman"/>
                <w:sz w:val="22"/>
              </w:rPr>
              <w:t>For UE-to-UE co-channel CLI handling, study L1/L2 based UE-to-UE CLI measurement and reporting</w:t>
            </w:r>
          </w:p>
          <w:p w14:paraId="089899ED" w14:textId="77777777" w:rsidR="001C2B1A" w:rsidRPr="001778EA" w:rsidRDefault="001C2B1A" w:rsidP="001C2B1A">
            <w:pPr>
              <w:pStyle w:val="a3"/>
              <w:widowControl/>
              <w:numPr>
                <w:ilvl w:val="0"/>
                <w:numId w:val="26"/>
              </w:numPr>
              <w:suppressAutoHyphens/>
              <w:ind w:left="806" w:firstLineChars="0" w:hanging="403"/>
              <w:jc w:val="left"/>
              <w:textAlignment w:val="baseline"/>
              <w:rPr>
                <w:rFonts w:ascii="Times New Roman" w:hAnsi="Times New Roman" w:cs="Times New Roman"/>
                <w:sz w:val="22"/>
              </w:rPr>
            </w:pPr>
            <w:r w:rsidRPr="001778EA">
              <w:rPr>
                <w:rFonts w:ascii="Times New Roman" w:hAnsi="Times New Roman" w:cs="Times New Roman"/>
                <w:sz w:val="22"/>
              </w:rPr>
              <w:t>Note: Accounting for UE processing/reporting delay – companies to share their assumptions</w:t>
            </w:r>
          </w:p>
          <w:p w14:paraId="6155C3F4" w14:textId="77777777" w:rsidR="001C2B1A" w:rsidRPr="001778EA" w:rsidRDefault="001C2B1A" w:rsidP="001C2B1A">
            <w:pPr>
              <w:pStyle w:val="a3"/>
              <w:widowControl/>
              <w:numPr>
                <w:ilvl w:val="0"/>
                <w:numId w:val="26"/>
              </w:numPr>
              <w:suppressAutoHyphens/>
              <w:ind w:left="806" w:firstLineChars="0" w:hanging="403"/>
              <w:jc w:val="left"/>
              <w:textAlignment w:val="baseline"/>
              <w:rPr>
                <w:rFonts w:ascii="Times New Roman" w:hAnsi="Times New Roman" w:cs="Times New Roman"/>
                <w:sz w:val="22"/>
              </w:rPr>
            </w:pPr>
            <w:r w:rsidRPr="001778EA">
              <w:rPr>
                <w:rFonts w:ascii="Times New Roman" w:hAnsi="Times New Roman" w:cs="Times New Roman"/>
                <w:sz w:val="22"/>
              </w:rPr>
              <w:t>Note: Proponents are encouraged to provide the mechanism of L1/L2 based CLI measurement and reporting, and to provide the benefits of L1/L2 based CLI measurement and reporting compared with existing L3 CLI/CSI measurement and report with evaluation result</w:t>
            </w:r>
          </w:p>
          <w:p w14:paraId="63BB5762" w14:textId="77777777" w:rsidR="001C2B1A" w:rsidRPr="00747989" w:rsidRDefault="001C2B1A" w:rsidP="0043205C">
            <w:pPr>
              <w:pStyle w:val="a3"/>
              <w:widowControl/>
              <w:numPr>
                <w:ilvl w:val="0"/>
                <w:numId w:val="26"/>
              </w:numPr>
              <w:suppressAutoHyphens/>
              <w:ind w:left="806" w:firstLineChars="0" w:hanging="403"/>
              <w:jc w:val="left"/>
              <w:textAlignment w:val="baseline"/>
              <w:rPr>
                <w:rFonts w:eastAsia="Malgun Gothic"/>
                <w:lang w:eastAsia="ko-KR"/>
              </w:rPr>
            </w:pPr>
            <w:r w:rsidRPr="001778EA">
              <w:rPr>
                <w:rFonts w:ascii="Times New Roman" w:hAnsi="Times New Roman" w:cs="Times New Roman" w:hint="eastAsia"/>
                <w:sz w:val="22"/>
              </w:rPr>
              <w:lastRenderedPageBreak/>
              <w:t>N</w:t>
            </w:r>
            <w:r w:rsidRPr="001778EA">
              <w:rPr>
                <w:rFonts w:ascii="Times New Roman" w:hAnsi="Times New Roman" w:cs="Times New Roman"/>
                <w:sz w:val="22"/>
              </w:rPr>
              <w:t>ote: Accounting for information exchange delay between gNBs (if applicable)</w:t>
            </w:r>
          </w:p>
          <w:p w14:paraId="0DFA6D76" w14:textId="77777777" w:rsidR="00747989" w:rsidRPr="001778EA" w:rsidRDefault="00747989" w:rsidP="00747989">
            <w:pPr>
              <w:rPr>
                <w:rFonts w:ascii="Times New Roman" w:hAnsi="Times New Roman" w:cs="Times New Roman"/>
                <w:b/>
                <w:bCs/>
                <w:sz w:val="22"/>
                <w:highlight w:val="green"/>
              </w:rPr>
            </w:pPr>
            <w:r w:rsidRPr="001778EA">
              <w:rPr>
                <w:rFonts w:ascii="Times New Roman" w:hAnsi="Times New Roman" w:cs="Times New Roman"/>
                <w:b/>
                <w:bCs/>
                <w:sz w:val="22"/>
                <w:highlight w:val="green"/>
              </w:rPr>
              <w:t>Agreement</w:t>
            </w:r>
          </w:p>
          <w:p w14:paraId="5B4612DE" w14:textId="77777777" w:rsidR="00747989" w:rsidRPr="001778EA" w:rsidRDefault="00747989" w:rsidP="00747989">
            <w:pPr>
              <w:rPr>
                <w:rFonts w:ascii="Times New Roman" w:hAnsi="Times New Roman" w:cs="Times New Roman"/>
                <w:sz w:val="22"/>
              </w:rPr>
            </w:pPr>
            <w:r w:rsidRPr="001778EA">
              <w:rPr>
                <w:rFonts w:ascii="Times New Roman" w:hAnsi="Times New Roman" w:cs="Times New Roman"/>
                <w:sz w:val="22"/>
              </w:rPr>
              <w:t>For UE-to-UE co-channel CLI measurement, consider as baseline reusing existing channel(s)/signal(s)/measurement_resource(s)</w:t>
            </w:r>
          </w:p>
          <w:p w14:paraId="2A4EC809" w14:textId="77777777" w:rsidR="00747989" w:rsidRPr="001778EA" w:rsidRDefault="00747989" w:rsidP="00747989">
            <w:pPr>
              <w:widowControl/>
              <w:numPr>
                <w:ilvl w:val="0"/>
                <w:numId w:val="25"/>
              </w:numPr>
              <w:jc w:val="left"/>
              <w:rPr>
                <w:rFonts w:ascii="Times New Roman" w:hAnsi="Times New Roman" w:cs="Times New Roman"/>
                <w:sz w:val="22"/>
              </w:rPr>
            </w:pPr>
            <w:r w:rsidRPr="001778EA">
              <w:rPr>
                <w:rFonts w:ascii="Times New Roman" w:hAnsi="Times New Roman" w:cs="Times New Roman"/>
                <w:sz w:val="22"/>
              </w:rPr>
              <w:t>For example, SRS resources defined in Rel-16 for SRS-RSRP measurement, CLI-RSSI resources defined in Rel-16 for CLI-RSSI measurement</w:t>
            </w:r>
          </w:p>
          <w:p w14:paraId="72DF1257" w14:textId="77777777" w:rsidR="00747989" w:rsidRDefault="00747989" w:rsidP="00747989">
            <w:pPr>
              <w:widowControl/>
              <w:suppressAutoHyphens/>
              <w:jc w:val="left"/>
              <w:textAlignment w:val="baseline"/>
              <w:rPr>
                <w:rFonts w:ascii="Times New Roman" w:hAnsi="Times New Roman" w:cs="Times New Roman"/>
                <w:sz w:val="22"/>
              </w:rPr>
            </w:pPr>
            <w:r w:rsidRPr="001778EA">
              <w:rPr>
                <w:rFonts w:ascii="Times New Roman" w:hAnsi="Times New Roman" w:cs="Times New Roman"/>
                <w:sz w:val="22"/>
              </w:rPr>
              <w:t>FFS potential enhancements</w:t>
            </w:r>
          </w:p>
          <w:p w14:paraId="72CF79A8" w14:textId="77777777" w:rsidR="00C91AAF" w:rsidRPr="001365C0" w:rsidRDefault="00C91AAF" w:rsidP="00C91AAF">
            <w:pPr>
              <w:rPr>
                <w:rFonts w:ascii="Times New Roman" w:hAnsi="Times New Roman" w:cs="Times New Roman"/>
                <w:b/>
                <w:bCs/>
                <w:sz w:val="22"/>
                <w:highlight w:val="green"/>
              </w:rPr>
            </w:pPr>
            <w:r w:rsidRPr="001365C0">
              <w:rPr>
                <w:rFonts w:ascii="Times New Roman" w:hAnsi="Times New Roman" w:cs="Times New Roman"/>
                <w:b/>
                <w:bCs/>
                <w:sz w:val="22"/>
                <w:highlight w:val="green"/>
              </w:rPr>
              <w:t>Agreement</w:t>
            </w:r>
          </w:p>
          <w:p w14:paraId="1C7B0B28" w14:textId="77777777" w:rsidR="00C91AAF" w:rsidRPr="001365C0" w:rsidRDefault="00C91AAF" w:rsidP="00C91AAF">
            <w:pPr>
              <w:rPr>
                <w:rFonts w:ascii="Times New Roman" w:hAnsi="Times New Roman" w:cs="Times New Roman"/>
                <w:sz w:val="22"/>
              </w:rPr>
            </w:pPr>
            <w:r w:rsidRPr="001365C0">
              <w:rPr>
                <w:rFonts w:ascii="Times New Roman" w:hAnsi="Times New Roman" w:cs="Times New Roman"/>
                <w:sz w:val="22"/>
              </w:rPr>
              <w:t>For the purpose of UE-to-UE CLI mitigation, consider the following potential enhancements:</w:t>
            </w:r>
          </w:p>
          <w:p w14:paraId="3767D160" w14:textId="77777777" w:rsidR="00C91AAF" w:rsidRPr="001365C0" w:rsidRDefault="00C91AAF" w:rsidP="00C91AAF">
            <w:pPr>
              <w:pStyle w:val="a3"/>
              <w:widowControl/>
              <w:numPr>
                <w:ilvl w:val="0"/>
                <w:numId w:val="28"/>
              </w:numPr>
              <w:overflowPunct w:val="0"/>
              <w:autoSpaceDE w:val="0"/>
              <w:autoSpaceDN w:val="0"/>
              <w:adjustRightInd w:val="0"/>
              <w:ind w:left="709" w:firstLineChars="0"/>
              <w:contextualSpacing/>
              <w:jc w:val="left"/>
              <w:textAlignment w:val="baseline"/>
              <w:rPr>
                <w:rFonts w:ascii="Times New Roman" w:hAnsi="Times New Roman" w:cs="Times New Roman"/>
                <w:sz w:val="22"/>
              </w:rPr>
            </w:pPr>
            <w:r w:rsidRPr="001365C0">
              <w:rPr>
                <w:rFonts w:ascii="Times New Roman" w:hAnsi="Times New Roman" w:cs="Times New Roman"/>
                <w:sz w:val="22"/>
              </w:rPr>
              <w:t>For L1/L2 UE-to-UE CLI reporting, periodic, semi-persistent, aperiodic or event triggered reporting.</w:t>
            </w:r>
          </w:p>
          <w:p w14:paraId="24D83388" w14:textId="77777777" w:rsidR="00C91AAF" w:rsidRPr="001365C0" w:rsidRDefault="00C91AAF" w:rsidP="00C91AAF">
            <w:pPr>
              <w:pStyle w:val="a3"/>
              <w:widowControl/>
              <w:numPr>
                <w:ilvl w:val="0"/>
                <w:numId w:val="28"/>
              </w:numPr>
              <w:overflowPunct w:val="0"/>
              <w:autoSpaceDE w:val="0"/>
              <w:autoSpaceDN w:val="0"/>
              <w:adjustRightInd w:val="0"/>
              <w:ind w:left="709" w:firstLineChars="0"/>
              <w:contextualSpacing/>
              <w:jc w:val="left"/>
              <w:textAlignment w:val="baseline"/>
              <w:rPr>
                <w:rFonts w:ascii="Times New Roman" w:hAnsi="Times New Roman" w:cs="Times New Roman"/>
                <w:sz w:val="22"/>
              </w:rPr>
            </w:pPr>
            <w:r w:rsidRPr="001365C0">
              <w:rPr>
                <w:rFonts w:ascii="Times New Roman" w:hAnsi="Times New Roman" w:cs="Times New Roman"/>
                <w:sz w:val="22"/>
              </w:rPr>
              <w:t>For L1/L2 UE-to-UE CLI measurement, periodic, semi-persistent, or aperiodic measurement resource.</w:t>
            </w:r>
          </w:p>
          <w:p w14:paraId="08082A83" w14:textId="50CB893E" w:rsidR="00C91AAF" w:rsidRPr="00C91AAF" w:rsidRDefault="00C91AAF" w:rsidP="001365C0">
            <w:pPr>
              <w:rPr>
                <w:rFonts w:eastAsia="Malgun Gothic"/>
                <w:lang w:eastAsia="ko-KR"/>
              </w:rPr>
            </w:pPr>
            <w:r w:rsidRPr="001365C0">
              <w:rPr>
                <w:rFonts w:ascii="Times New Roman" w:hAnsi="Times New Roman" w:cs="Times New Roman"/>
                <w:sz w:val="22"/>
              </w:rPr>
              <w:t>Companies are encouraged to bring additional details and evaluation results to determine the benefit of the above potential enhancements.</w:t>
            </w:r>
          </w:p>
        </w:tc>
      </w:tr>
    </w:tbl>
    <w:p w14:paraId="3E89C0F8" w14:textId="320DF31B" w:rsidR="00FD2EEC" w:rsidRDefault="00F227C2" w:rsidP="0006312E">
      <w:pPr>
        <w:widowControl/>
        <w:spacing w:after="180"/>
        <w:ind w:firstLineChars="50" w:firstLine="110"/>
        <w:rPr>
          <w:rFonts w:ascii="Times New Roman" w:hAnsi="Times New Roman" w:cs="Times New Roman"/>
          <w:sz w:val="22"/>
        </w:rPr>
      </w:pPr>
      <w:r>
        <w:rPr>
          <w:rFonts w:ascii="Times New Roman" w:hAnsi="Times New Roman" w:cs="Times New Roman" w:hint="eastAsia"/>
          <w:sz w:val="22"/>
        </w:rPr>
        <w:lastRenderedPageBreak/>
        <w:t>F</w:t>
      </w:r>
      <w:r w:rsidR="00D61E7F">
        <w:rPr>
          <w:rFonts w:ascii="Times New Roman" w:hAnsi="Times New Roman" w:cs="Times New Roman"/>
          <w:sz w:val="22"/>
        </w:rPr>
        <w:t>or UE-UE CLI measurement, we have already SRS resource and RSSI resource for CLI measurement introduced in Rel-16</w:t>
      </w:r>
      <w:r w:rsidR="00D96C8D">
        <w:rPr>
          <w:rFonts w:ascii="Times New Roman" w:hAnsi="Times New Roman" w:cs="Times New Roman"/>
          <w:sz w:val="22"/>
        </w:rPr>
        <w:t xml:space="preserve"> and only high layer CLI measurement/report is supported. Though it was agreed to study </w:t>
      </w:r>
      <w:r w:rsidR="00D96C8D" w:rsidRPr="001365C0">
        <w:rPr>
          <w:rFonts w:ascii="Times New Roman" w:hAnsi="Times New Roman" w:cs="Times New Roman"/>
          <w:sz w:val="22"/>
        </w:rPr>
        <w:t>L1/L2 UE-to-UE CLI measurement</w:t>
      </w:r>
      <w:r w:rsidR="00D96C8D">
        <w:rPr>
          <w:rFonts w:ascii="Times New Roman" w:hAnsi="Times New Roman" w:cs="Times New Roman"/>
          <w:sz w:val="22"/>
        </w:rPr>
        <w:t>/reporting in last meeting, the potential benefit is still questionable.</w:t>
      </w:r>
      <w:r w:rsidR="00CD4298">
        <w:rPr>
          <w:rFonts w:ascii="Times New Roman" w:hAnsi="Times New Roman" w:cs="Times New Roman"/>
          <w:sz w:val="22"/>
        </w:rPr>
        <w:t xml:space="preserve"> Timing misalignment </w:t>
      </w:r>
      <w:r w:rsidR="00390174">
        <w:rPr>
          <w:rFonts w:ascii="Times New Roman" w:hAnsi="Times New Roman" w:cs="Times New Roman"/>
          <w:sz w:val="22"/>
        </w:rPr>
        <w:t>shown in Figure 1 is a</w:t>
      </w:r>
      <w:r w:rsidR="00CD4298">
        <w:rPr>
          <w:rFonts w:ascii="Times New Roman" w:hAnsi="Times New Roman" w:cs="Times New Roman"/>
          <w:sz w:val="22"/>
        </w:rPr>
        <w:t xml:space="preserve"> big issue for UE-UE measurement which makes the results in doubt</w:t>
      </w:r>
      <w:r w:rsidR="000F3062">
        <w:rPr>
          <w:rFonts w:ascii="Times New Roman" w:hAnsi="Times New Roman" w:cs="Times New Roman"/>
          <w:sz w:val="22"/>
        </w:rPr>
        <w:t>.</w:t>
      </w:r>
      <w:r w:rsidR="00390174">
        <w:rPr>
          <w:rFonts w:ascii="Times New Roman" w:hAnsi="Times New Roman" w:cs="Times New Roman"/>
          <w:sz w:val="22"/>
        </w:rPr>
        <w:t xml:space="preserve"> </w:t>
      </w:r>
      <w:r w:rsidR="00390174">
        <w:rPr>
          <w:rFonts w:ascii="Times New Roman" w:hAnsi="Times New Roman" w:cs="Times New Roman"/>
          <w:kern w:val="0"/>
          <w:sz w:val="22"/>
          <w:lang w:val="en-GB"/>
        </w:rPr>
        <w:t>As shown in F</w:t>
      </w:r>
      <w:r w:rsidR="00390174" w:rsidRPr="003D04D8">
        <w:rPr>
          <w:rFonts w:ascii="Times New Roman" w:hAnsi="Times New Roman" w:cs="Times New Roman"/>
          <w:kern w:val="0"/>
          <w:sz w:val="22"/>
          <w:lang w:val="en-GB"/>
        </w:rPr>
        <w:t>igure</w:t>
      </w:r>
      <w:r w:rsidR="00390174">
        <w:rPr>
          <w:rFonts w:ascii="Times New Roman" w:hAnsi="Times New Roman" w:cs="Times New Roman"/>
          <w:kern w:val="0"/>
          <w:sz w:val="22"/>
          <w:lang w:val="en-GB"/>
        </w:rPr>
        <w:t xml:space="preserve"> 1</w:t>
      </w:r>
      <w:r w:rsidR="00390174" w:rsidRPr="003D04D8">
        <w:rPr>
          <w:rFonts w:ascii="Times New Roman" w:hAnsi="Times New Roman" w:cs="Times New Roman"/>
          <w:kern w:val="0"/>
          <w:sz w:val="22"/>
          <w:lang w:val="en-GB"/>
        </w:rPr>
        <w:t xml:space="preserve">, </w:t>
      </w:r>
      <w:r w:rsidR="00390174">
        <w:rPr>
          <w:rFonts w:ascii="Times New Roman" w:hAnsi="Times New Roman" w:cs="Times New Roman" w:hint="eastAsia"/>
          <w:kern w:val="0"/>
          <w:sz w:val="22"/>
          <w:lang w:val="en-GB"/>
        </w:rPr>
        <w:t>UE</w:t>
      </w:r>
      <w:r w:rsidR="00390174">
        <w:rPr>
          <w:rFonts w:ascii="Times New Roman" w:hAnsi="Times New Roman" w:cs="Times New Roman"/>
          <w:kern w:val="0"/>
          <w:sz w:val="22"/>
          <w:lang w:val="en-GB"/>
        </w:rPr>
        <w:t>2 transmits signal for CLI measurement while UE1 receives the downlink signal from gNB1. T</w:t>
      </w:r>
      <w:r w:rsidR="00390174" w:rsidRPr="003D04D8">
        <w:rPr>
          <w:rFonts w:ascii="Times New Roman" w:hAnsi="Times New Roman" w:cs="Times New Roman"/>
          <w:kern w:val="0"/>
          <w:sz w:val="22"/>
          <w:lang w:val="en-GB"/>
        </w:rPr>
        <w:t xml:space="preserve">he uplink transmission of UE2 will interfere with the downlink reception of UE1 when different slot configurations are configured in </w:t>
      </w:r>
      <w:r w:rsidR="00390174">
        <w:rPr>
          <w:rFonts w:ascii="Times New Roman" w:hAnsi="Times New Roman" w:cs="Times New Roman"/>
          <w:kern w:val="0"/>
          <w:sz w:val="22"/>
          <w:lang w:val="en-GB"/>
        </w:rPr>
        <w:t xml:space="preserve">the </w:t>
      </w:r>
      <w:r w:rsidR="00390174" w:rsidRPr="003D04D8">
        <w:rPr>
          <w:rFonts w:ascii="Times New Roman" w:hAnsi="Times New Roman" w:cs="Times New Roman"/>
          <w:kern w:val="0"/>
          <w:sz w:val="22"/>
          <w:lang w:val="en-GB"/>
        </w:rPr>
        <w:t>two neighbour cells.</w:t>
      </w:r>
      <w:r w:rsidR="005D49E2">
        <w:rPr>
          <w:rFonts w:ascii="Times New Roman" w:hAnsi="Times New Roman" w:cs="Times New Roman"/>
          <w:kern w:val="0"/>
          <w:sz w:val="22"/>
          <w:lang w:val="en-GB"/>
        </w:rPr>
        <w:t xml:space="preserve"> </w:t>
      </w:r>
      <w:r w:rsidR="00390174">
        <w:rPr>
          <w:rFonts w:ascii="Times New Roman" w:hAnsi="Times New Roman" w:cs="Times New Roman" w:hint="eastAsia"/>
          <w:kern w:val="0"/>
          <w:sz w:val="22"/>
          <w:lang w:val="en-GB"/>
        </w:rPr>
        <w:t>Assum</w:t>
      </w:r>
      <w:r w:rsidR="00390174">
        <w:rPr>
          <w:rFonts w:ascii="Times New Roman" w:hAnsi="Times New Roman" w:cs="Times New Roman"/>
          <w:kern w:val="0"/>
          <w:sz w:val="22"/>
          <w:lang w:val="en-GB"/>
        </w:rPr>
        <w:t>ing that t</w:t>
      </w:r>
      <w:r w:rsidR="00390174" w:rsidRPr="003D04D8">
        <w:rPr>
          <w:rFonts w:ascii="Times New Roman" w:hAnsi="Times New Roman" w:cs="Times New Roman"/>
          <w:kern w:val="0"/>
          <w:sz w:val="22"/>
          <w:lang w:val="en-GB"/>
        </w:rPr>
        <w:t xml:space="preserve">he </w:t>
      </w:r>
      <w:r w:rsidR="00390174">
        <w:rPr>
          <w:rFonts w:ascii="Times New Roman" w:hAnsi="Times New Roman" w:cs="Times New Roman"/>
          <w:kern w:val="0"/>
          <w:sz w:val="22"/>
          <w:lang w:val="en-GB"/>
        </w:rPr>
        <w:t>downlink</w:t>
      </w:r>
      <w:r w:rsidR="00390174" w:rsidRPr="003D04D8">
        <w:rPr>
          <w:rFonts w:ascii="Times New Roman" w:hAnsi="Times New Roman" w:cs="Times New Roman"/>
          <w:kern w:val="0"/>
          <w:sz w:val="22"/>
          <w:lang w:val="en-GB"/>
        </w:rPr>
        <w:t xml:space="preserve"> transmission of gNB1 and the </w:t>
      </w:r>
      <w:r w:rsidR="00390174">
        <w:rPr>
          <w:rFonts w:ascii="Times New Roman" w:hAnsi="Times New Roman" w:cs="Times New Roman"/>
          <w:kern w:val="0"/>
          <w:sz w:val="22"/>
          <w:lang w:val="en-GB"/>
        </w:rPr>
        <w:t>uplink</w:t>
      </w:r>
      <w:r w:rsidR="00390174" w:rsidRPr="003D04D8">
        <w:rPr>
          <w:rFonts w:ascii="Times New Roman" w:hAnsi="Times New Roman" w:cs="Times New Roman"/>
          <w:kern w:val="0"/>
          <w:sz w:val="22"/>
          <w:lang w:val="en-GB"/>
        </w:rPr>
        <w:t xml:space="preserve"> reception of gNB</w:t>
      </w:r>
      <w:r w:rsidR="00390174" w:rsidRPr="003D04D8">
        <w:rPr>
          <w:rFonts w:ascii="Times New Roman" w:hAnsi="Times New Roman" w:cs="Times New Roman" w:hint="eastAsia"/>
          <w:kern w:val="0"/>
          <w:sz w:val="22"/>
          <w:lang w:val="en-GB"/>
        </w:rPr>
        <w:t>2</w:t>
      </w:r>
      <w:r w:rsidR="00390174" w:rsidRPr="003D04D8">
        <w:rPr>
          <w:rFonts w:ascii="Times New Roman" w:hAnsi="Times New Roman" w:cs="Times New Roman"/>
          <w:kern w:val="0"/>
          <w:sz w:val="22"/>
          <w:lang w:val="en-GB"/>
        </w:rPr>
        <w:t xml:space="preserve"> are aligned at T</w:t>
      </w:r>
      <w:r w:rsidR="00390174" w:rsidRPr="00985E58">
        <w:rPr>
          <w:rFonts w:ascii="Times New Roman" w:hAnsi="Times New Roman" w:cs="Times New Roman"/>
          <w:kern w:val="0"/>
          <w:sz w:val="22"/>
          <w:vertAlign w:val="subscript"/>
          <w:lang w:val="en-GB"/>
        </w:rPr>
        <w:t>0</w:t>
      </w:r>
      <w:r w:rsidR="00390174">
        <w:rPr>
          <w:rFonts w:ascii="Times New Roman" w:hAnsi="Times New Roman" w:cs="Times New Roman"/>
          <w:kern w:val="0"/>
          <w:sz w:val="22"/>
          <w:lang w:val="en-GB"/>
        </w:rPr>
        <w:t>, and T</w:t>
      </w:r>
      <w:r w:rsidR="00390174" w:rsidRPr="00985E58">
        <w:rPr>
          <w:rFonts w:ascii="Times New Roman" w:hAnsi="Times New Roman" w:cs="Times New Roman"/>
          <w:kern w:val="0"/>
          <w:sz w:val="22"/>
          <w:vertAlign w:val="subscript"/>
          <w:lang w:val="en-GB"/>
        </w:rPr>
        <w:t>-1</w:t>
      </w:r>
      <w:r w:rsidR="00390174">
        <w:rPr>
          <w:rFonts w:ascii="Times New Roman" w:hAnsi="Times New Roman" w:cs="Times New Roman"/>
          <w:kern w:val="0"/>
          <w:sz w:val="22"/>
          <w:lang w:val="en-GB"/>
        </w:rPr>
        <w:t xml:space="preserve"> </w:t>
      </w:r>
      <w:r w:rsidR="00390174" w:rsidRPr="00985E58">
        <w:rPr>
          <w:rFonts w:ascii="Times New Roman" w:hAnsi="Times New Roman" w:cs="Times New Roman" w:hint="eastAsia"/>
          <w:kern w:val="0"/>
          <w:sz w:val="22"/>
          <w:lang w:val="en-GB"/>
        </w:rPr>
        <w:t>represent the</w:t>
      </w:r>
      <w:r w:rsidR="00390174" w:rsidRPr="00985E58">
        <w:rPr>
          <w:rFonts w:ascii="Times New Roman" w:hAnsi="Times New Roman" w:cs="Times New Roman"/>
          <w:kern w:val="0"/>
          <w:sz w:val="22"/>
          <w:lang w:val="en-GB"/>
        </w:rPr>
        <w:t xml:space="preserve"> UL timing at UE2.</w:t>
      </w:r>
      <w:r w:rsidR="00390174">
        <w:rPr>
          <w:rFonts w:ascii="Times New Roman" w:hAnsi="Times New Roman" w:cs="Times New Roman" w:hint="eastAsia"/>
          <w:kern w:val="0"/>
          <w:sz w:val="22"/>
          <w:lang w:val="en-GB"/>
        </w:rPr>
        <w:t xml:space="preserve"> </w:t>
      </w:r>
      <w:r w:rsidR="00390174" w:rsidRPr="003D04D8">
        <w:rPr>
          <w:rFonts w:ascii="Times New Roman" w:hAnsi="Times New Roman" w:cs="Times New Roman"/>
          <w:kern w:val="0"/>
          <w:sz w:val="22"/>
          <w:lang w:val="en-GB"/>
        </w:rPr>
        <w:t>UE1 receives the downlink signal transmitted by gNB1 at T</w:t>
      </w:r>
      <w:r w:rsidR="00390174" w:rsidRPr="00985E58">
        <w:rPr>
          <w:rFonts w:ascii="Times New Roman" w:hAnsi="Times New Roman" w:cs="Times New Roman"/>
          <w:kern w:val="0"/>
          <w:sz w:val="22"/>
          <w:vertAlign w:val="subscript"/>
          <w:lang w:val="en-GB"/>
        </w:rPr>
        <w:t>1</w:t>
      </w:r>
      <w:r w:rsidR="00390174" w:rsidRPr="003D04D8">
        <w:rPr>
          <w:rFonts w:ascii="Times New Roman" w:hAnsi="Times New Roman" w:cs="Times New Roman"/>
          <w:kern w:val="0"/>
          <w:sz w:val="22"/>
          <w:lang w:val="en-GB"/>
        </w:rPr>
        <w:t xml:space="preserve">, while </w:t>
      </w:r>
      <w:r w:rsidR="00390174">
        <w:rPr>
          <w:rFonts w:ascii="Times New Roman" w:hAnsi="Times New Roman" w:cs="Times New Roman"/>
          <w:sz w:val="22"/>
        </w:rPr>
        <w:t>SRS reception</w:t>
      </w:r>
      <w:r w:rsidR="00390174" w:rsidRPr="00983D86">
        <w:rPr>
          <w:rFonts w:ascii="Times New Roman" w:hAnsi="Times New Roman" w:cs="Times New Roman" w:hint="eastAsia"/>
          <w:sz w:val="22"/>
        </w:rPr>
        <w:t xml:space="preserve"> </w:t>
      </w:r>
      <w:r w:rsidR="00390174">
        <w:rPr>
          <w:rFonts w:ascii="Times New Roman" w:hAnsi="Times New Roman" w:cs="Times New Roman"/>
          <w:sz w:val="22"/>
        </w:rPr>
        <w:t>t</w:t>
      </w:r>
      <w:r w:rsidR="00390174" w:rsidRPr="00983D86">
        <w:rPr>
          <w:rFonts w:ascii="Times New Roman" w:hAnsi="Times New Roman" w:cs="Times New Roman" w:hint="eastAsia"/>
          <w:sz w:val="22"/>
        </w:rPr>
        <w:t>iming at UE1</w:t>
      </w:r>
      <w:r w:rsidR="00390174">
        <w:rPr>
          <w:rFonts w:ascii="Times New Roman" w:hAnsi="Times New Roman" w:cs="Times New Roman"/>
          <w:sz w:val="22"/>
        </w:rPr>
        <w:t xml:space="preserve"> </w:t>
      </w:r>
      <w:r w:rsidR="00390174" w:rsidRPr="00983D86">
        <w:rPr>
          <w:rFonts w:ascii="Times New Roman" w:hAnsi="Times New Roman" w:cs="Times New Roman"/>
          <w:sz w:val="22"/>
        </w:rPr>
        <w:t>earlier than T</w:t>
      </w:r>
      <w:r w:rsidR="00390174" w:rsidRPr="00985E58">
        <w:rPr>
          <w:rFonts w:ascii="Times New Roman" w:hAnsi="Times New Roman" w:cs="Times New Roman"/>
          <w:sz w:val="22"/>
          <w:vertAlign w:val="subscript"/>
        </w:rPr>
        <w:t>1</w:t>
      </w:r>
      <w:r w:rsidR="00390174">
        <w:rPr>
          <w:rFonts w:ascii="Times New Roman" w:hAnsi="Times New Roman" w:cs="Times New Roman"/>
          <w:sz w:val="22"/>
        </w:rPr>
        <w:t xml:space="preserve">. When UE1 and UE2 are far away from gNB and close to each other, it cannot be guaranteed that </w:t>
      </w:r>
      <w:r w:rsidR="00390174" w:rsidRPr="003D04D8">
        <w:rPr>
          <w:rFonts w:ascii="Times New Roman" w:hAnsi="Times New Roman" w:cs="Times New Roman"/>
          <w:kern w:val="0"/>
          <w:sz w:val="22"/>
          <w:lang w:val="en-GB"/>
        </w:rPr>
        <w:t>the SRS fall within the window that the UE1 normally receives downlink signals, and UE-to-UE CLI measurement cannot be performed accurately.</w:t>
      </w:r>
      <w:r w:rsidR="00390174">
        <w:rPr>
          <w:rFonts w:ascii="Times New Roman" w:hAnsi="Times New Roman" w:cs="Times New Roman"/>
          <w:kern w:val="0"/>
          <w:sz w:val="22"/>
          <w:lang w:val="en-GB"/>
        </w:rPr>
        <w:t xml:space="preserve"> </w:t>
      </w:r>
      <w:r w:rsidR="00317E2C">
        <w:rPr>
          <w:rFonts w:ascii="Times New Roman" w:hAnsi="Times New Roman" w:cs="Times New Roman"/>
          <w:kern w:val="0"/>
          <w:sz w:val="22"/>
          <w:lang w:val="en-GB"/>
        </w:rPr>
        <w:t>Moreover, w</w:t>
      </w:r>
      <w:r w:rsidR="00390174">
        <w:rPr>
          <w:rFonts w:ascii="Times New Roman" w:hAnsi="Times New Roman" w:cs="Times New Roman"/>
          <w:kern w:val="0"/>
          <w:sz w:val="22"/>
          <w:lang w:val="en-GB"/>
        </w:rPr>
        <w:t xml:space="preserve">hen </w:t>
      </w:r>
      <w:r w:rsidR="00390174">
        <w:rPr>
          <w:rFonts w:ascii="Times New Roman" w:hAnsi="Times New Roman" w:cs="Times New Roman"/>
          <w:sz w:val="22"/>
        </w:rPr>
        <w:t>the</w:t>
      </w:r>
      <w:r w:rsidR="00390174" w:rsidRPr="003D04D8">
        <w:rPr>
          <w:rFonts w:ascii="Times New Roman" w:hAnsi="Times New Roman" w:cs="Times New Roman"/>
          <w:kern w:val="0"/>
          <w:sz w:val="22"/>
          <w:lang w:val="en-GB"/>
        </w:rPr>
        <w:t xml:space="preserve"> time </w:t>
      </w:r>
      <w:r w:rsidR="00390174" w:rsidRPr="003D04D8">
        <w:rPr>
          <w:rFonts w:ascii="Times New Roman" w:hAnsi="Times New Roman" w:cs="Times New Roman" w:hint="eastAsia"/>
          <w:kern w:val="0"/>
          <w:sz w:val="22"/>
          <w:lang w:val="en-GB"/>
        </w:rPr>
        <w:t>offset</w:t>
      </w:r>
      <w:r w:rsidR="00390174" w:rsidRPr="003D04D8">
        <w:rPr>
          <w:rFonts w:ascii="Times New Roman" w:hAnsi="Times New Roman" w:cs="Times New Roman"/>
          <w:kern w:val="0"/>
          <w:sz w:val="22"/>
          <w:lang w:val="en-GB"/>
        </w:rPr>
        <w:t xml:space="preserve"> between the reception of the reference signal and the normal downlink reception beyond the range of the cyclic prefix</w:t>
      </w:r>
      <w:r w:rsidR="00317E2C">
        <w:rPr>
          <w:rFonts w:ascii="Times New Roman" w:hAnsi="Times New Roman" w:cs="Times New Roman"/>
          <w:kern w:val="0"/>
          <w:sz w:val="22"/>
          <w:lang w:val="en-GB"/>
        </w:rPr>
        <w:t>,</w:t>
      </w:r>
      <w:r w:rsidR="00390174">
        <w:rPr>
          <w:rFonts w:ascii="Times New Roman" w:hAnsi="Times New Roman" w:cs="Times New Roman"/>
          <w:kern w:val="0"/>
          <w:sz w:val="22"/>
          <w:lang w:val="en-GB"/>
        </w:rPr>
        <w:t xml:space="preserve"> </w:t>
      </w:r>
      <w:r w:rsidR="00390174" w:rsidRPr="007631DB">
        <w:rPr>
          <w:rFonts w:ascii="Times New Roman" w:hAnsi="Times New Roman" w:cs="Times New Roman"/>
          <w:sz w:val="22"/>
        </w:rPr>
        <w:t>UE1 cannot properly estimate the interference caused by UE2's uplink transmission</w:t>
      </w:r>
      <w:r w:rsidR="00390174">
        <w:rPr>
          <w:rFonts w:ascii="Times New Roman" w:hAnsi="Times New Roman" w:cs="Times New Roman"/>
          <w:sz w:val="22"/>
        </w:rPr>
        <w:t>.</w:t>
      </w:r>
      <w:r w:rsidR="000F3062">
        <w:rPr>
          <w:rFonts w:ascii="Times New Roman" w:hAnsi="Times New Roman" w:cs="Times New Roman"/>
          <w:sz w:val="22"/>
        </w:rPr>
        <w:t xml:space="preserve"> In this case, the dynamic measurement result is meaningless.</w:t>
      </w:r>
      <w:r w:rsidR="00D348A4">
        <w:rPr>
          <w:rFonts w:ascii="Times New Roman" w:hAnsi="Times New Roman" w:cs="Times New Roman"/>
          <w:sz w:val="22"/>
        </w:rPr>
        <w:t xml:space="preserve"> Besides</w:t>
      </w:r>
      <w:r w:rsidR="008839C7">
        <w:rPr>
          <w:rFonts w:ascii="Times New Roman" w:hAnsi="Times New Roman" w:cs="Times New Roman"/>
          <w:sz w:val="22"/>
        </w:rPr>
        <w:t xml:space="preserve">, CLI resources are not associated with </w:t>
      </w:r>
      <w:r w:rsidR="00D96C8D">
        <w:rPr>
          <w:rFonts w:ascii="Times New Roman" w:hAnsi="Times New Roman" w:cs="Times New Roman"/>
          <w:sz w:val="22"/>
        </w:rPr>
        <w:t>beam information</w:t>
      </w:r>
      <w:r w:rsidR="008839C7">
        <w:rPr>
          <w:rFonts w:ascii="Times New Roman" w:hAnsi="Times New Roman" w:cs="Times New Roman"/>
          <w:sz w:val="22"/>
        </w:rPr>
        <w:t>. To better evaluate directional interference</w:t>
      </w:r>
      <w:r w:rsidR="00D96C8D">
        <w:rPr>
          <w:rFonts w:ascii="Times New Roman" w:hAnsi="Times New Roman" w:cs="Times New Roman"/>
          <w:sz w:val="22"/>
        </w:rPr>
        <w:t xml:space="preserve"> especially in FR2</w:t>
      </w:r>
      <w:r w:rsidR="008839C7">
        <w:rPr>
          <w:rFonts w:ascii="Times New Roman" w:hAnsi="Times New Roman" w:cs="Times New Roman"/>
          <w:sz w:val="22"/>
        </w:rPr>
        <w:t xml:space="preserve">, beam specific CLI resource could be considered. </w:t>
      </w:r>
      <w:r w:rsidR="00550749">
        <w:rPr>
          <w:rFonts w:ascii="Times New Roman" w:hAnsi="Times New Roman" w:cs="Times New Roman"/>
          <w:sz w:val="22"/>
        </w:rPr>
        <w:t xml:space="preserve">Also, to enable </w:t>
      </w:r>
      <w:r w:rsidR="00550749" w:rsidRPr="00545678">
        <w:rPr>
          <w:rFonts w:ascii="Times New Roman" w:hAnsi="Times New Roman" w:cs="Times New Roman"/>
          <w:sz w:val="22"/>
        </w:rPr>
        <w:t>spatial domain coordination</w:t>
      </w:r>
      <w:r w:rsidR="00264797" w:rsidRPr="00545678">
        <w:rPr>
          <w:rFonts w:ascii="Times New Roman" w:hAnsi="Times New Roman" w:cs="Times New Roman"/>
          <w:sz w:val="22"/>
        </w:rPr>
        <w:t xml:space="preserve">, beam information </w:t>
      </w:r>
      <w:r w:rsidR="00CE69ED">
        <w:rPr>
          <w:rFonts w:ascii="Times New Roman" w:hAnsi="Times New Roman" w:cs="Times New Roman"/>
          <w:sz w:val="22"/>
        </w:rPr>
        <w:t>sharing</w:t>
      </w:r>
      <w:r w:rsidR="00264797" w:rsidRPr="00545678">
        <w:rPr>
          <w:rFonts w:ascii="Times New Roman" w:hAnsi="Times New Roman" w:cs="Times New Roman"/>
          <w:sz w:val="22"/>
        </w:rPr>
        <w:t xml:space="preserve"> is essential.</w:t>
      </w:r>
      <w:r w:rsidR="00550749">
        <w:rPr>
          <w:rFonts w:ascii="Times New Roman" w:hAnsi="Times New Roman" w:cs="Times New Roman"/>
          <w:sz w:val="22"/>
        </w:rPr>
        <w:t xml:space="preserve"> </w:t>
      </w:r>
    </w:p>
    <w:p w14:paraId="669D8622" w14:textId="77777777" w:rsidR="00317E2C" w:rsidRDefault="00317E2C" w:rsidP="00317E2C">
      <w:pPr>
        <w:spacing w:after="180"/>
        <w:jc w:val="center"/>
        <w:rPr>
          <w:rFonts w:ascii="Times New Roman" w:hAnsi="Times New Roman" w:cs="Times New Roman"/>
          <w:sz w:val="22"/>
        </w:rPr>
      </w:pPr>
      <w:r>
        <w:rPr>
          <w:noProof/>
        </w:rPr>
        <w:drawing>
          <wp:inline distT="0" distB="0" distL="0" distR="0" wp14:anchorId="77B30953" wp14:editId="2A79AA1E">
            <wp:extent cx="3050481" cy="2145546"/>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097793" cy="2178823"/>
                    </a:xfrm>
                    <a:prstGeom prst="rect">
                      <a:avLst/>
                    </a:prstGeom>
                  </pic:spPr>
                </pic:pic>
              </a:graphicData>
            </a:graphic>
          </wp:inline>
        </w:drawing>
      </w:r>
    </w:p>
    <w:p w14:paraId="442FC55B" w14:textId="77777777" w:rsidR="00317E2C" w:rsidRPr="007013D8" w:rsidRDefault="00317E2C" w:rsidP="00317E2C">
      <w:pPr>
        <w:widowControl/>
        <w:overflowPunct w:val="0"/>
        <w:autoSpaceDE w:val="0"/>
        <w:autoSpaceDN w:val="0"/>
        <w:adjustRightInd w:val="0"/>
        <w:spacing w:after="180"/>
        <w:jc w:val="center"/>
        <w:textAlignment w:val="baseline"/>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lastRenderedPageBreak/>
        <w:t>Figure 1</w:t>
      </w:r>
      <w:r w:rsidRPr="007013D8">
        <w:t xml:space="preserve"> </w:t>
      </w:r>
      <w:r>
        <w:rPr>
          <w:rFonts w:ascii="Times New Roman" w:eastAsia="宋体" w:hAnsi="Times New Roman" w:cs="Times New Roman"/>
          <w:b/>
          <w:bCs/>
          <w:kern w:val="0"/>
          <w:sz w:val="20"/>
          <w:szCs w:val="20"/>
        </w:rPr>
        <w:t>U</w:t>
      </w:r>
      <w:r w:rsidRPr="007013D8">
        <w:rPr>
          <w:rFonts w:ascii="Times New Roman" w:eastAsia="宋体" w:hAnsi="Times New Roman" w:cs="Times New Roman"/>
          <w:b/>
          <w:bCs/>
          <w:kern w:val="0"/>
          <w:sz w:val="20"/>
          <w:szCs w:val="20"/>
        </w:rPr>
        <w:t>naligned</w:t>
      </w:r>
      <w:r w:rsidRPr="007013D8">
        <w:rPr>
          <w:rFonts w:ascii="Times New Roman" w:eastAsia="宋体" w:hAnsi="Times New Roman" w:cs="Times New Roman" w:hint="eastAsia"/>
          <w:b/>
          <w:bCs/>
          <w:kern w:val="0"/>
          <w:sz w:val="20"/>
          <w:szCs w:val="20"/>
        </w:rPr>
        <w:t xml:space="preserve"> </w:t>
      </w:r>
      <w:r>
        <w:rPr>
          <w:rFonts w:ascii="Times New Roman" w:eastAsia="宋体" w:hAnsi="Times New Roman" w:cs="Times New Roman"/>
          <w:b/>
          <w:bCs/>
          <w:kern w:val="0"/>
          <w:sz w:val="20"/>
          <w:szCs w:val="20"/>
        </w:rPr>
        <w:t>t</w:t>
      </w:r>
      <w:r w:rsidRPr="007013D8">
        <w:rPr>
          <w:rFonts w:ascii="Times New Roman" w:eastAsia="宋体" w:hAnsi="Times New Roman" w:cs="Times New Roman" w:hint="eastAsia"/>
          <w:b/>
          <w:bCs/>
          <w:kern w:val="0"/>
          <w:sz w:val="20"/>
          <w:szCs w:val="20"/>
        </w:rPr>
        <w:t xml:space="preserve">iming </w:t>
      </w:r>
      <w:r>
        <w:rPr>
          <w:rFonts w:ascii="Times New Roman" w:eastAsia="宋体" w:hAnsi="Times New Roman" w:cs="Times New Roman"/>
          <w:b/>
          <w:bCs/>
          <w:kern w:val="0"/>
          <w:sz w:val="20"/>
          <w:szCs w:val="20"/>
        </w:rPr>
        <w:t>between</w:t>
      </w:r>
      <w:r w:rsidRPr="007013D8">
        <w:rPr>
          <w:rFonts w:ascii="Times New Roman" w:eastAsia="宋体" w:hAnsi="Times New Roman" w:cs="Times New Roman" w:hint="eastAsia"/>
          <w:b/>
          <w:bCs/>
          <w:kern w:val="0"/>
          <w:sz w:val="20"/>
          <w:szCs w:val="20"/>
        </w:rPr>
        <w:t xml:space="preserve"> </w:t>
      </w:r>
      <w:r>
        <w:rPr>
          <w:rFonts w:ascii="Times New Roman" w:eastAsia="宋体" w:hAnsi="Times New Roman" w:cs="Times New Roman"/>
          <w:b/>
          <w:bCs/>
          <w:kern w:val="0"/>
          <w:sz w:val="20"/>
          <w:szCs w:val="20"/>
        </w:rPr>
        <w:t>DL and S</w:t>
      </w:r>
      <w:r>
        <w:rPr>
          <w:rFonts w:ascii="Times New Roman" w:eastAsia="宋体" w:hAnsi="Times New Roman" w:cs="Times New Roman" w:hint="eastAsia"/>
          <w:b/>
          <w:bCs/>
          <w:kern w:val="0"/>
          <w:sz w:val="20"/>
          <w:szCs w:val="20"/>
        </w:rPr>
        <w:t xml:space="preserve">RS </w:t>
      </w:r>
      <w:r>
        <w:rPr>
          <w:rFonts w:ascii="Times New Roman" w:eastAsia="宋体" w:hAnsi="Times New Roman" w:cs="Times New Roman"/>
          <w:b/>
          <w:bCs/>
          <w:kern w:val="0"/>
          <w:sz w:val="20"/>
          <w:szCs w:val="20"/>
        </w:rPr>
        <w:t>reception</w:t>
      </w:r>
    </w:p>
    <w:p w14:paraId="0F3B078E" w14:textId="1FFACB10" w:rsidR="00317E2C" w:rsidRPr="00317E2C" w:rsidRDefault="00317E2C" w:rsidP="00317E2C">
      <w:pPr>
        <w:spacing w:beforeLines="50" w:before="156"/>
        <w:rPr>
          <w:rFonts w:ascii="Times New Roman" w:hAnsi="Times New Roman" w:cs="Times New Roman"/>
          <w:sz w:val="22"/>
        </w:rPr>
      </w:pPr>
      <w:r w:rsidRPr="00545678">
        <w:rPr>
          <w:rFonts w:ascii="Times New Roman" w:hAnsi="Times New Roman" w:hint="eastAsia"/>
          <w:b/>
          <w:i/>
          <w:sz w:val="22"/>
        </w:rPr>
        <w:t>O</w:t>
      </w:r>
      <w:r>
        <w:rPr>
          <w:rFonts w:ascii="Times New Roman" w:hAnsi="Times New Roman"/>
          <w:b/>
          <w:i/>
          <w:sz w:val="22"/>
        </w:rPr>
        <w:t>bservation 1</w:t>
      </w:r>
      <w:r w:rsidRPr="00545678">
        <w:rPr>
          <w:rFonts w:ascii="Times New Roman" w:hAnsi="Times New Roman"/>
          <w:b/>
          <w:i/>
          <w:sz w:val="22"/>
        </w:rPr>
        <w:t xml:space="preserve">: The UE-to-UE CLI measurement cannot be performed accurately because of the timing issue of </w:t>
      </w:r>
      <w:r w:rsidRPr="00545678">
        <w:rPr>
          <w:rFonts w:ascii="Times New Roman" w:hAnsi="Times New Roman" w:hint="eastAsia"/>
          <w:b/>
          <w:i/>
          <w:sz w:val="22"/>
        </w:rPr>
        <w:t>measurement RS</w:t>
      </w:r>
      <w:r w:rsidRPr="00545678">
        <w:rPr>
          <w:rFonts w:ascii="Times New Roman" w:hAnsi="Times New Roman"/>
          <w:b/>
          <w:i/>
          <w:sz w:val="22"/>
        </w:rPr>
        <w:t>.</w:t>
      </w:r>
    </w:p>
    <w:p w14:paraId="2094D908" w14:textId="2A813379" w:rsidR="008839C7" w:rsidRPr="00545678" w:rsidRDefault="008839C7" w:rsidP="00545678">
      <w:pPr>
        <w:spacing w:beforeLines="50" w:before="156"/>
        <w:rPr>
          <w:rFonts w:ascii="Times New Roman" w:hAnsi="Times New Roman"/>
          <w:b/>
          <w:i/>
          <w:sz w:val="22"/>
        </w:rPr>
      </w:pPr>
      <w:r w:rsidRPr="00545678">
        <w:rPr>
          <w:rFonts w:ascii="Times New Roman" w:hAnsi="Times New Roman"/>
          <w:b/>
          <w:i/>
          <w:sz w:val="22"/>
        </w:rPr>
        <w:t xml:space="preserve">Proposal </w:t>
      </w:r>
      <w:r w:rsidR="004C75B6">
        <w:rPr>
          <w:rFonts w:ascii="Times New Roman" w:hAnsi="Times New Roman" w:hint="eastAsia"/>
          <w:b/>
          <w:i/>
          <w:sz w:val="22"/>
        </w:rPr>
        <w:t>5</w:t>
      </w:r>
      <w:r>
        <w:rPr>
          <w:rFonts w:ascii="Times New Roman" w:hAnsi="Times New Roman"/>
          <w:b/>
          <w:i/>
          <w:sz w:val="22"/>
        </w:rPr>
        <w:t>:</w:t>
      </w:r>
      <w:r w:rsidR="004C75B6">
        <w:rPr>
          <w:rFonts w:ascii="Times New Roman" w:hAnsi="Times New Roman"/>
          <w:b/>
          <w:i/>
          <w:sz w:val="22"/>
        </w:rPr>
        <w:t xml:space="preserve"> </w:t>
      </w:r>
      <w:r w:rsidR="004C75B6">
        <w:rPr>
          <w:rFonts w:ascii="Times New Roman" w:hAnsi="Times New Roman" w:hint="eastAsia"/>
          <w:b/>
          <w:i/>
          <w:sz w:val="22"/>
        </w:rPr>
        <w:t>B</w:t>
      </w:r>
      <w:r w:rsidRPr="001365C0">
        <w:rPr>
          <w:rFonts w:ascii="Times New Roman" w:hAnsi="Times New Roman"/>
          <w:b/>
          <w:i/>
          <w:sz w:val="22"/>
        </w:rPr>
        <w:t>eam specific CLI resource could be considered for handling UE-UE CLI.</w:t>
      </w:r>
    </w:p>
    <w:p w14:paraId="2233FA95" w14:textId="59C91F60" w:rsidR="0049129D" w:rsidRDefault="0049129D" w:rsidP="0049129D">
      <w:pPr>
        <w:spacing w:after="180"/>
        <w:rPr>
          <w:rFonts w:ascii="Times New Roman" w:hAnsi="Times New Roman" w:cs="Times New Roman"/>
          <w:kern w:val="0"/>
          <w:sz w:val="22"/>
          <w:lang w:val="en-GB"/>
        </w:rPr>
      </w:pPr>
    </w:p>
    <w:p w14:paraId="41899F0C" w14:textId="77777777" w:rsidR="0049129D" w:rsidRPr="0049129D" w:rsidRDefault="0049129D" w:rsidP="00BF35B4">
      <w:pPr>
        <w:rPr>
          <w:rFonts w:ascii="Times New Roman" w:hAnsi="Times New Roman" w:cs="Times New Roman"/>
          <w:sz w:val="22"/>
        </w:rPr>
      </w:pPr>
    </w:p>
    <w:p w14:paraId="7053395D" w14:textId="77777777" w:rsidR="00CC2ACF" w:rsidRPr="000B6397" w:rsidRDefault="00CC2ACF" w:rsidP="00CC2ACF">
      <w:pPr>
        <w:pStyle w:val="1"/>
        <w:tabs>
          <w:tab w:val="num" w:pos="432"/>
        </w:tabs>
      </w:pPr>
      <w:r w:rsidRPr="000B6397">
        <w:t>Conclusion</w:t>
      </w:r>
    </w:p>
    <w:p w14:paraId="3978F027" w14:textId="7A2010E4" w:rsidR="00C02EF1"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7C627B">
        <w:rPr>
          <w:rFonts w:ascii="Times New Roman" w:hAnsi="Times New Roman" w:cs="Times New Roman"/>
          <w:sz w:val="22"/>
        </w:rPr>
        <w:t xml:space="preserve">the CLI in scenarios </w:t>
      </w:r>
      <w:r w:rsidR="00FE6639" w:rsidRPr="00DB543E">
        <w:rPr>
          <w:rFonts w:ascii="Times New Roman" w:hAnsi="Times New Roman" w:cs="Times New Roman"/>
          <w:sz w:val="22"/>
        </w:rPr>
        <w:t>for dynamic/flexible TDD enhancement in macro</w:t>
      </w:r>
      <w:r w:rsidR="001F698E">
        <w:rPr>
          <w:rFonts w:ascii="Times New Roman" w:hAnsi="Times New Roman" w:cs="Times New Roman"/>
          <w:sz w:val="22"/>
        </w:rPr>
        <w:t xml:space="preserve"> &amp;</w:t>
      </w:r>
      <w:r w:rsidR="00FE6639" w:rsidRPr="00DB543E">
        <w:rPr>
          <w:rFonts w:ascii="Times New Roman" w:hAnsi="Times New Roman" w:cs="Times New Roman"/>
          <w:sz w:val="22"/>
        </w:rPr>
        <w:t xml:space="preserve"> indoor scenarios </w:t>
      </w:r>
      <w:r w:rsidR="00C02EF1" w:rsidRPr="00DB543E">
        <w:rPr>
          <w:rFonts w:ascii="Times New Roman" w:hAnsi="Times New Roman" w:cs="Times New Roman"/>
          <w:sz w:val="22"/>
        </w:rPr>
        <w:t xml:space="preserve">and </w:t>
      </w:r>
      <w:r w:rsidR="00174041" w:rsidRPr="00DB543E">
        <w:rPr>
          <w:rFonts w:ascii="Times New Roman" w:hAnsi="Times New Roman" w:cs="Times New Roman"/>
          <w:sz w:val="22"/>
        </w:rPr>
        <w:t xml:space="preserve">possible </w:t>
      </w:r>
      <w:r w:rsidR="00C02EF1" w:rsidRPr="00DB543E">
        <w:rPr>
          <w:rFonts w:ascii="Times New Roman" w:hAnsi="Times New Roman" w:cs="Times New Roman"/>
          <w:sz w:val="22"/>
        </w:rPr>
        <w:t xml:space="preserve">CLI </w:t>
      </w:r>
      <w:r w:rsidR="00985F1A" w:rsidRPr="00DB543E">
        <w:rPr>
          <w:rFonts w:ascii="Times New Roman" w:hAnsi="Times New Roman" w:cs="Times New Roman"/>
          <w:sz w:val="22"/>
        </w:rPr>
        <w:t>handling</w:t>
      </w:r>
      <w:r w:rsidR="00C02EF1" w:rsidRPr="00DB543E">
        <w:rPr>
          <w:rFonts w:ascii="Times New Roman" w:hAnsi="Times New Roman" w:cs="Times New Roman"/>
          <w:sz w:val="22"/>
        </w:rPr>
        <w:t xml:space="preserve"> solutions</w:t>
      </w:r>
      <w:r w:rsidR="00FE6639">
        <w:rPr>
          <w:rFonts w:ascii="Times New Roman" w:hAnsi="Times New Roman" w:cs="Times New Roman"/>
          <w:sz w:val="22"/>
        </w:rPr>
        <w:t>. The observation</w:t>
      </w:r>
      <w:r w:rsidR="0055550E">
        <w:rPr>
          <w:rFonts w:ascii="Times New Roman" w:hAnsi="Times New Roman" w:cs="Times New Roman"/>
          <w:sz w:val="22"/>
        </w:rPr>
        <w:t>s</w:t>
      </w:r>
      <w:r w:rsidR="00C02EF1" w:rsidRPr="00DB543E">
        <w:rPr>
          <w:rFonts w:ascii="Times New Roman" w:hAnsi="Times New Roman" w:cs="Times New Roman"/>
          <w:sz w:val="22"/>
        </w:rPr>
        <w:t xml:space="preserve"> and proposals are given below:</w:t>
      </w:r>
    </w:p>
    <w:p w14:paraId="424E4A00" w14:textId="77777777" w:rsidR="00B05854" w:rsidRPr="00545678" w:rsidRDefault="00B05854" w:rsidP="00B05854">
      <w:pPr>
        <w:spacing w:beforeLines="50" w:before="156"/>
        <w:rPr>
          <w:rFonts w:ascii="Times New Roman" w:hAnsi="Times New Roman"/>
          <w:b/>
          <w:i/>
          <w:sz w:val="22"/>
        </w:rPr>
      </w:pPr>
      <w:r w:rsidRPr="00545678">
        <w:rPr>
          <w:rFonts w:ascii="Times New Roman" w:hAnsi="Times New Roman" w:hint="eastAsia"/>
          <w:b/>
          <w:i/>
          <w:sz w:val="22"/>
        </w:rPr>
        <w:t>O</w:t>
      </w:r>
      <w:r>
        <w:rPr>
          <w:rFonts w:ascii="Times New Roman" w:hAnsi="Times New Roman"/>
          <w:b/>
          <w:i/>
          <w:sz w:val="22"/>
        </w:rPr>
        <w:t>bservation 1</w:t>
      </w:r>
      <w:r w:rsidRPr="00545678">
        <w:rPr>
          <w:rFonts w:ascii="Times New Roman" w:hAnsi="Times New Roman"/>
          <w:b/>
          <w:i/>
          <w:sz w:val="22"/>
        </w:rPr>
        <w:t xml:space="preserve">: The UE-to-UE CLI measurement cannot be performed accurately because of the timing issue of </w:t>
      </w:r>
      <w:r w:rsidRPr="00545678">
        <w:rPr>
          <w:rFonts w:ascii="Times New Roman" w:hAnsi="Times New Roman" w:hint="eastAsia"/>
          <w:b/>
          <w:i/>
          <w:sz w:val="22"/>
        </w:rPr>
        <w:t>measurement RS</w:t>
      </w:r>
      <w:r w:rsidRPr="00545678">
        <w:rPr>
          <w:rFonts w:ascii="Times New Roman" w:hAnsi="Times New Roman"/>
          <w:b/>
          <w:i/>
          <w:sz w:val="22"/>
        </w:rPr>
        <w:t>.</w:t>
      </w:r>
    </w:p>
    <w:p w14:paraId="4B316C12" w14:textId="77777777" w:rsidR="00F97B79" w:rsidRDefault="00F97B79" w:rsidP="00F97B79">
      <w:pPr>
        <w:spacing w:beforeLines="50" w:before="156"/>
      </w:pPr>
      <w:r w:rsidRPr="00275493">
        <w:rPr>
          <w:rFonts w:ascii="Times New Roman" w:hAnsi="Times New Roman" w:hint="eastAsia"/>
          <w:b/>
          <w:i/>
          <w:sz w:val="22"/>
        </w:rPr>
        <w:t>Proposal</w:t>
      </w:r>
      <w:r>
        <w:rPr>
          <w:rFonts w:ascii="Times New Roman" w:hAnsi="Times New Roman"/>
          <w:b/>
          <w:i/>
          <w:sz w:val="22"/>
        </w:rPr>
        <w:t xml:space="preserve"> 1</w:t>
      </w:r>
      <w:r w:rsidRPr="00275493">
        <w:rPr>
          <w:rFonts w:ascii="Times New Roman" w:hAnsi="Times New Roman" w:hint="eastAsia"/>
          <w:b/>
          <w:i/>
          <w:sz w:val="22"/>
        </w:rPr>
        <w:t>：</w:t>
      </w:r>
      <w:r>
        <w:rPr>
          <w:rFonts w:ascii="Times New Roman" w:hAnsi="Times New Roman"/>
          <w:b/>
          <w:i/>
          <w:sz w:val="22"/>
        </w:rPr>
        <w:t>Both</w:t>
      </w:r>
      <w:r w:rsidRPr="001365C0">
        <w:rPr>
          <w:rFonts w:ascii="Times New Roman" w:hAnsi="Times New Roman"/>
          <w:b/>
          <w:i/>
          <w:sz w:val="22"/>
        </w:rPr>
        <w:t xml:space="preserve"> CD-SSB and NCD-SSB can be used for inter-gNB CLI measurement</w:t>
      </w:r>
      <w:r w:rsidRPr="00275493">
        <w:rPr>
          <w:rFonts w:ascii="Times New Roman" w:hAnsi="Times New Roman"/>
          <w:b/>
          <w:i/>
          <w:sz w:val="22"/>
        </w:rPr>
        <w:t>.</w:t>
      </w:r>
      <w:r w:rsidRPr="001365C0">
        <w:rPr>
          <w:rFonts w:ascii="Times New Roman" w:hAnsi="Times New Roman"/>
          <w:b/>
          <w:i/>
          <w:sz w:val="22"/>
        </w:rPr>
        <w:t xml:space="preserve"> </w:t>
      </w:r>
    </w:p>
    <w:p w14:paraId="3A5482F4" w14:textId="77777777" w:rsidR="00F97B79" w:rsidRDefault="00F97B79" w:rsidP="00F97B79">
      <w:pPr>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2</w:t>
      </w:r>
      <w:r w:rsidRPr="00275493">
        <w:rPr>
          <w:rFonts w:ascii="Times New Roman" w:hAnsi="Times New Roman" w:hint="eastAsia"/>
          <w:b/>
          <w:i/>
          <w:sz w:val="22"/>
        </w:rPr>
        <w:t>：</w:t>
      </w:r>
      <w:r>
        <w:rPr>
          <w:rFonts w:ascii="Times New Roman" w:hAnsi="Times New Roman"/>
          <w:b/>
          <w:i/>
          <w:sz w:val="22"/>
        </w:rPr>
        <w:t>A</w:t>
      </w:r>
      <w:r w:rsidRPr="001365C0">
        <w:rPr>
          <w:rFonts w:ascii="Times New Roman" w:hAnsi="Times New Roman"/>
          <w:b/>
          <w:i/>
          <w:sz w:val="22"/>
        </w:rPr>
        <w:t xml:space="preserve">periodic or on-demand gNB CLI </w:t>
      </w:r>
      <w:r>
        <w:rPr>
          <w:rFonts w:ascii="Times New Roman" w:hAnsi="Times New Roman"/>
          <w:b/>
          <w:i/>
          <w:sz w:val="22"/>
        </w:rPr>
        <w:t xml:space="preserve">measurement/report </w:t>
      </w:r>
      <w:r w:rsidRPr="001365C0">
        <w:rPr>
          <w:rFonts w:ascii="Times New Roman" w:hAnsi="Times New Roman"/>
          <w:b/>
          <w:i/>
          <w:sz w:val="22"/>
        </w:rPr>
        <w:t>could be further investigated for inter-gNB CLI handling.</w:t>
      </w:r>
    </w:p>
    <w:p w14:paraId="7F429E70" w14:textId="77777777" w:rsidR="00F97B79" w:rsidRDefault="00F97B79" w:rsidP="00F97B79">
      <w:pPr>
        <w:rPr>
          <w:rFonts w:ascii="Times New Roman" w:hAnsi="Times New Roman" w:cs="Times New Roman"/>
          <w:sz w:val="22"/>
        </w:rPr>
      </w:pPr>
      <w:r w:rsidRPr="00275493">
        <w:rPr>
          <w:rFonts w:ascii="Times New Roman" w:hAnsi="Times New Roman" w:hint="eastAsia"/>
          <w:b/>
          <w:i/>
          <w:sz w:val="22"/>
        </w:rPr>
        <w:t>Proposal</w:t>
      </w:r>
      <w:r>
        <w:rPr>
          <w:rFonts w:ascii="Times New Roman" w:hAnsi="Times New Roman"/>
          <w:b/>
          <w:i/>
          <w:sz w:val="22"/>
        </w:rPr>
        <w:t xml:space="preserve"> 3</w:t>
      </w:r>
      <w:r w:rsidRPr="00275493">
        <w:rPr>
          <w:rFonts w:ascii="Times New Roman" w:hAnsi="Times New Roman" w:hint="eastAsia"/>
          <w:b/>
          <w:i/>
          <w:sz w:val="22"/>
        </w:rPr>
        <w:t>：</w:t>
      </w:r>
      <w:r w:rsidRPr="00275493">
        <w:rPr>
          <w:rFonts w:ascii="Times New Roman" w:hAnsi="Times New Roman" w:hint="eastAsia"/>
          <w:b/>
          <w:i/>
          <w:sz w:val="22"/>
        </w:rPr>
        <w:t>Support</w:t>
      </w:r>
      <w:r w:rsidRPr="00275493">
        <w:rPr>
          <w:rFonts w:ascii="Times New Roman" w:hAnsi="Times New Roman"/>
          <w:b/>
          <w:i/>
          <w:sz w:val="22"/>
        </w:rPr>
        <w:t xml:space="preserve"> to use pseudo-sequence based muting scheme for</w:t>
      </w:r>
      <w:r>
        <w:rPr>
          <w:rFonts w:ascii="Times New Roman" w:hAnsi="Times New Roman"/>
          <w:b/>
          <w:i/>
          <w:sz w:val="22"/>
        </w:rPr>
        <w:t xml:space="preserve"> inter-gNB CLI handling</w:t>
      </w:r>
      <w:r w:rsidRPr="00275493">
        <w:rPr>
          <w:rFonts w:ascii="Times New Roman" w:hAnsi="Times New Roman"/>
          <w:b/>
          <w:i/>
          <w:sz w:val="22"/>
        </w:rPr>
        <w:t>.</w:t>
      </w:r>
    </w:p>
    <w:p w14:paraId="5EC11A43" w14:textId="77777777" w:rsidR="00F97B79" w:rsidRPr="00545678" w:rsidRDefault="00F97B79" w:rsidP="00F97B79">
      <w:pPr>
        <w:spacing w:beforeLines="50" w:before="156"/>
        <w:rPr>
          <w:rFonts w:ascii="Times New Roman" w:hAnsi="Times New Roman"/>
          <w:b/>
          <w:i/>
          <w:sz w:val="22"/>
        </w:rPr>
      </w:pPr>
      <w:r>
        <w:rPr>
          <w:rFonts w:ascii="Times New Roman" w:hAnsi="Times New Roman"/>
          <w:b/>
          <w:i/>
          <w:sz w:val="22"/>
        </w:rPr>
        <w:t>Proposal 4</w:t>
      </w:r>
      <w:r w:rsidRPr="00545678">
        <w:rPr>
          <w:rFonts w:ascii="Times New Roman" w:hAnsi="Times New Roman"/>
          <w:b/>
          <w:i/>
          <w:sz w:val="22"/>
        </w:rPr>
        <w:t>:</w:t>
      </w:r>
      <w:r>
        <w:rPr>
          <w:rFonts w:ascii="Times New Roman" w:hAnsi="Times New Roman"/>
          <w:b/>
          <w:i/>
          <w:sz w:val="22"/>
        </w:rPr>
        <w:t xml:space="preserve"> Information concerning </w:t>
      </w:r>
      <w:r w:rsidRPr="002E1939">
        <w:rPr>
          <w:rFonts w:ascii="Times New Roman" w:hAnsi="Times New Roman"/>
          <w:b/>
          <w:i/>
          <w:sz w:val="22"/>
        </w:rPr>
        <w:t>preferred/non-preferred beams can be shared among gNBs</w:t>
      </w:r>
      <w:r w:rsidRPr="00545678">
        <w:rPr>
          <w:rFonts w:ascii="Times New Roman" w:hAnsi="Times New Roman"/>
          <w:b/>
          <w:i/>
          <w:sz w:val="22"/>
        </w:rPr>
        <w:t>.</w:t>
      </w:r>
    </w:p>
    <w:p w14:paraId="3E453C75" w14:textId="1167ECAC" w:rsidR="00F97B79" w:rsidRPr="00545678" w:rsidRDefault="00F97B79" w:rsidP="00F97B79">
      <w:pPr>
        <w:spacing w:beforeLines="50" w:before="156"/>
        <w:rPr>
          <w:rFonts w:ascii="Times New Roman" w:hAnsi="Times New Roman"/>
          <w:b/>
          <w:i/>
          <w:sz w:val="22"/>
        </w:rPr>
      </w:pPr>
      <w:r w:rsidRPr="00545678">
        <w:rPr>
          <w:rFonts w:ascii="Times New Roman" w:hAnsi="Times New Roman"/>
          <w:b/>
          <w:i/>
          <w:sz w:val="22"/>
        </w:rPr>
        <w:t xml:space="preserve">Proposal </w:t>
      </w:r>
      <w:r w:rsidR="004C75B6">
        <w:rPr>
          <w:rFonts w:ascii="Times New Roman" w:hAnsi="Times New Roman"/>
          <w:b/>
          <w:i/>
          <w:sz w:val="22"/>
        </w:rPr>
        <w:t>5</w:t>
      </w:r>
      <w:r>
        <w:rPr>
          <w:rFonts w:ascii="Times New Roman" w:hAnsi="Times New Roman"/>
          <w:b/>
          <w:i/>
          <w:sz w:val="22"/>
        </w:rPr>
        <w:t>:</w:t>
      </w:r>
      <w:r w:rsidRPr="001365C0">
        <w:rPr>
          <w:rFonts w:ascii="Times New Roman" w:hAnsi="Times New Roman"/>
          <w:b/>
          <w:i/>
          <w:sz w:val="22"/>
        </w:rPr>
        <w:t xml:space="preserve"> </w:t>
      </w:r>
      <w:r w:rsidR="007A5E74">
        <w:rPr>
          <w:rFonts w:ascii="Times New Roman" w:hAnsi="Times New Roman"/>
          <w:b/>
          <w:i/>
          <w:sz w:val="22"/>
        </w:rPr>
        <w:t>B</w:t>
      </w:r>
      <w:r w:rsidRPr="001365C0">
        <w:rPr>
          <w:rFonts w:ascii="Times New Roman" w:hAnsi="Times New Roman"/>
          <w:b/>
          <w:i/>
          <w:sz w:val="22"/>
        </w:rPr>
        <w:t>eam specific CLI resource could be considered for handling UE-UE CLI.</w:t>
      </w:r>
    </w:p>
    <w:p w14:paraId="3B34EB85" w14:textId="77777777" w:rsidR="00BC7984" w:rsidRPr="00F97B79" w:rsidRDefault="00BC7984" w:rsidP="004A48CF">
      <w:pPr>
        <w:spacing w:beforeLines="50" w:before="156"/>
        <w:rPr>
          <w:rFonts w:ascii="Times New Roman" w:hAnsi="Times New Roman" w:cs="Times New Roman"/>
          <w:sz w:val="22"/>
        </w:rPr>
      </w:pPr>
    </w:p>
    <w:p w14:paraId="75E13FD9" w14:textId="77777777" w:rsidR="00CC2ACF" w:rsidRDefault="00CC2ACF" w:rsidP="00CC2ACF">
      <w:pPr>
        <w:pStyle w:val="1"/>
        <w:numPr>
          <w:ilvl w:val="0"/>
          <w:numId w:val="0"/>
        </w:numPr>
      </w:pPr>
      <w:r w:rsidRPr="000B6397">
        <w:t>References</w:t>
      </w:r>
    </w:p>
    <w:p w14:paraId="59DB8E4C" w14:textId="77777777" w:rsidR="00B32FC9" w:rsidRDefault="00B32FC9" w:rsidP="00B32FC9">
      <w:pPr>
        <w:pStyle w:val="a3"/>
        <w:numPr>
          <w:ilvl w:val="0"/>
          <w:numId w:val="10"/>
        </w:numPr>
        <w:ind w:firstLineChars="0"/>
        <w:rPr>
          <w:rFonts w:ascii="Times New Roman" w:hAnsi="Times New Roman" w:cs="Times New Roman"/>
          <w:sz w:val="22"/>
        </w:rPr>
      </w:pPr>
      <w:r w:rsidRPr="00367C53">
        <w:rPr>
          <w:rFonts w:ascii="Times New Roman" w:hAnsi="Times New Roman" w:cs="Times New Roman"/>
          <w:sz w:val="22"/>
        </w:rPr>
        <w:t>TR 38.802-e30, Study on New Radio Access Technology Physical Layer Aspects</w:t>
      </w:r>
    </w:p>
    <w:p w14:paraId="5D5B5AD8" w14:textId="2FA2A870" w:rsidR="0025211E" w:rsidRPr="00660F4E" w:rsidRDefault="00965CB6" w:rsidP="00CC2ACF">
      <w:pPr>
        <w:pStyle w:val="a3"/>
        <w:numPr>
          <w:ilvl w:val="0"/>
          <w:numId w:val="10"/>
        </w:numPr>
        <w:ind w:firstLineChars="0"/>
        <w:rPr>
          <w:rFonts w:ascii="Times New Roman" w:hAnsi="Times New Roman" w:cs="Times New Roman"/>
          <w:sz w:val="22"/>
        </w:rPr>
      </w:pPr>
      <w:r w:rsidRPr="00660F4E">
        <w:rPr>
          <w:rFonts w:ascii="Times New Roman" w:hAnsi="Times New Roman" w:cs="Times New Roman"/>
          <w:sz w:val="22"/>
        </w:rPr>
        <w:t xml:space="preserve">RP-213591, Study on Evolution of NR Duplex Operation, CMCC, RAN#94-e, </w:t>
      </w:r>
      <w:r w:rsidR="00AB4B7C" w:rsidRPr="00660F4E">
        <w:rPr>
          <w:rFonts w:ascii="Times New Roman" w:hAnsi="Times New Roman" w:cs="Times New Roman"/>
          <w:sz w:val="22"/>
        </w:rPr>
        <w:t xml:space="preserve">December </w:t>
      </w:r>
      <w:r w:rsidRPr="00660F4E">
        <w:rPr>
          <w:rFonts w:ascii="Times New Roman" w:hAnsi="Times New Roman" w:cs="Times New Roman"/>
          <w:sz w:val="22"/>
        </w:rPr>
        <w:t>6-17, 2021</w:t>
      </w:r>
    </w:p>
    <w:sectPr w:rsidR="0025211E" w:rsidRPr="00660F4E"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74ED5" w14:textId="77777777" w:rsidR="009D2684" w:rsidRDefault="009D2684" w:rsidP="00681E80">
      <w:r>
        <w:separator/>
      </w:r>
    </w:p>
  </w:endnote>
  <w:endnote w:type="continuationSeparator" w:id="0">
    <w:p w14:paraId="3D6C35C1" w14:textId="77777777" w:rsidR="009D2684" w:rsidRDefault="009D2684"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CBD65" w14:textId="77777777" w:rsidR="009D2684" w:rsidRDefault="009D2684" w:rsidP="00681E80">
      <w:r>
        <w:separator/>
      </w:r>
    </w:p>
  </w:footnote>
  <w:footnote w:type="continuationSeparator" w:id="0">
    <w:p w14:paraId="05A3D66E" w14:textId="77777777" w:rsidR="009D2684" w:rsidRDefault="009D2684"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14101FC"/>
    <w:multiLevelType w:val="hybridMultilevel"/>
    <w:tmpl w:val="8422A694"/>
    <w:lvl w:ilvl="0" w:tplc="9CF6244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6B2F14"/>
    <w:multiLevelType w:val="hybridMultilevel"/>
    <w:tmpl w:val="B95EF260"/>
    <w:lvl w:ilvl="0" w:tplc="0E20658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94A01EA"/>
    <w:multiLevelType w:val="hybridMultilevel"/>
    <w:tmpl w:val="3B08FDCE"/>
    <w:lvl w:ilvl="0" w:tplc="E3B6836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E11484"/>
    <w:multiLevelType w:val="hybridMultilevel"/>
    <w:tmpl w:val="20A26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EB35C86"/>
    <w:multiLevelType w:val="hybridMultilevel"/>
    <w:tmpl w:val="AD366E7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B127E9"/>
    <w:multiLevelType w:val="hybridMultilevel"/>
    <w:tmpl w:val="A752A28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18"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13"/>
  </w:num>
  <w:num w:numId="4">
    <w:abstractNumId w:val="13"/>
  </w:num>
  <w:num w:numId="5">
    <w:abstractNumId w:val="13"/>
  </w:num>
  <w:num w:numId="6">
    <w:abstractNumId w:val="13"/>
  </w:num>
  <w:num w:numId="7">
    <w:abstractNumId w:val="13"/>
  </w:num>
  <w:num w:numId="8">
    <w:abstractNumId w:val="13"/>
  </w:num>
  <w:num w:numId="9">
    <w:abstractNumId w:val="18"/>
  </w:num>
  <w:num w:numId="10">
    <w:abstractNumId w:val="2"/>
  </w:num>
  <w:num w:numId="11">
    <w:abstractNumId w:val="4"/>
  </w:num>
  <w:num w:numId="12">
    <w:abstractNumId w:val="3"/>
  </w:num>
  <w:num w:numId="13">
    <w:abstractNumId w:val="7"/>
  </w:num>
  <w:num w:numId="14">
    <w:abstractNumId w:val="15"/>
  </w:num>
  <w:num w:numId="15">
    <w:abstractNumId w:val="8"/>
  </w:num>
  <w:num w:numId="16">
    <w:abstractNumId w:val="5"/>
  </w:num>
  <w:num w:numId="17">
    <w:abstractNumId w:val="13"/>
  </w:num>
  <w:num w:numId="18">
    <w:abstractNumId w:val="13"/>
  </w:num>
  <w:num w:numId="19">
    <w:abstractNumId w:val="11"/>
  </w:num>
  <w:num w:numId="20">
    <w:abstractNumId w:val="12"/>
  </w:num>
  <w:num w:numId="21">
    <w:abstractNumId w:val="1"/>
  </w:num>
  <w:num w:numId="22">
    <w:abstractNumId w:val="13"/>
  </w:num>
  <w:num w:numId="23">
    <w:abstractNumId w:val="16"/>
  </w:num>
  <w:num w:numId="24">
    <w:abstractNumId w:val="17"/>
  </w:num>
  <w:num w:numId="25">
    <w:abstractNumId w:val="10"/>
  </w:num>
  <w:num w:numId="26">
    <w:abstractNumId w:val="14"/>
  </w:num>
  <w:num w:numId="27">
    <w:abstractNumId w:val="0"/>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1556F"/>
    <w:rsid w:val="00037006"/>
    <w:rsid w:val="00042C85"/>
    <w:rsid w:val="00043157"/>
    <w:rsid w:val="000433E2"/>
    <w:rsid w:val="00045ACF"/>
    <w:rsid w:val="00055B2E"/>
    <w:rsid w:val="0006312E"/>
    <w:rsid w:val="00063442"/>
    <w:rsid w:val="00074913"/>
    <w:rsid w:val="000776B8"/>
    <w:rsid w:val="000842A3"/>
    <w:rsid w:val="00085867"/>
    <w:rsid w:val="00085F35"/>
    <w:rsid w:val="00086AE5"/>
    <w:rsid w:val="000971FC"/>
    <w:rsid w:val="000A281D"/>
    <w:rsid w:val="000A29BB"/>
    <w:rsid w:val="000A2B60"/>
    <w:rsid w:val="000A37C1"/>
    <w:rsid w:val="000A631A"/>
    <w:rsid w:val="000B00F2"/>
    <w:rsid w:val="000B09E2"/>
    <w:rsid w:val="000B20B5"/>
    <w:rsid w:val="000C1380"/>
    <w:rsid w:val="000C789B"/>
    <w:rsid w:val="000D2845"/>
    <w:rsid w:val="000D42EB"/>
    <w:rsid w:val="000E1340"/>
    <w:rsid w:val="000E5FAC"/>
    <w:rsid w:val="000E6968"/>
    <w:rsid w:val="000F17AC"/>
    <w:rsid w:val="000F3062"/>
    <w:rsid w:val="000F57A3"/>
    <w:rsid w:val="00100719"/>
    <w:rsid w:val="001035E7"/>
    <w:rsid w:val="001073E6"/>
    <w:rsid w:val="001104A3"/>
    <w:rsid w:val="00112286"/>
    <w:rsid w:val="001123F2"/>
    <w:rsid w:val="00121AB9"/>
    <w:rsid w:val="00124E79"/>
    <w:rsid w:val="00127660"/>
    <w:rsid w:val="00127B61"/>
    <w:rsid w:val="00131F94"/>
    <w:rsid w:val="001365C0"/>
    <w:rsid w:val="00152777"/>
    <w:rsid w:val="00153865"/>
    <w:rsid w:val="00155541"/>
    <w:rsid w:val="00161DB0"/>
    <w:rsid w:val="00170477"/>
    <w:rsid w:val="001719CB"/>
    <w:rsid w:val="001725D2"/>
    <w:rsid w:val="001730AB"/>
    <w:rsid w:val="00173AEB"/>
    <w:rsid w:val="00174041"/>
    <w:rsid w:val="001778EA"/>
    <w:rsid w:val="00186A88"/>
    <w:rsid w:val="0019090F"/>
    <w:rsid w:val="00194442"/>
    <w:rsid w:val="001A4871"/>
    <w:rsid w:val="001B039E"/>
    <w:rsid w:val="001B3D86"/>
    <w:rsid w:val="001C2850"/>
    <w:rsid w:val="001C2B1A"/>
    <w:rsid w:val="001D1A0E"/>
    <w:rsid w:val="001F18FC"/>
    <w:rsid w:val="001F650D"/>
    <w:rsid w:val="001F698E"/>
    <w:rsid w:val="00202179"/>
    <w:rsid w:val="002035B8"/>
    <w:rsid w:val="00203E84"/>
    <w:rsid w:val="00210C6F"/>
    <w:rsid w:val="00212A57"/>
    <w:rsid w:val="00212FB8"/>
    <w:rsid w:val="0022016C"/>
    <w:rsid w:val="00221C54"/>
    <w:rsid w:val="00221E6C"/>
    <w:rsid w:val="00222E4A"/>
    <w:rsid w:val="00225441"/>
    <w:rsid w:val="0022766F"/>
    <w:rsid w:val="00227C0E"/>
    <w:rsid w:val="00241DED"/>
    <w:rsid w:val="0025211E"/>
    <w:rsid w:val="002521C6"/>
    <w:rsid w:val="00260DAF"/>
    <w:rsid w:val="00262802"/>
    <w:rsid w:val="00264773"/>
    <w:rsid w:val="00264797"/>
    <w:rsid w:val="002652B3"/>
    <w:rsid w:val="00267FC6"/>
    <w:rsid w:val="00270475"/>
    <w:rsid w:val="00270AF1"/>
    <w:rsid w:val="0027173C"/>
    <w:rsid w:val="00273483"/>
    <w:rsid w:val="00275493"/>
    <w:rsid w:val="002754D8"/>
    <w:rsid w:val="0028271F"/>
    <w:rsid w:val="00293349"/>
    <w:rsid w:val="00293AF1"/>
    <w:rsid w:val="00294657"/>
    <w:rsid w:val="002967B8"/>
    <w:rsid w:val="002A0674"/>
    <w:rsid w:val="002A5635"/>
    <w:rsid w:val="002B093D"/>
    <w:rsid w:val="002B352A"/>
    <w:rsid w:val="002B4310"/>
    <w:rsid w:val="002B6A70"/>
    <w:rsid w:val="002B6F30"/>
    <w:rsid w:val="002C0BDA"/>
    <w:rsid w:val="002C60BD"/>
    <w:rsid w:val="002C6DD4"/>
    <w:rsid w:val="002C7EDC"/>
    <w:rsid w:val="002D1082"/>
    <w:rsid w:val="002D4850"/>
    <w:rsid w:val="002D60D2"/>
    <w:rsid w:val="002E1939"/>
    <w:rsid w:val="002E5B9B"/>
    <w:rsid w:val="002E60C0"/>
    <w:rsid w:val="002F004B"/>
    <w:rsid w:val="002F5DCF"/>
    <w:rsid w:val="00303DA5"/>
    <w:rsid w:val="003166F7"/>
    <w:rsid w:val="00316CDB"/>
    <w:rsid w:val="00317E2C"/>
    <w:rsid w:val="003206B0"/>
    <w:rsid w:val="003215D2"/>
    <w:rsid w:val="0032555B"/>
    <w:rsid w:val="00325701"/>
    <w:rsid w:val="00332A82"/>
    <w:rsid w:val="003333D5"/>
    <w:rsid w:val="0033360E"/>
    <w:rsid w:val="003370B6"/>
    <w:rsid w:val="00340229"/>
    <w:rsid w:val="00341D98"/>
    <w:rsid w:val="00345674"/>
    <w:rsid w:val="00350379"/>
    <w:rsid w:val="003545D6"/>
    <w:rsid w:val="0035481A"/>
    <w:rsid w:val="0035737E"/>
    <w:rsid w:val="00366C4C"/>
    <w:rsid w:val="00367699"/>
    <w:rsid w:val="00367732"/>
    <w:rsid w:val="00367C53"/>
    <w:rsid w:val="00374512"/>
    <w:rsid w:val="00381AF0"/>
    <w:rsid w:val="003853BD"/>
    <w:rsid w:val="00390174"/>
    <w:rsid w:val="00392F04"/>
    <w:rsid w:val="003A0612"/>
    <w:rsid w:val="003A576B"/>
    <w:rsid w:val="003C14E2"/>
    <w:rsid w:val="003C22E1"/>
    <w:rsid w:val="003C3009"/>
    <w:rsid w:val="003C3E85"/>
    <w:rsid w:val="003D007C"/>
    <w:rsid w:val="003D71EB"/>
    <w:rsid w:val="003E574E"/>
    <w:rsid w:val="003F0EDC"/>
    <w:rsid w:val="003F7C11"/>
    <w:rsid w:val="00403AD2"/>
    <w:rsid w:val="0040441C"/>
    <w:rsid w:val="00406E21"/>
    <w:rsid w:val="004102DF"/>
    <w:rsid w:val="00413BA9"/>
    <w:rsid w:val="00417B0A"/>
    <w:rsid w:val="00430DAA"/>
    <w:rsid w:val="0043205C"/>
    <w:rsid w:val="004322B8"/>
    <w:rsid w:val="00432904"/>
    <w:rsid w:val="00433158"/>
    <w:rsid w:val="00433956"/>
    <w:rsid w:val="004358ED"/>
    <w:rsid w:val="00441A8F"/>
    <w:rsid w:val="004466FE"/>
    <w:rsid w:val="00457FB3"/>
    <w:rsid w:val="00460C72"/>
    <w:rsid w:val="00464E36"/>
    <w:rsid w:val="00465081"/>
    <w:rsid w:val="00467A98"/>
    <w:rsid w:val="004739E9"/>
    <w:rsid w:val="0047693A"/>
    <w:rsid w:val="00485890"/>
    <w:rsid w:val="004870C9"/>
    <w:rsid w:val="0049129D"/>
    <w:rsid w:val="0049306D"/>
    <w:rsid w:val="0049451B"/>
    <w:rsid w:val="004A48CF"/>
    <w:rsid w:val="004B090A"/>
    <w:rsid w:val="004B1AAC"/>
    <w:rsid w:val="004B43D7"/>
    <w:rsid w:val="004B6FE9"/>
    <w:rsid w:val="004C60F8"/>
    <w:rsid w:val="004C75B6"/>
    <w:rsid w:val="004C787D"/>
    <w:rsid w:val="004C7D70"/>
    <w:rsid w:val="004D47F1"/>
    <w:rsid w:val="004E12F4"/>
    <w:rsid w:val="004F3649"/>
    <w:rsid w:val="004F65B7"/>
    <w:rsid w:val="00504FDA"/>
    <w:rsid w:val="00514352"/>
    <w:rsid w:val="00517904"/>
    <w:rsid w:val="00517C97"/>
    <w:rsid w:val="005200D1"/>
    <w:rsid w:val="0052476F"/>
    <w:rsid w:val="00525FFC"/>
    <w:rsid w:val="00526715"/>
    <w:rsid w:val="00533AE2"/>
    <w:rsid w:val="00536A52"/>
    <w:rsid w:val="00545678"/>
    <w:rsid w:val="0054669D"/>
    <w:rsid w:val="00546760"/>
    <w:rsid w:val="00546BAC"/>
    <w:rsid w:val="00550749"/>
    <w:rsid w:val="0055550E"/>
    <w:rsid w:val="0056690F"/>
    <w:rsid w:val="005772E2"/>
    <w:rsid w:val="00585147"/>
    <w:rsid w:val="00591BE3"/>
    <w:rsid w:val="00597B6B"/>
    <w:rsid w:val="005A6527"/>
    <w:rsid w:val="005A756C"/>
    <w:rsid w:val="005B50C2"/>
    <w:rsid w:val="005C27EB"/>
    <w:rsid w:val="005C425E"/>
    <w:rsid w:val="005C55D7"/>
    <w:rsid w:val="005D49E2"/>
    <w:rsid w:val="005D6BBC"/>
    <w:rsid w:val="005E2991"/>
    <w:rsid w:val="005E77EE"/>
    <w:rsid w:val="005F3D91"/>
    <w:rsid w:val="005F5784"/>
    <w:rsid w:val="00603EF6"/>
    <w:rsid w:val="006126CF"/>
    <w:rsid w:val="00614624"/>
    <w:rsid w:val="00620844"/>
    <w:rsid w:val="00621B42"/>
    <w:rsid w:val="00624BF4"/>
    <w:rsid w:val="00625DD5"/>
    <w:rsid w:val="00632336"/>
    <w:rsid w:val="0063246D"/>
    <w:rsid w:val="006324B1"/>
    <w:rsid w:val="00634CBF"/>
    <w:rsid w:val="006516B8"/>
    <w:rsid w:val="00652689"/>
    <w:rsid w:val="00660109"/>
    <w:rsid w:val="00660F4E"/>
    <w:rsid w:val="00660F83"/>
    <w:rsid w:val="006624C2"/>
    <w:rsid w:val="006725E6"/>
    <w:rsid w:val="00675FE1"/>
    <w:rsid w:val="00681E80"/>
    <w:rsid w:val="0068542E"/>
    <w:rsid w:val="006863A3"/>
    <w:rsid w:val="00693A91"/>
    <w:rsid w:val="006A1C05"/>
    <w:rsid w:val="006A4D5F"/>
    <w:rsid w:val="006A6137"/>
    <w:rsid w:val="006B23E3"/>
    <w:rsid w:val="006B569F"/>
    <w:rsid w:val="006B7BA5"/>
    <w:rsid w:val="006C7F97"/>
    <w:rsid w:val="006D5F9D"/>
    <w:rsid w:val="006D614C"/>
    <w:rsid w:val="006E4022"/>
    <w:rsid w:val="006E7474"/>
    <w:rsid w:val="006F0F6B"/>
    <w:rsid w:val="006F51CB"/>
    <w:rsid w:val="00705828"/>
    <w:rsid w:val="007118AA"/>
    <w:rsid w:val="0071229D"/>
    <w:rsid w:val="00715E4B"/>
    <w:rsid w:val="0072188E"/>
    <w:rsid w:val="00727096"/>
    <w:rsid w:val="00727560"/>
    <w:rsid w:val="0073332B"/>
    <w:rsid w:val="00735AD5"/>
    <w:rsid w:val="007404A1"/>
    <w:rsid w:val="007445A6"/>
    <w:rsid w:val="00747989"/>
    <w:rsid w:val="007537F2"/>
    <w:rsid w:val="00760369"/>
    <w:rsid w:val="00760968"/>
    <w:rsid w:val="007648E0"/>
    <w:rsid w:val="00765F35"/>
    <w:rsid w:val="00766E54"/>
    <w:rsid w:val="007710A4"/>
    <w:rsid w:val="00776EDD"/>
    <w:rsid w:val="0077729A"/>
    <w:rsid w:val="00785570"/>
    <w:rsid w:val="00785E01"/>
    <w:rsid w:val="007875FF"/>
    <w:rsid w:val="007A0564"/>
    <w:rsid w:val="007A0BDF"/>
    <w:rsid w:val="007A5535"/>
    <w:rsid w:val="007A5E74"/>
    <w:rsid w:val="007A6AAE"/>
    <w:rsid w:val="007B428D"/>
    <w:rsid w:val="007B4EC4"/>
    <w:rsid w:val="007C627B"/>
    <w:rsid w:val="007C74EA"/>
    <w:rsid w:val="007D0180"/>
    <w:rsid w:val="007D0BB3"/>
    <w:rsid w:val="007D101F"/>
    <w:rsid w:val="007D53E0"/>
    <w:rsid w:val="007E2A4D"/>
    <w:rsid w:val="007F20C8"/>
    <w:rsid w:val="007F6D42"/>
    <w:rsid w:val="0080229D"/>
    <w:rsid w:val="008073BC"/>
    <w:rsid w:val="00811B44"/>
    <w:rsid w:val="00817D41"/>
    <w:rsid w:val="0082341B"/>
    <w:rsid w:val="00827467"/>
    <w:rsid w:val="0085310D"/>
    <w:rsid w:val="00854FAE"/>
    <w:rsid w:val="00855EBF"/>
    <w:rsid w:val="00860C68"/>
    <w:rsid w:val="0086616D"/>
    <w:rsid w:val="00866617"/>
    <w:rsid w:val="00875406"/>
    <w:rsid w:val="008839C7"/>
    <w:rsid w:val="008A237E"/>
    <w:rsid w:val="008A2BEB"/>
    <w:rsid w:val="008A65BD"/>
    <w:rsid w:val="008C5400"/>
    <w:rsid w:val="008D2489"/>
    <w:rsid w:val="008E4139"/>
    <w:rsid w:val="008F188B"/>
    <w:rsid w:val="008F603D"/>
    <w:rsid w:val="00913100"/>
    <w:rsid w:val="00915E41"/>
    <w:rsid w:val="009176CE"/>
    <w:rsid w:val="00923D36"/>
    <w:rsid w:val="00927A5A"/>
    <w:rsid w:val="009322BD"/>
    <w:rsid w:val="009348D5"/>
    <w:rsid w:val="00936CBC"/>
    <w:rsid w:val="0094237F"/>
    <w:rsid w:val="00956121"/>
    <w:rsid w:val="00965C8B"/>
    <w:rsid w:val="00965CB6"/>
    <w:rsid w:val="00984780"/>
    <w:rsid w:val="00985F1A"/>
    <w:rsid w:val="00986121"/>
    <w:rsid w:val="009926A7"/>
    <w:rsid w:val="00993BBF"/>
    <w:rsid w:val="0099680E"/>
    <w:rsid w:val="0099719E"/>
    <w:rsid w:val="00997B50"/>
    <w:rsid w:val="009C1E45"/>
    <w:rsid w:val="009C2E98"/>
    <w:rsid w:val="009C5D14"/>
    <w:rsid w:val="009D2684"/>
    <w:rsid w:val="009E22C0"/>
    <w:rsid w:val="009F4889"/>
    <w:rsid w:val="00A00B0D"/>
    <w:rsid w:val="00A0107E"/>
    <w:rsid w:val="00A05B0A"/>
    <w:rsid w:val="00A066F4"/>
    <w:rsid w:val="00A07BD6"/>
    <w:rsid w:val="00A15066"/>
    <w:rsid w:val="00A158DF"/>
    <w:rsid w:val="00A41886"/>
    <w:rsid w:val="00A424D7"/>
    <w:rsid w:val="00A4475D"/>
    <w:rsid w:val="00A4620E"/>
    <w:rsid w:val="00A5032E"/>
    <w:rsid w:val="00A51275"/>
    <w:rsid w:val="00A52787"/>
    <w:rsid w:val="00A7058D"/>
    <w:rsid w:val="00A729F1"/>
    <w:rsid w:val="00A93BAB"/>
    <w:rsid w:val="00A96532"/>
    <w:rsid w:val="00AA4057"/>
    <w:rsid w:val="00AA50BD"/>
    <w:rsid w:val="00AA74E5"/>
    <w:rsid w:val="00AB0BE2"/>
    <w:rsid w:val="00AB4B7C"/>
    <w:rsid w:val="00AC53EF"/>
    <w:rsid w:val="00AC542F"/>
    <w:rsid w:val="00AD58C6"/>
    <w:rsid w:val="00AD67A2"/>
    <w:rsid w:val="00AE7F54"/>
    <w:rsid w:val="00AF1C1B"/>
    <w:rsid w:val="00AF2804"/>
    <w:rsid w:val="00B01CF8"/>
    <w:rsid w:val="00B049A5"/>
    <w:rsid w:val="00B04FF7"/>
    <w:rsid w:val="00B05854"/>
    <w:rsid w:val="00B07AFC"/>
    <w:rsid w:val="00B110B6"/>
    <w:rsid w:val="00B13054"/>
    <w:rsid w:val="00B142A8"/>
    <w:rsid w:val="00B264FE"/>
    <w:rsid w:val="00B32F69"/>
    <w:rsid w:val="00B32FC9"/>
    <w:rsid w:val="00B34A7E"/>
    <w:rsid w:val="00B51E5B"/>
    <w:rsid w:val="00B53004"/>
    <w:rsid w:val="00B569DB"/>
    <w:rsid w:val="00B8045D"/>
    <w:rsid w:val="00B8434C"/>
    <w:rsid w:val="00B87B58"/>
    <w:rsid w:val="00BA1D14"/>
    <w:rsid w:val="00BC406E"/>
    <w:rsid w:val="00BC7984"/>
    <w:rsid w:val="00BD17CB"/>
    <w:rsid w:val="00BD2F83"/>
    <w:rsid w:val="00BD663F"/>
    <w:rsid w:val="00BD786E"/>
    <w:rsid w:val="00BE39B3"/>
    <w:rsid w:val="00BF35B4"/>
    <w:rsid w:val="00BF6CD0"/>
    <w:rsid w:val="00C02919"/>
    <w:rsid w:val="00C02EF1"/>
    <w:rsid w:val="00C0478A"/>
    <w:rsid w:val="00C04D26"/>
    <w:rsid w:val="00C05186"/>
    <w:rsid w:val="00C12396"/>
    <w:rsid w:val="00C17D81"/>
    <w:rsid w:val="00C21ACC"/>
    <w:rsid w:val="00C31A7F"/>
    <w:rsid w:val="00C33051"/>
    <w:rsid w:val="00C33F38"/>
    <w:rsid w:val="00C34B22"/>
    <w:rsid w:val="00C35171"/>
    <w:rsid w:val="00C45E48"/>
    <w:rsid w:val="00C64D0E"/>
    <w:rsid w:val="00C6504D"/>
    <w:rsid w:val="00C70964"/>
    <w:rsid w:val="00C70CF7"/>
    <w:rsid w:val="00C73BC8"/>
    <w:rsid w:val="00C755A8"/>
    <w:rsid w:val="00C91AAF"/>
    <w:rsid w:val="00C91AF5"/>
    <w:rsid w:val="00C922E0"/>
    <w:rsid w:val="00C9508C"/>
    <w:rsid w:val="00C96EEE"/>
    <w:rsid w:val="00CA4E03"/>
    <w:rsid w:val="00CA7D7E"/>
    <w:rsid w:val="00CB6445"/>
    <w:rsid w:val="00CB65BE"/>
    <w:rsid w:val="00CC2ACF"/>
    <w:rsid w:val="00CC75BD"/>
    <w:rsid w:val="00CD4123"/>
    <w:rsid w:val="00CD4298"/>
    <w:rsid w:val="00CE1AE8"/>
    <w:rsid w:val="00CE2FEF"/>
    <w:rsid w:val="00CE3817"/>
    <w:rsid w:val="00CE483C"/>
    <w:rsid w:val="00CE5286"/>
    <w:rsid w:val="00CE69ED"/>
    <w:rsid w:val="00CF08A6"/>
    <w:rsid w:val="00CF128C"/>
    <w:rsid w:val="00CF3AA7"/>
    <w:rsid w:val="00CF5C80"/>
    <w:rsid w:val="00D07B62"/>
    <w:rsid w:val="00D1743E"/>
    <w:rsid w:val="00D17D88"/>
    <w:rsid w:val="00D2033E"/>
    <w:rsid w:val="00D244BB"/>
    <w:rsid w:val="00D348A4"/>
    <w:rsid w:val="00D42E37"/>
    <w:rsid w:val="00D45FAF"/>
    <w:rsid w:val="00D45FC4"/>
    <w:rsid w:val="00D47089"/>
    <w:rsid w:val="00D47197"/>
    <w:rsid w:val="00D51A5D"/>
    <w:rsid w:val="00D530CC"/>
    <w:rsid w:val="00D53206"/>
    <w:rsid w:val="00D56F65"/>
    <w:rsid w:val="00D578F6"/>
    <w:rsid w:val="00D61E7F"/>
    <w:rsid w:val="00D7119B"/>
    <w:rsid w:val="00D74CCE"/>
    <w:rsid w:val="00D81694"/>
    <w:rsid w:val="00D84687"/>
    <w:rsid w:val="00D85806"/>
    <w:rsid w:val="00D90C2A"/>
    <w:rsid w:val="00D96C8D"/>
    <w:rsid w:val="00DA3AF4"/>
    <w:rsid w:val="00DA595A"/>
    <w:rsid w:val="00DB2219"/>
    <w:rsid w:val="00DB325E"/>
    <w:rsid w:val="00DB543E"/>
    <w:rsid w:val="00DC4EAC"/>
    <w:rsid w:val="00DC7437"/>
    <w:rsid w:val="00DD0E34"/>
    <w:rsid w:val="00DD0F6B"/>
    <w:rsid w:val="00DD5C23"/>
    <w:rsid w:val="00DE070D"/>
    <w:rsid w:val="00DE1256"/>
    <w:rsid w:val="00DE3BA6"/>
    <w:rsid w:val="00DF11DA"/>
    <w:rsid w:val="00DF50D5"/>
    <w:rsid w:val="00E104FF"/>
    <w:rsid w:val="00E25CE7"/>
    <w:rsid w:val="00E269F7"/>
    <w:rsid w:val="00E26E0A"/>
    <w:rsid w:val="00E3430C"/>
    <w:rsid w:val="00E36806"/>
    <w:rsid w:val="00E401A7"/>
    <w:rsid w:val="00E4263C"/>
    <w:rsid w:val="00E473DC"/>
    <w:rsid w:val="00E5419B"/>
    <w:rsid w:val="00E56605"/>
    <w:rsid w:val="00E61876"/>
    <w:rsid w:val="00E72B77"/>
    <w:rsid w:val="00E7588E"/>
    <w:rsid w:val="00E82C46"/>
    <w:rsid w:val="00E836F7"/>
    <w:rsid w:val="00E84AB1"/>
    <w:rsid w:val="00E90727"/>
    <w:rsid w:val="00E92ADE"/>
    <w:rsid w:val="00E935BE"/>
    <w:rsid w:val="00E97773"/>
    <w:rsid w:val="00EA459B"/>
    <w:rsid w:val="00EC2A2D"/>
    <w:rsid w:val="00EC498B"/>
    <w:rsid w:val="00EC667F"/>
    <w:rsid w:val="00EC7AC3"/>
    <w:rsid w:val="00ED2682"/>
    <w:rsid w:val="00ED43B6"/>
    <w:rsid w:val="00ED4ABE"/>
    <w:rsid w:val="00ED5739"/>
    <w:rsid w:val="00EE182B"/>
    <w:rsid w:val="00EE453E"/>
    <w:rsid w:val="00EF0DDC"/>
    <w:rsid w:val="00EF543A"/>
    <w:rsid w:val="00EF790F"/>
    <w:rsid w:val="00F018B7"/>
    <w:rsid w:val="00F0251E"/>
    <w:rsid w:val="00F12DD1"/>
    <w:rsid w:val="00F13282"/>
    <w:rsid w:val="00F14B49"/>
    <w:rsid w:val="00F15C29"/>
    <w:rsid w:val="00F227C2"/>
    <w:rsid w:val="00F27641"/>
    <w:rsid w:val="00F344E6"/>
    <w:rsid w:val="00F34814"/>
    <w:rsid w:val="00F3742D"/>
    <w:rsid w:val="00F645CD"/>
    <w:rsid w:val="00F76AA0"/>
    <w:rsid w:val="00F8090B"/>
    <w:rsid w:val="00F81C35"/>
    <w:rsid w:val="00F839DD"/>
    <w:rsid w:val="00F909DA"/>
    <w:rsid w:val="00F91B92"/>
    <w:rsid w:val="00F9429C"/>
    <w:rsid w:val="00F96166"/>
    <w:rsid w:val="00F964A9"/>
    <w:rsid w:val="00F96DC9"/>
    <w:rsid w:val="00F97B79"/>
    <w:rsid w:val="00F97D3C"/>
    <w:rsid w:val="00FB66E7"/>
    <w:rsid w:val="00FC0EE5"/>
    <w:rsid w:val="00FC115B"/>
    <w:rsid w:val="00FC7567"/>
    <w:rsid w:val="00FD2ACE"/>
    <w:rsid w:val="00FD2EEC"/>
    <w:rsid w:val="00FD77DB"/>
    <w:rsid w:val="00FE18D8"/>
    <w:rsid w:val="00FE6639"/>
    <w:rsid w:val="00FF0D60"/>
    <w:rsid w:val="00FF2081"/>
    <w:rsid w:val="00FF5AF8"/>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2"/>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2"/>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2"/>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2"/>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2"/>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2"/>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2"/>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2"/>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2"/>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9"/>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 w:type="character" w:styleId="af4">
    <w:name w:val="Hyperlink"/>
    <w:uiPriority w:val="99"/>
    <w:qFormat/>
    <w:rsid w:val="00634C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1302</Words>
  <Characters>7426</Characters>
  <Application>Microsoft Office Word</Application>
  <DocSecurity>0</DocSecurity>
  <Lines>61</Lines>
  <Paragraphs>17</Paragraphs>
  <ScaleCrop>false</ScaleCrop>
  <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张萌 (Pierre Zhang)</cp:lastModifiedBy>
  <cp:revision>10</cp:revision>
  <dcterms:created xsi:type="dcterms:W3CDTF">2023-02-17T07:08:00Z</dcterms:created>
  <dcterms:modified xsi:type="dcterms:W3CDTF">2023-02-17T09:02:00Z</dcterms:modified>
</cp:coreProperties>
</file>