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357FC" w14:textId="60650B53" w:rsidR="00A26C9B" w:rsidRPr="00C7668D" w:rsidRDefault="00C21181" w:rsidP="00A26C9B">
      <w:pPr>
        <w:pStyle w:val="Header"/>
        <w:tabs>
          <w:tab w:val="right" w:pos="10206"/>
        </w:tabs>
        <w:spacing w:after="0" w:afterAutospacing="0"/>
        <w:rPr>
          <w:rFonts w:cs="Arial"/>
          <w:noProof w:val="0"/>
          <w:sz w:val="28"/>
          <w:szCs w:val="28"/>
          <w:lang w:val="en-US"/>
        </w:rPr>
      </w:pPr>
      <w:bookmarkStart w:id="0" w:name="OLE_LINK3"/>
      <w:bookmarkStart w:id="1" w:name="_Ref133120545"/>
      <w:r w:rsidRPr="00C21181">
        <w:rPr>
          <w:rFonts w:cs="Arial"/>
          <w:noProof w:val="0"/>
          <w:sz w:val="28"/>
          <w:szCs w:val="28"/>
          <w:lang w:val="en-US"/>
        </w:rPr>
        <w:t>3GPP TSG RAN WG1 #11</w:t>
      </w:r>
      <w:r w:rsidR="00DC026E">
        <w:rPr>
          <w:rFonts w:cs="Arial"/>
          <w:noProof w:val="0"/>
          <w:sz w:val="28"/>
          <w:szCs w:val="28"/>
          <w:lang w:val="en-US"/>
        </w:rPr>
        <w:t>1</w:t>
      </w:r>
      <w:r w:rsidR="00A26C9B" w:rsidRPr="00C7668D">
        <w:rPr>
          <w:rFonts w:cs="Arial"/>
          <w:noProof w:val="0"/>
          <w:sz w:val="28"/>
          <w:szCs w:val="28"/>
          <w:lang w:val="en-US"/>
        </w:rPr>
        <w:tab/>
      </w:r>
      <w:r w:rsidR="009A7729" w:rsidRPr="009A7729">
        <w:rPr>
          <w:rFonts w:cs="Arial"/>
          <w:noProof w:val="0"/>
          <w:sz w:val="28"/>
          <w:szCs w:val="28"/>
          <w:lang w:val="en-US"/>
        </w:rPr>
        <w:t>R1-2212149</w:t>
      </w:r>
    </w:p>
    <w:p w14:paraId="7A7325BA" w14:textId="5496543C" w:rsidR="00A26C9B" w:rsidRPr="004778E9" w:rsidRDefault="00DC026E" w:rsidP="00A26C9B">
      <w:pPr>
        <w:pStyle w:val="Header"/>
        <w:rPr>
          <w:rFonts w:asciiTheme="majorHAnsi" w:hAnsiTheme="majorHAnsi" w:cstheme="majorHAnsi"/>
          <w:bCs/>
          <w:sz w:val="28"/>
          <w:lang w:val="en-US"/>
        </w:rPr>
      </w:pPr>
      <w:r w:rsidRPr="00DC026E">
        <w:rPr>
          <w:rFonts w:asciiTheme="majorHAnsi" w:eastAsia="SimSun" w:hAnsiTheme="majorHAnsi" w:cstheme="majorHAnsi"/>
          <w:sz w:val="28"/>
          <w:szCs w:val="28"/>
          <w:lang w:val="en-US" w:eastAsia="zh-CN"/>
        </w:rPr>
        <w:t>Toulouse, France, November 14</w:t>
      </w:r>
      <w:r w:rsidRPr="00DC026E">
        <w:rPr>
          <w:rFonts w:asciiTheme="majorHAnsi" w:eastAsia="SimSun" w:hAnsiTheme="majorHAnsi" w:cstheme="majorHAnsi"/>
          <w:sz w:val="28"/>
          <w:szCs w:val="28"/>
          <w:vertAlign w:val="superscript"/>
          <w:lang w:val="en-US" w:eastAsia="zh-CN"/>
        </w:rPr>
        <w:t>th</w:t>
      </w:r>
      <w:r w:rsidRPr="00DC026E">
        <w:rPr>
          <w:rFonts w:asciiTheme="majorHAnsi" w:eastAsia="SimSun" w:hAnsiTheme="majorHAnsi" w:cstheme="majorHAnsi"/>
          <w:sz w:val="28"/>
          <w:szCs w:val="28"/>
          <w:lang w:val="en-US" w:eastAsia="zh-CN"/>
        </w:rPr>
        <w:t xml:space="preserve"> – 18</w:t>
      </w:r>
      <w:r w:rsidRPr="00DC026E">
        <w:rPr>
          <w:rFonts w:asciiTheme="majorHAnsi" w:eastAsia="SimSun" w:hAnsiTheme="majorHAnsi" w:cstheme="majorHAnsi"/>
          <w:sz w:val="28"/>
          <w:szCs w:val="28"/>
          <w:vertAlign w:val="superscript"/>
          <w:lang w:val="en-US" w:eastAsia="zh-CN"/>
        </w:rPr>
        <w:t>th</w:t>
      </w:r>
      <w:r w:rsidRPr="00DC026E">
        <w:rPr>
          <w:rFonts w:asciiTheme="majorHAnsi" w:eastAsia="SimSun" w:hAnsiTheme="majorHAnsi" w:cstheme="majorHAnsi"/>
          <w:sz w:val="28"/>
          <w:szCs w:val="28"/>
          <w:lang w:val="en-US" w:eastAsia="zh-CN"/>
        </w:rPr>
        <w:t>, 2022</w:t>
      </w:r>
    </w:p>
    <w:bookmarkEnd w:id="0"/>
    <w:p w14:paraId="2E7B3FD7" w14:textId="77777777"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4778E9">
        <w:rPr>
          <w:rFonts w:ascii="Arial" w:hAnsi="Arial" w:cs="Arial"/>
          <w:b/>
          <w:sz w:val="28"/>
          <w:szCs w:val="28"/>
          <w:lang w:val="en-US"/>
        </w:rPr>
        <w:t>Source:</w:t>
      </w:r>
      <w:r w:rsidRPr="004778E9">
        <w:rPr>
          <w:rFonts w:ascii="Arial" w:hAnsi="Arial" w:cs="Arial"/>
          <w:b/>
          <w:sz w:val="28"/>
          <w:szCs w:val="28"/>
          <w:lang w:val="en-US"/>
        </w:rPr>
        <w:tab/>
        <w:t>Sharp</w:t>
      </w:r>
    </w:p>
    <w:p w14:paraId="494CEAE7" w14:textId="66561743" w:rsidR="00004B52" w:rsidRPr="004778E9" w:rsidRDefault="00004B52" w:rsidP="005544D4">
      <w:pPr>
        <w:spacing w:after="0" w:afterAutospacing="0"/>
        <w:ind w:left="1985" w:hangingChars="706" w:hanging="1985"/>
        <w:rPr>
          <w:rFonts w:ascii="Arial" w:eastAsiaTheme="minorEastAsia" w:hAnsi="Arial" w:cs="Arial"/>
          <w:b/>
          <w:sz w:val="28"/>
          <w:szCs w:val="28"/>
          <w:lang w:val="en-US"/>
        </w:rPr>
      </w:pPr>
      <w:r w:rsidRPr="004778E9">
        <w:rPr>
          <w:rFonts w:ascii="Arial" w:hAnsi="Arial" w:cs="Arial"/>
          <w:b/>
          <w:sz w:val="28"/>
          <w:szCs w:val="28"/>
          <w:lang w:val="en-US"/>
        </w:rPr>
        <w:t>Title:</w:t>
      </w:r>
      <w:r w:rsidRPr="004778E9">
        <w:rPr>
          <w:rFonts w:ascii="Arial" w:hAnsi="Arial" w:cs="Arial"/>
          <w:b/>
          <w:sz w:val="28"/>
          <w:szCs w:val="28"/>
          <w:lang w:val="en-US"/>
        </w:rPr>
        <w:tab/>
      </w:r>
      <w:r w:rsidR="006A02A0">
        <w:rPr>
          <w:rFonts w:ascii="Arial" w:hAnsi="Arial" w:cs="Arial"/>
          <w:b/>
          <w:sz w:val="28"/>
          <w:szCs w:val="28"/>
          <w:lang w:val="en-US"/>
        </w:rPr>
        <w:t xml:space="preserve">Discussion on </w:t>
      </w:r>
      <w:r w:rsidR="00F07407">
        <w:rPr>
          <w:rFonts w:ascii="Arial" w:hAnsi="Arial" w:cs="Arial"/>
          <w:b/>
          <w:sz w:val="28"/>
          <w:szCs w:val="28"/>
          <w:lang w:val="en-US"/>
        </w:rPr>
        <w:t>subband non-overlapping full duplex</w:t>
      </w:r>
    </w:p>
    <w:p w14:paraId="26DC8AEB" w14:textId="4A21E169"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C7668D">
        <w:rPr>
          <w:rFonts w:ascii="Arial" w:eastAsiaTheme="minorEastAsia" w:hAnsi="Arial" w:cs="Arial"/>
          <w:b/>
          <w:sz w:val="28"/>
          <w:szCs w:val="28"/>
          <w:lang w:val="pt-BR"/>
        </w:rPr>
        <w:t>9</w:t>
      </w:r>
      <w:r w:rsidR="00B47489" w:rsidRPr="004778E9">
        <w:rPr>
          <w:rFonts w:ascii="Arial" w:eastAsiaTheme="minorEastAsia" w:hAnsi="Arial" w:cs="Arial"/>
          <w:b/>
          <w:sz w:val="28"/>
          <w:szCs w:val="28"/>
          <w:lang w:val="pt-BR"/>
        </w:rPr>
        <w:t>.</w:t>
      </w:r>
      <w:r w:rsidR="00C7668D">
        <w:rPr>
          <w:rFonts w:ascii="Arial" w:eastAsiaTheme="minorEastAsia" w:hAnsi="Arial" w:cs="Arial"/>
          <w:b/>
          <w:sz w:val="28"/>
          <w:szCs w:val="28"/>
          <w:lang w:val="pt-BR"/>
        </w:rPr>
        <w:t>3</w:t>
      </w:r>
      <w:r w:rsidR="00662879" w:rsidRPr="004778E9">
        <w:rPr>
          <w:rFonts w:ascii="Arial" w:eastAsiaTheme="minorEastAsia" w:hAnsi="Arial" w:cs="Arial"/>
          <w:b/>
          <w:sz w:val="28"/>
          <w:szCs w:val="28"/>
          <w:lang w:val="pt-BR"/>
        </w:rPr>
        <w:t>.</w:t>
      </w:r>
      <w:r w:rsidR="00F07407">
        <w:rPr>
          <w:rFonts w:ascii="Arial" w:eastAsiaTheme="minorEastAsia" w:hAnsi="Arial" w:cs="Arial"/>
          <w:b/>
          <w:sz w:val="28"/>
          <w:szCs w:val="28"/>
          <w:lang w:val="pt-BR"/>
        </w:rPr>
        <w:t>2</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2" w:name="DocumentFor"/>
      <w:bookmarkEnd w:id="2"/>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1"/>
    <w:p w14:paraId="658F1927" w14:textId="13D4D0CB" w:rsidR="00004B52" w:rsidRPr="0048166C" w:rsidRDefault="00253955" w:rsidP="005544D4">
      <w:pPr>
        <w:pStyle w:val="Heading1"/>
        <w:adjustRightInd w:val="0"/>
        <w:spacing w:before="100" w:beforeAutospacing="1" w:afterLines="0"/>
        <w:rPr>
          <w:lang w:val="en-US"/>
        </w:rPr>
      </w:pPr>
      <w:r>
        <w:rPr>
          <w:lang w:val="en-US"/>
        </w:rPr>
        <w:t>Background</w:t>
      </w:r>
    </w:p>
    <w:p w14:paraId="6A6AEB33" w14:textId="7A0BE7DF" w:rsidR="006A02A0" w:rsidRDefault="006A02A0" w:rsidP="006A02A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Several agreements have been achieved in RAN1#1</w:t>
      </w:r>
      <w:r w:rsidR="008571CE">
        <w:rPr>
          <w:rFonts w:eastAsia="MS Gothic"/>
          <w:sz w:val="24"/>
          <w:lang w:val="en-GB" w:eastAsia="ja-JP"/>
        </w:rPr>
        <w:t>10</w:t>
      </w:r>
      <w:r w:rsidR="00DC026E">
        <w:rPr>
          <w:rFonts w:eastAsia="MS Gothic"/>
          <w:sz w:val="24"/>
          <w:lang w:val="en-GB" w:eastAsia="ja-JP"/>
        </w:rPr>
        <w:t>bis</w:t>
      </w:r>
      <w:r>
        <w:rPr>
          <w:rFonts w:eastAsia="MS Gothic"/>
          <w:sz w:val="24"/>
          <w:lang w:val="en-GB" w:eastAsia="ja-JP"/>
        </w:rPr>
        <w:t xml:space="preserve"> </w:t>
      </w:r>
      <w:r w:rsidR="00DC026E">
        <w:rPr>
          <w:rFonts w:eastAsia="MS Gothic"/>
          <w:sz w:val="24"/>
          <w:lang w:val="en-GB" w:eastAsia="ja-JP"/>
        </w:rPr>
        <w:t>e-</w:t>
      </w:r>
      <w:r>
        <w:rPr>
          <w:rFonts w:eastAsia="MS Gothic"/>
          <w:sz w:val="24"/>
          <w:lang w:val="en-GB" w:eastAsia="ja-JP"/>
        </w:rPr>
        <w:t>meeting [1]</w:t>
      </w:r>
      <w:r w:rsidR="00DC026E">
        <w:rPr>
          <w:rFonts w:eastAsia="MS Gothic"/>
          <w:sz w:val="24"/>
          <w:lang w:val="en-GB" w:eastAsia="ja-JP"/>
        </w:rPr>
        <w:t>, which could serve as basis for discussion</w:t>
      </w:r>
      <w:r>
        <w:rPr>
          <w:rFonts w:eastAsia="MS Gothic"/>
          <w:sz w:val="24"/>
          <w:lang w:val="en-GB" w:eastAsia="ja-JP"/>
        </w:rPr>
        <w:t>.</w:t>
      </w:r>
    </w:p>
    <w:tbl>
      <w:tblPr>
        <w:tblStyle w:val="TableGrid"/>
        <w:tblW w:w="0" w:type="auto"/>
        <w:tblLook w:val="04A0" w:firstRow="1" w:lastRow="0" w:firstColumn="1" w:lastColumn="0" w:noHBand="0" w:noVBand="1"/>
      </w:tblPr>
      <w:tblGrid>
        <w:gridCol w:w="9954"/>
      </w:tblGrid>
      <w:tr w:rsidR="006A02A0" w14:paraId="46300046" w14:textId="77777777" w:rsidTr="006A02A0">
        <w:tc>
          <w:tcPr>
            <w:tcW w:w="9954" w:type="dxa"/>
            <w:tcBorders>
              <w:top w:val="single" w:sz="4" w:space="0" w:color="auto"/>
              <w:left w:val="single" w:sz="4" w:space="0" w:color="auto"/>
              <w:bottom w:val="single" w:sz="4" w:space="0" w:color="auto"/>
              <w:right w:val="single" w:sz="4" w:space="0" w:color="auto"/>
            </w:tcBorders>
          </w:tcPr>
          <w:p w14:paraId="38967AE8" w14:textId="77777777" w:rsidR="00DC026E" w:rsidRPr="00DC026E" w:rsidRDefault="00DC026E" w:rsidP="00DC026E">
            <w:pPr>
              <w:autoSpaceDE w:val="0"/>
              <w:autoSpaceDN w:val="0"/>
              <w:adjustRightInd w:val="0"/>
              <w:spacing w:after="0" w:afterAutospacing="0"/>
              <w:rPr>
                <w:rFonts w:eastAsia="MS Mincho"/>
                <w:b/>
                <w:iCs/>
                <w:noProof/>
                <w:sz w:val="20"/>
                <w:szCs w:val="24"/>
                <w:lang w:eastAsia="en-GB"/>
              </w:rPr>
            </w:pPr>
            <w:r w:rsidRPr="00DC026E">
              <w:rPr>
                <w:rFonts w:eastAsia="MS Mincho"/>
                <w:b/>
                <w:iCs/>
                <w:noProof/>
                <w:sz w:val="20"/>
                <w:szCs w:val="24"/>
                <w:highlight w:val="green"/>
                <w:lang w:eastAsia="en-GB"/>
              </w:rPr>
              <w:t>Agreement</w:t>
            </w:r>
          </w:p>
          <w:p w14:paraId="7FF5F5A9" w14:textId="77777777" w:rsidR="00DC026E" w:rsidRPr="00DC026E" w:rsidRDefault="00DC026E" w:rsidP="00DC026E">
            <w:pPr>
              <w:autoSpaceDE w:val="0"/>
              <w:autoSpaceDN w:val="0"/>
              <w:adjustRightInd w:val="0"/>
              <w:spacing w:after="0" w:afterAutospacing="0"/>
              <w:rPr>
                <w:rFonts w:eastAsia="MS Mincho"/>
                <w:iCs/>
                <w:noProof/>
                <w:sz w:val="20"/>
                <w:szCs w:val="24"/>
                <w:lang w:eastAsia="en-GB"/>
              </w:rPr>
            </w:pPr>
            <w:r w:rsidRPr="00DC026E">
              <w:rPr>
                <w:rFonts w:eastAsia="MS Mincho"/>
                <w:iCs/>
                <w:noProof/>
                <w:sz w:val="20"/>
                <w:szCs w:val="24"/>
                <w:lang w:eastAsia="en-GB"/>
              </w:rPr>
              <w:t>For SBFD operation at least for RRC_CONNECTED state, it is agreed that SBFD operation Alt 4 is the baseline.</w:t>
            </w:r>
          </w:p>
          <w:p w14:paraId="19DE5D5E" w14:textId="77777777" w:rsidR="00DC026E" w:rsidRPr="00DC026E" w:rsidRDefault="00DC026E" w:rsidP="00DC026E">
            <w:pPr>
              <w:numPr>
                <w:ilvl w:val="0"/>
                <w:numId w:val="41"/>
              </w:numPr>
              <w:autoSpaceDE w:val="0"/>
              <w:autoSpaceDN w:val="0"/>
              <w:adjustRightInd w:val="0"/>
              <w:spacing w:after="0" w:afterAutospacing="0"/>
              <w:rPr>
                <w:rFonts w:eastAsia="MS Mincho"/>
                <w:iCs/>
                <w:noProof/>
                <w:sz w:val="20"/>
                <w:szCs w:val="24"/>
                <w:lang w:eastAsia="en-GB"/>
              </w:rPr>
            </w:pPr>
            <w:r w:rsidRPr="00DC026E">
              <w:rPr>
                <w:rFonts w:eastAsia="MS Mincho"/>
                <w:iCs/>
                <w:noProof/>
                <w:sz w:val="20"/>
                <w:szCs w:val="24"/>
                <w:lang w:eastAsia="en-GB"/>
              </w:rPr>
              <w:t>SBFD operation Alt 4:</w:t>
            </w:r>
          </w:p>
          <w:p w14:paraId="02B09420" w14:textId="77777777" w:rsidR="00DC026E" w:rsidRPr="00DC026E" w:rsidRDefault="00DC026E" w:rsidP="00DC026E">
            <w:pPr>
              <w:numPr>
                <w:ilvl w:val="1"/>
                <w:numId w:val="41"/>
              </w:numPr>
              <w:autoSpaceDE w:val="0"/>
              <w:autoSpaceDN w:val="0"/>
              <w:adjustRightInd w:val="0"/>
              <w:spacing w:after="0" w:afterAutospacing="0"/>
              <w:rPr>
                <w:rFonts w:eastAsia="MS Mincho"/>
                <w:iCs/>
                <w:noProof/>
                <w:sz w:val="20"/>
                <w:szCs w:val="24"/>
                <w:lang w:eastAsia="en-GB"/>
              </w:rPr>
            </w:pPr>
            <w:r w:rsidRPr="00DC026E">
              <w:rPr>
                <w:rFonts w:eastAsia="MS Mincho"/>
                <w:iCs/>
                <w:noProof/>
                <w:sz w:val="20"/>
                <w:szCs w:val="24"/>
                <w:lang w:eastAsia="en-GB"/>
              </w:rPr>
              <w:t xml:space="preserve">Both time and frequency locations of subbands for SBFD operation are known to SBFD aware UEs. </w:t>
            </w:r>
          </w:p>
          <w:p w14:paraId="4B2F5336" w14:textId="77777777" w:rsidR="00DC026E" w:rsidRPr="00DC026E" w:rsidRDefault="00DC026E" w:rsidP="00DC026E">
            <w:pPr>
              <w:numPr>
                <w:ilvl w:val="1"/>
                <w:numId w:val="41"/>
              </w:numPr>
              <w:autoSpaceDE w:val="0"/>
              <w:autoSpaceDN w:val="0"/>
              <w:adjustRightInd w:val="0"/>
              <w:spacing w:after="0" w:afterAutospacing="0"/>
              <w:rPr>
                <w:rFonts w:eastAsia="MS Mincho"/>
                <w:iCs/>
                <w:noProof/>
                <w:sz w:val="20"/>
                <w:szCs w:val="24"/>
                <w:lang w:eastAsia="en-GB"/>
              </w:rPr>
            </w:pPr>
            <w:r w:rsidRPr="00DC026E">
              <w:rPr>
                <w:rFonts w:eastAsia="MS Mincho"/>
                <w:iCs/>
                <w:noProof/>
                <w:sz w:val="20"/>
                <w:szCs w:val="24"/>
                <w:lang w:eastAsia="en-GB"/>
              </w:rPr>
              <w:t>UE behaviors for non-SBFD aware UEs follow existing specifications.</w:t>
            </w:r>
          </w:p>
          <w:p w14:paraId="71981250" w14:textId="77777777" w:rsidR="00DC026E" w:rsidRPr="00DC026E" w:rsidRDefault="00DC026E" w:rsidP="00DC026E">
            <w:pPr>
              <w:numPr>
                <w:ilvl w:val="1"/>
                <w:numId w:val="41"/>
              </w:numPr>
              <w:autoSpaceDE w:val="0"/>
              <w:autoSpaceDN w:val="0"/>
              <w:adjustRightInd w:val="0"/>
              <w:spacing w:after="0" w:afterAutospacing="0"/>
              <w:rPr>
                <w:rFonts w:eastAsia="MS Mincho"/>
                <w:iCs/>
                <w:noProof/>
                <w:sz w:val="20"/>
                <w:szCs w:val="24"/>
                <w:lang w:eastAsia="en-GB"/>
              </w:rPr>
            </w:pPr>
            <w:r w:rsidRPr="00DC026E">
              <w:rPr>
                <w:rFonts w:eastAsia="MS Mincho"/>
                <w:iCs/>
                <w:noProof/>
                <w:sz w:val="20"/>
                <w:szCs w:val="24"/>
                <w:lang w:eastAsia="en-GB"/>
              </w:rPr>
              <w:t>From RAN1 perspective, new UE behaviors can be introduced for SBFD aware UEs based on the time and frequency locations of subbands for SBFD operation.</w:t>
            </w:r>
          </w:p>
          <w:p w14:paraId="3A096777" w14:textId="77777777" w:rsidR="00081752" w:rsidRDefault="00081752" w:rsidP="00DC026E">
            <w:pPr>
              <w:autoSpaceDE w:val="0"/>
              <w:autoSpaceDN w:val="0"/>
              <w:adjustRightInd w:val="0"/>
              <w:spacing w:after="0" w:afterAutospacing="0"/>
              <w:rPr>
                <w:rFonts w:eastAsia="MS Mincho"/>
                <w:iCs/>
                <w:noProof/>
                <w:sz w:val="20"/>
                <w:szCs w:val="24"/>
                <w:lang w:eastAsia="en-GB"/>
              </w:rPr>
            </w:pPr>
          </w:p>
          <w:p w14:paraId="76DC40D7" w14:textId="77777777" w:rsidR="00DC026E" w:rsidRPr="00DC026E" w:rsidRDefault="00DC026E" w:rsidP="00DC026E">
            <w:pPr>
              <w:autoSpaceDE w:val="0"/>
              <w:autoSpaceDN w:val="0"/>
              <w:adjustRightInd w:val="0"/>
              <w:spacing w:after="0" w:afterAutospacing="0"/>
              <w:rPr>
                <w:rFonts w:eastAsia="MS Mincho"/>
                <w:b/>
                <w:iCs/>
                <w:noProof/>
                <w:sz w:val="20"/>
                <w:szCs w:val="24"/>
                <w:lang w:eastAsia="en-GB"/>
              </w:rPr>
            </w:pPr>
            <w:r w:rsidRPr="00DC026E">
              <w:rPr>
                <w:rFonts w:eastAsia="MS Mincho"/>
                <w:b/>
                <w:iCs/>
                <w:noProof/>
                <w:sz w:val="20"/>
                <w:szCs w:val="24"/>
                <w:highlight w:val="green"/>
                <w:lang w:eastAsia="en-GB"/>
              </w:rPr>
              <w:t>Agreement</w:t>
            </w:r>
          </w:p>
          <w:p w14:paraId="7AB05D55" w14:textId="77777777" w:rsidR="00DC026E" w:rsidRPr="00DC026E" w:rsidRDefault="00DC026E" w:rsidP="00DC026E">
            <w:pPr>
              <w:autoSpaceDE w:val="0"/>
              <w:autoSpaceDN w:val="0"/>
              <w:adjustRightInd w:val="0"/>
              <w:spacing w:after="0" w:afterAutospacing="0"/>
              <w:rPr>
                <w:rFonts w:eastAsia="MS Mincho"/>
                <w:iCs/>
                <w:noProof/>
                <w:sz w:val="20"/>
                <w:szCs w:val="24"/>
                <w:lang w:eastAsia="en-GB"/>
              </w:rPr>
            </w:pPr>
            <w:r w:rsidRPr="00DC026E">
              <w:rPr>
                <w:rFonts w:eastAsia="MS Mincho"/>
                <w:iCs/>
                <w:noProof/>
                <w:sz w:val="20"/>
                <w:szCs w:val="24"/>
                <w:lang w:eastAsia="en-GB"/>
              </w:rPr>
              <w:t>For SBFD operation within a TDD carrier, it is agreed that SBFD scheme within a single configured DL and UL BWP pair with aligned center frequencies is the baseline.</w:t>
            </w:r>
          </w:p>
          <w:p w14:paraId="2D019900" w14:textId="77777777" w:rsidR="00DC026E" w:rsidRDefault="00DC026E" w:rsidP="00DC026E">
            <w:pPr>
              <w:autoSpaceDE w:val="0"/>
              <w:autoSpaceDN w:val="0"/>
              <w:adjustRightInd w:val="0"/>
              <w:spacing w:after="0" w:afterAutospacing="0"/>
              <w:rPr>
                <w:rFonts w:eastAsia="MS Mincho"/>
                <w:b/>
                <w:iCs/>
                <w:noProof/>
                <w:sz w:val="20"/>
                <w:szCs w:val="24"/>
                <w:lang w:eastAsia="en-GB"/>
              </w:rPr>
            </w:pPr>
          </w:p>
          <w:p w14:paraId="74E0A815" w14:textId="20530C0A" w:rsidR="00DC026E" w:rsidRPr="00DC026E" w:rsidRDefault="00DC026E" w:rsidP="00DC026E">
            <w:pPr>
              <w:autoSpaceDE w:val="0"/>
              <w:autoSpaceDN w:val="0"/>
              <w:adjustRightInd w:val="0"/>
              <w:spacing w:after="0" w:afterAutospacing="0"/>
              <w:rPr>
                <w:rFonts w:eastAsia="MS Mincho"/>
                <w:b/>
                <w:iCs/>
                <w:noProof/>
                <w:sz w:val="20"/>
                <w:szCs w:val="24"/>
                <w:lang w:eastAsia="en-GB"/>
              </w:rPr>
            </w:pPr>
            <w:r w:rsidRPr="00DC026E">
              <w:rPr>
                <w:rFonts w:eastAsia="MS Mincho"/>
                <w:b/>
                <w:iCs/>
                <w:noProof/>
                <w:sz w:val="20"/>
                <w:szCs w:val="24"/>
                <w:highlight w:val="green"/>
                <w:lang w:eastAsia="en-GB"/>
              </w:rPr>
              <w:t>Agreement</w:t>
            </w:r>
          </w:p>
          <w:p w14:paraId="699D29DC" w14:textId="77777777" w:rsidR="00DC026E" w:rsidRPr="00DC026E" w:rsidRDefault="00DC026E" w:rsidP="00DC026E">
            <w:pPr>
              <w:autoSpaceDE w:val="0"/>
              <w:autoSpaceDN w:val="0"/>
              <w:adjustRightInd w:val="0"/>
              <w:spacing w:after="0" w:afterAutospacing="0"/>
              <w:rPr>
                <w:rFonts w:eastAsia="MS Mincho"/>
                <w:iCs/>
                <w:noProof/>
                <w:sz w:val="20"/>
                <w:szCs w:val="24"/>
                <w:lang w:eastAsia="en-GB"/>
              </w:rPr>
            </w:pPr>
            <w:r w:rsidRPr="00DC026E">
              <w:rPr>
                <w:rFonts w:eastAsia="MS Mincho"/>
                <w:iCs/>
                <w:noProof/>
                <w:sz w:val="20"/>
                <w:szCs w:val="24"/>
                <w:lang w:eastAsia="en-GB"/>
              </w:rPr>
              <w:t>The maximum number of UL subbands for SBFD operation in an SBFD symbol (excluding legacy UL symbol) within a TDD carrier is one for the study in RAN1.</w:t>
            </w:r>
          </w:p>
          <w:p w14:paraId="4D5BBD0E" w14:textId="77777777" w:rsidR="00DC026E" w:rsidRPr="00DC026E" w:rsidRDefault="00DC026E" w:rsidP="00DC026E">
            <w:pPr>
              <w:numPr>
                <w:ilvl w:val="0"/>
                <w:numId w:val="41"/>
              </w:numPr>
              <w:autoSpaceDE w:val="0"/>
              <w:autoSpaceDN w:val="0"/>
              <w:adjustRightInd w:val="0"/>
              <w:spacing w:after="0" w:afterAutospacing="0"/>
              <w:rPr>
                <w:rFonts w:eastAsia="MS Mincho"/>
                <w:iCs/>
                <w:noProof/>
                <w:sz w:val="20"/>
                <w:szCs w:val="24"/>
                <w:lang w:eastAsia="en-GB"/>
              </w:rPr>
            </w:pPr>
            <w:r w:rsidRPr="00DC026E">
              <w:rPr>
                <w:rFonts w:eastAsia="MS Mincho"/>
                <w:iCs/>
                <w:noProof/>
                <w:sz w:val="20"/>
                <w:szCs w:val="24"/>
                <w:lang w:eastAsia="en-GB"/>
              </w:rPr>
              <w:t>The UL subband can be located at one side of the carrier.</w:t>
            </w:r>
          </w:p>
          <w:p w14:paraId="53709DA6" w14:textId="77777777" w:rsidR="00DC026E" w:rsidRPr="00DC026E" w:rsidRDefault="00DC026E" w:rsidP="00DC026E">
            <w:pPr>
              <w:numPr>
                <w:ilvl w:val="0"/>
                <w:numId w:val="41"/>
              </w:numPr>
              <w:autoSpaceDE w:val="0"/>
              <w:autoSpaceDN w:val="0"/>
              <w:adjustRightInd w:val="0"/>
              <w:spacing w:after="0" w:afterAutospacing="0"/>
              <w:rPr>
                <w:rFonts w:eastAsia="MS Mincho"/>
                <w:iCs/>
                <w:noProof/>
                <w:sz w:val="20"/>
                <w:szCs w:val="24"/>
                <w:lang w:eastAsia="en-GB"/>
              </w:rPr>
            </w:pPr>
            <w:r w:rsidRPr="00DC026E">
              <w:rPr>
                <w:rFonts w:eastAsia="MS Mincho"/>
                <w:iCs/>
                <w:noProof/>
                <w:sz w:val="20"/>
                <w:szCs w:val="24"/>
                <w:lang w:eastAsia="en-GB"/>
              </w:rPr>
              <w:t>The UL subband can be located at the middle part of the carrier, subject to RAN4’s study and conclusion</w:t>
            </w:r>
          </w:p>
          <w:p w14:paraId="225CC1CC" w14:textId="77777777" w:rsidR="00DC026E" w:rsidRPr="00DC026E" w:rsidRDefault="00DC026E" w:rsidP="00DC026E">
            <w:pPr>
              <w:autoSpaceDE w:val="0"/>
              <w:autoSpaceDN w:val="0"/>
              <w:adjustRightInd w:val="0"/>
              <w:spacing w:after="0" w:afterAutospacing="0"/>
              <w:rPr>
                <w:rFonts w:eastAsia="MS Mincho"/>
                <w:iCs/>
                <w:noProof/>
                <w:sz w:val="20"/>
                <w:szCs w:val="24"/>
                <w:lang w:eastAsia="en-GB"/>
              </w:rPr>
            </w:pPr>
            <w:r w:rsidRPr="00DC026E">
              <w:rPr>
                <w:rFonts w:eastAsia="MS Mincho"/>
                <w:iCs/>
                <w:noProof/>
                <w:sz w:val="20"/>
                <w:szCs w:val="24"/>
                <w:lang w:eastAsia="en-GB"/>
              </w:rPr>
              <w:t>Note: RAN1 considers the above two possibilities unless RAN4 concludes that any one is infeasible.</w:t>
            </w:r>
          </w:p>
          <w:p w14:paraId="5B837671" w14:textId="77777777" w:rsidR="00DC026E" w:rsidRPr="00DC026E" w:rsidRDefault="00DC026E" w:rsidP="00DC026E">
            <w:pPr>
              <w:autoSpaceDE w:val="0"/>
              <w:autoSpaceDN w:val="0"/>
              <w:adjustRightInd w:val="0"/>
              <w:spacing w:after="0" w:afterAutospacing="0"/>
              <w:rPr>
                <w:rFonts w:eastAsia="MS Mincho"/>
                <w:iCs/>
                <w:noProof/>
                <w:sz w:val="20"/>
                <w:szCs w:val="24"/>
                <w:lang w:eastAsia="en-GB"/>
              </w:rPr>
            </w:pPr>
            <w:r w:rsidRPr="00DC026E">
              <w:rPr>
                <w:rFonts w:eastAsia="MS Mincho"/>
                <w:iCs/>
                <w:noProof/>
                <w:sz w:val="20"/>
                <w:szCs w:val="24"/>
                <w:lang w:eastAsia="en-GB"/>
              </w:rPr>
              <w:t>Note: Two UL subbands for SBFD operation in an SBFD symbol within a TDD carrier due to SBFD operation in legacy UL symbols is subject to further RAN1 discussions which is 2</w:t>
            </w:r>
            <w:r w:rsidRPr="00DC026E">
              <w:rPr>
                <w:rFonts w:eastAsia="MS Mincho"/>
                <w:iCs/>
                <w:noProof/>
                <w:sz w:val="20"/>
                <w:szCs w:val="24"/>
                <w:vertAlign w:val="superscript"/>
                <w:lang w:eastAsia="en-GB"/>
              </w:rPr>
              <w:t>nd</w:t>
            </w:r>
            <w:r w:rsidRPr="00DC026E">
              <w:rPr>
                <w:rFonts w:eastAsia="MS Mincho"/>
                <w:iCs/>
                <w:noProof/>
                <w:sz w:val="20"/>
                <w:szCs w:val="24"/>
                <w:lang w:eastAsia="en-GB"/>
              </w:rPr>
              <w:t xml:space="preserve"> priority as per RAN guidance.</w:t>
            </w:r>
          </w:p>
          <w:p w14:paraId="5D63A3E4" w14:textId="77777777" w:rsidR="00DC026E" w:rsidRPr="00DC026E" w:rsidRDefault="00DC026E" w:rsidP="00DC026E">
            <w:pPr>
              <w:autoSpaceDE w:val="0"/>
              <w:autoSpaceDN w:val="0"/>
              <w:adjustRightInd w:val="0"/>
              <w:spacing w:after="0" w:afterAutospacing="0"/>
              <w:rPr>
                <w:rFonts w:eastAsia="MS Mincho"/>
                <w:iCs/>
                <w:noProof/>
                <w:sz w:val="20"/>
                <w:szCs w:val="24"/>
                <w:lang w:eastAsia="en-GB"/>
              </w:rPr>
            </w:pPr>
            <w:r w:rsidRPr="00DC026E">
              <w:rPr>
                <w:rFonts w:eastAsia="MS Mincho"/>
                <w:iCs/>
                <w:noProof/>
                <w:sz w:val="20"/>
                <w:szCs w:val="24"/>
                <w:lang w:eastAsia="en-GB"/>
              </w:rPr>
              <w:t>Send an LS to RAN4 to inform the above agreement. If RAN4 has response, it will be taken into account but in the meanwhile, RAN1 work will continue based on the above.</w:t>
            </w:r>
          </w:p>
          <w:p w14:paraId="52934FAC" w14:textId="77777777" w:rsidR="00DC026E" w:rsidRPr="00DC026E" w:rsidRDefault="00DC026E" w:rsidP="00DC026E">
            <w:pPr>
              <w:autoSpaceDE w:val="0"/>
              <w:autoSpaceDN w:val="0"/>
              <w:adjustRightInd w:val="0"/>
              <w:spacing w:after="0" w:afterAutospacing="0"/>
              <w:rPr>
                <w:rFonts w:eastAsia="MS Mincho"/>
                <w:iCs/>
                <w:noProof/>
                <w:sz w:val="20"/>
                <w:szCs w:val="24"/>
                <w:lang w:val="en-US" w:eastAsia="en-GB"/>
              </w:rPr>
            </w:pPr>
            <w:r w:rsidRPr="00DC026E">
              <w:rPr>
                <w:rFonts w:eastAsia="MS Mincho"/>
                <w:iCs/>
                <w:noProof/>
                <w:sz w:val="20"/>
                <w:szCs w:val="24"/>
                <w:lang w:val="en-US" w:eastAsia="en-GB"/>
              </w:rPr>
              <w:t>LS on maximum number of UL subbands for duplex evolution to RAN4 is endorsed. Final LS in R1-2210671.</w:t>
            </w:r>
          </w:p>
          <w:p w14:paraId="5CFE08D5" w14:textId="77777777" w:rsidR="00DC026E" w:rsidRDefault="00DC026E" w:rsidP="00DC026E">
            <w:pPr>
              <w:autoSpaceDE w:val="0"/>
              <w:autoSpaceDN w:val="0"/>
              <w:adjustRightInd w:val="0"/>
              <w:spacing w:after="0" w:afterAutospacing="0"/>
              <w:rPr>
                <w:rFonts w:eastAsia="MS Mincho"/>
                <w:iCs/>
                <w:noProof/>
                <w:sz w:val="20"/>
                <w:szCs w:val="24"/>
                <w:lang w:eastAsia="en-GB"/>
              </w:rPr>
            </w:pPr>
          </w:p>
          <w:p w14:paraId="2A70D88A" w14:textId="15D30F48" w:rsidR="00DC026E" w:rsidRPr="00DC026E" w:rsidRDefault="00DC026E" w:rsidP="00DC026E">
            <w:pPr>
              <w:autoSpaceDE w:val="0"/>
              <w:autoSpaceDN w:val="0"/>
              <w:adjustRightInd w:val="0"/>
              <w:spacing w:after="0" w:afterAutospacing="0"/>
              <w:rPr>
                <w:rFonts w:eastAsia="MS Mincho"/>
                <w:iCs/>
                <w:noProof/>
                <w:sz w:val="20"/>
                <w:szCs w:val="24"/>
                <w:lang w:eastAsia="en-GB"/>
              </w:rPr>
            </w:pPr>
          </w:p>
        </w:tc>
      </w:tr>
    </w:tbl>
    <w:p w14:paraId="3A87449D" w14:textId="12746BCA" w:rsidR="006A02A0" w:rsidRDefault="006A02A0" w:rsidP="006A02A0">
      <w:pPr>
        <w:autoSpaceDE w:val="0"/>
        <w:autoSpaceDN w:val="0"/>
        <w:adjustRightInd w:val="0"/>
        <w:spacing w:after="0" w:afterAutospacing="0"/>
        <w:rPr>
          <w:rFonts w:eastAsiaTheme="minorEastAsia" w:cs="Arial"/>
          <w:szCs w:val="24"/>
        </w:rPr>
      </w:pPr>
    </w:p>
    <w:p w14:paraId="1757F2B0" w14:textId="48CD3FEB" w:rsidR="00253955" w:rsidRPr="00253955" w:rsidRDefault="00253955" w:rsidP="00253955">
      <w:pPr>
        <w:pStyle w:val="Heading1"/>
        <w:spacing w:after="180"/>
      </w:pPr>
      <w:r>
        <w:t>SBFD subband configuration</w:t>
      </w:r>
    </w:p>
    <w:p w14:paraId="5E25E153" w14:textId="3B3A5864" w:rsidR="00A077CC" w:rsidRDefault="00DF002B" w:rsidP="00232DFB">
      <w:pPr>
        <w:pStyle w:val="Heading1"/>
        <w:numPr>
          <w:ilvl w:val="1"/>
          <w:numId w:val="1"/>
        </w:numPr>
        <w:spacing w:after="180"/>
      </w:pPr>
      <w:r>
        <w:t xml:space="preserve">SBFD </w:t>
      </w:r>
      <w:r w:rsidR="0097330B">
        <w:t xml:space="preserve">subband </w:t>
      </w:r>
      <w:r w:rsidR="00EE2EDF">
        <w:t>definition</w:t>
      </w:r>
    </w:p>
    <w:p w14:paraId="43E29E25" w14:textId="4B4B6B52" w:rsidR="00A50930" w:rsidRDefault="00A50930"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The following agreement has been made for SBFD subband definition at RAN1#110 meeting [2].</w:t>
      </w:r>
    </w:p>
    <w:tbl>
      <w:tblPr>
        <w:tblStyle w:val="TableGrid"/>
        <w:tblW w:w="0" w:type="auto"/>
        <w:tblLook w:val="04A0" w:firstRow="1" w:lastRow="0" w:firstColumn="1" w:lastColumn="0" w:noHBand="0" w:noVBand="1"/>
      </w:tblPr>
      <w:tblGrid>
        <w:gridCol w:w="9954"/>
      </w:tblGrid>
      <w:tr w:rsidR="00A50930" w14:paraId="13527096" w14:textId="77777777" w:rsidTr="00315774">
        <w:tc>
          <w:tcPr>
            <w:tcW w:w="9954" w:type="dxa"/>
            <w:tcBorders>
              <w:top w:val="single" w:sz="4" w:space="0" w:color="auto"/>
              <w:left w:val="single" w:sz="4" w:space="0" w:color="auto"/>
              <w:bottom w:val="single" w:sz="4" w:space="0" w:color="auto"/>
              <w:right w:val="single" w:sz="4" w:space="0" w:color="auto"/>
            </w:tcBorders>
          </w:tcPr>
          <w:p w14:paraId="3A85C64A" w14:textId="77777777" w:rsidR="00A50930" w:rsidRPr="00081752" w:rsidRDefault="00A50930" w:rsidP="00A50930">
            <w:pPr>
              <w:autoSpaceDE w:val="0"/>
              <w:autoSpaceDN w:val="0"/>
              <w:adjustRightInd w:val="0"/>
              <w:spacing w:after="0" w:afterAutospacing="0"/>
              <w:rPr>
                <w:rFonts w:eastAsia="MS Mincho"/>
                <w:b/>
                <w:noProof/>
                <w:sz w:val="20"/>
                <w:szCs w:val="24"/>
                <w:highlight w:val="green"/>
                <w:lang w:eastAsia="en-GB"/>
              </w:rPr>
            </w:pPr>
            <w:r w:rsidRPr="00081752">
              <w:rPr>
                <w:rFonts w:eastAsia="MS Mincho"/>
                <w:b/>
                <w:noProof/>
                <w:sz w:val="20"/>
                <w:szCs w:val="24"/>
                <w:highlight w:val="green"/>
                <w:lang w:eastAsia="en-GB"/>
              </w:rPr>
              <w:t>Agreement</w:t>
            </w:r>
          </w:p>
          <w:p w14:paraId="3914E158" w14:textId="77777777" w:rsidR="00A50930" w:rsidRPr="00081752" w:rsidRDefault="00A50930" w:rsidP="00A50930">
            <w:pPr>
              <w:autoSpaceDE w:val="0"/>
              <w:autoSpaceDN w:val="0"/>
              <w:adjustRightInd w:val="0"/>
              <w:spacing w:after="0" w:afterAutospacing="0"/>
              <w:rPr>
                <w:rFonts w:eastAsia="MS Mincho"/>
                <w:bCs/>
                <w:noProof/>
                <w:sz w:val="20"/>
                <w:szCs w:val="24"/>
                <w:lang w:eastAsia="en-GB"/>
              </w:rPr>
            </w:pPr>
            <w:r w:rsidRPr="00081752">
              <w:rPr>
                <w:rFonts w:eastAsia="MS Mincho"/>
                <w:bCs/>
                <w:noProof/>
                <w:sz w:val="20"/>
                <w:szCs w:val="24"/>
                <w:lang w:eastAsia="en-GB"/>
              </w:rPr>
              <w:t>For indication of subband locations for SBFD operation, study semi-static configuration of subband time and frequency location as baseline.</w:t>
            </w:r>
          </w:p>
          <w:p w14:paraId="11BCCEB3" w14:textId="77777777" w:rsidR="00A50930" w:rsidRPr="00DC026E" w:rsidRDefault="00A50930" w:rsidP="00315774">
            <w:pPr>
              <w:autoSpaceDE w:val="0"/>
              <w:autoSpaceDN w:val="0"/>
              <w:adjustRightInd w:val="0"/>
              <w:spacing w:after="0" w:afterAutospacing="0"/>
              <w:rPr>
                <w:rFonts w:eastAsia="MS Mincho"/>
                <w:iCs/>
                <w:noProof/>
                <w:sz w:val="20"/>
                <w:szCs w:val="24"/>
                <w:lang w:eastAsia="en-GB"/>
              </w:rPr>
            </w:pPr>
          </w:p>
        </w:tc>
      </w:tr>
    </w:tbl>
    <w:p w14:paraId="5CB5EFE0" w14:textId="77777777" w:rsidR="00A50930" w:rsidRDefault="00A50930" w:rsidP="00A50930">
      <w:pPr>
        <w:autoSpaceDE w:val="0"/>
        <w:autoSpaceDN w:val="0"/>
        <w:adjustRightInd w:val="0"/>
        <w:spacing w:after="0" w:afterAutospacing="0"/>
        <w:rPr>
          <w:rFonts w:eastAsiaTheme="minorEastAsia" w:cs="Arial"/>
          <w:szCs w:val="24"/>
        </w:rPr>
      </w:pPr>
    </w:p>
    <w:p w14:paraId="24A81826" w14:textId="0885361E" w:rsidR="00A50930" w:rsidRDefault="00A50930" w:rsidP="00A5093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lastRenderedPageBreak/>
        <w:t>Figure 1 shows an example SBFD configuration for baseline assumption. There is a UL subband whose time/frequency location is configured with semi-static manner. SBFD region is defined as a set of SBFD symbols where the SBFD symbols are symbols with subbands that gNB would use for SBFD operation, as agreed at RAN1#109 meeting [3].</w:t>
      </w:r>
    </w:p>
    <w:tbl>
      <w:tblPr>
        <w:tblStyle w:val="TableGrid"/>
        <w:tblW w:w="0" w:type="auto"/>
        <w:tblLook w:val="04A0" w:firstRow="1" w:lastRow="0" w:firstColumn="1" w:lastColumn="0" w:noHBand="0" w:noVBand="1"/>
      </w:tblPr>
      <w:tblGrid>
        <w:gridCol w:w="9954"/>
      </w:tblGrid>
      <w:tr w:rsidR="00A50930" w14:paraId="0F6F1493" w14:textId="77777777" w:rsidTr="00315774">
        <w:tc>
          <w:tcPr>
            <w:tcW w:w="9954" w:type="dxa"/>
            <w:tcBorders>
              <w:top w:val="single" w:sz="4" w:space="0" w:color="auto"/>
              <w:left w:val="single" w:sz="4" w:space="0" w:color="auto"/>
              <w:bottom w:val="single" w:sz="4" w:space="0" w:color="auto"/>
              <w:right w:val="single" w:sz="4" w:space="0" w:color="auto"/>
            </w:tcBorders>
          </w:tcPr>
          <w:p w14:paraId="1DCD96D8" w14:textId="77777777" w:rsidR="00A50930" w:rsidRPr="00A50930" w:rsidRDefault="00A50930" w:rsidP="00A50930">
            <w:pPr>
              <w:autoSpaceDE w:val="0"/>
              <w:autoSpaceDN w:val="0"/>
              <w:adjustRightInd w:val="0"/>
              <w:spacing w:after="0" w:afterAutospacing="0"/>
              <w:rPr>
                <w:rFonts w:eastAsia="MS Mincho"/>
                <w:b/>
                <w:noProof/>
                <w:sz w:val="20"/>
                <w:szCs w:val="24"/>
                <w:lang w:eastAsia="en-GB"/>
              </w:rPr>
            </w:pPr>
            <w:r w:rsidRPr="00A50930">
              <w:rPr>
                <w:rFonts w:eastAsia="MS Mincho"/>
                <w:b/>
                <w:noProof/>
                <w:sz w:val="20"/>
                <w:szCs w:val="24"/>
                <w:lang w:eastAsia="en-GB"/>
              </w:rPr>
              <w:t>Conclusion</w:t>
            </w:r>
          </w:p>
          <w:p w14:paraId="7320A6F2" w14:textId="77777777" w:rsidR="00A50930" w:rsidRPr="00A50930" w:rsidRDefault="00A50930" w:rsidP="00A50930">
            <w:pPr>
              <w:autoSpaceDE w:val="0"/>
              <w:autoSpaceDN w:val="0"/>
              <w:adjustRightInd w:val="0"/>
              <w:spacing w:after="0" w:afterAutospacing="0"/>
              <w:rPr>
                <w:rFonts w:eastAsia="MS Mincho"/>
                <w:bCs/>
                <w:noProof/>
                <w:sz w:val="20"/>
                <w:szCs w:val="24"/>
                <w:lang w:eastAsia="en-GB"/>
              </w:rPr>
            </w:pPr>
            <w:r w:rsidRPr="00A50930">
              <w:rPr>
                <w:rFonts w:eastAsia="MS Mincho" w:hint="eastAsia"/>
                <w:bCs/>
                <w:noProof/>
                <w:sz w:val="20"/>
                <w:szCs w:val="24"/>
                <w:lang w:eastAsia="en-GB"/>
              </w:rPr>
              <w:t>For discussion purpose</w:t>
            </w:r>
            <w:r w:rsidRPr="00A50930">
              <w:rPr>
                <w:rFonts w:eastAsia="MS Mincho"/>
                <w:bCs/>
                <w:noProof/>
                <w:sz w:val="20"/>
                <w:szCs w:val="24"/>
                <w:lang w:eastAsia="en-GB"/>
              </w:rPr>
              <w:t xml:space="preserve"> only</w:t>
            </w:r>
            <w:r w:rsidRPr="00A50930">
              <w:rPr>
                <w:rFonts w:eastAsia="MS Mincho" w:hint="eastAsia"/>
                <w:bCs/>
                <w:noProof/>
                <w:sz w:val="20"/>
                <w:szCs w:val="24"/>
                <w:lang w:eastAsia="en-GB"/>
              </w:rPr>
              <w:t>, SBFD symbols is defined as symbols with subbands that gNB would use for SBFD operation</w:t>
            </w:r>
            <w:r w:rsidRPr="00A50930">
              <w:rPr>
                <w:rFonts w:eastAsia="MS Mincho"/>
                <w:bCs/>
                <w:noProof/>
                <w:sz w:val="20"/>
                <w:szCs w:val="24"/>
                <w:lang w:eastAsia="en-GB"/>
              </w:rPr>
              <w:t xml:space="preserve">. </w:t>
            </w:r>
          </w:p>
          <w:p w14:paraId="3F99EEE8" w14:textId="77777777" w:rsidR="00A50930" w:rsidRPr="00DC026E" w:rsidRDefault="00A50930" w:rsidP="00315774">
            <w:pPr>
              <w:autoSpaceDE w:val="0"/>
              <w:autoSpaceDN w:val="0"/>
              <w:adjustRightInd w:val="0"/>
              <w:spacing w:after="0" w:afterAutospacing="0"/>
              <w:rPr>
                <w:rFonts w:eastAsia="MS Mincho"/>
                <w:iCs/>
                <w:noProof/>
                <w:sz w:val="20"/>
                <w:szCs w:val="24"/>
                <w:lang w:eastAsia="en-GB"/>
              </w:rPr>
            </w:pPr>
          </w:p>
        </w:tc>
      </w:tr>
    </w:tbl>
    <w:p w14:paraId="3374FA29" w14:textId="77777777" w:rsidR="00A50930" w:rsidRDefault="00A50930" w:rsidP="00A50930">
      <w:pPr>
        <w:autoSpaceDE w:val="0"/>
        <w:autoSpaceDN w:val="0"/>
        <w:adjustRightInd w:val="0"/>
        <w:spacing w:after="0" w:afterAutospacing="0"/>
        <w:rPr>
          <w:rFonts w:eastAsiaTheme="minorEastAsia" w:cs="Arial"/>
          <w:szCs w:val="24"/>
        </w:rPr>
      </w:pPr>
    </w:p>
    <w:p w14:paraId="5560C1C6" w14:textId="2244017A" w:rsidR="00A50930" w:rsidRDefault="008A12FB" w:rsidP="00EE2EDF">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Here, it should be noted that t</w:t>
      </w:r>
      <w:r w:rsidR="00A50930">
        <w:rPr>
          <w:rFonts w:eastAsia="MS Gothic"/>
          <w:sz w:val="24"/>
          <w:lang w:val="en-GB" w:eastAsia="ja-JP"/>
        </w:rPr>
        <w:t xml:space="preserve">he above agreement should be understood that subbands are not necessarily used for SBFD operation, but maybe used for SBFD operation. </w:t>
      </w:r>
    </w:p>
    <w:p w14:paraId="7985C35F" w14:textId="38DDE26B" w:rsidR="00A50930" w:rsidRPr="003F2F19" w:rsidRDefault="00A50930" w:rsidP="00EE2EDF">
      <w:pPr>
        <w:pStyle w:val="Style1"/>
        <w:snapToGrid w:val="0"/>
        <w:spacing w:line="240" w:lineRule="auto"/>
        <w:ind w:firstLine="0"/>
        <w:contextualSpacing w:val="0"/>
        <w:rPr>
          <w:rFonts w:eastAsia="MS Gothic"/>
          <w:b/>
          <w:bCs/>
          <w:sz w:val="24"/>
          <w:lang w:val="en-GB" w:eastAsia="ja-JP"/>
        </w:rPr>
      </w:pPr>
      <w:r w:rsidRPr="003F2F19">
        <w:rPr>
          <w:rFonts w:eastAsia="MS Gothic"/>
          <w:b/>
          <w:bCs/>
          <w:sz w:val="24"/>
          <w:lang w:val="en-GB" w:eastAsia="ja-JP"/>
        </w:rPr>
        <w:t xml:space="preserve">Observation 1: </w:t>
      </w:r>
      <w:r w:rsidR="008A12FB">
        <w:rPr>
          <w:rFonts w:eastAsia="MS Gothic"/>
          <w:b/>
          <w:bCs/>
          <w:sz w:val="24"/>
          <w:lang w:val="en-GB" w:eastAsia="ja-JP"/>
        </w:rPr>
        <w:t>As baseline for study, s</w:t>
      </w:r>
      <w:r w:rsidRPr="003F2F19">
        <w:rPr>
          <w:rFonts w:eastAsia="MS Gothic"/>
          <w:b/>
          <w:bCs/>
          <w:sz w:val="24"/>
          <w:lang w:val="en-GB" w:eastAsia="ja-JP"/>
        </w:rPr>
        <w:t xml:space="preserve">ubbands are a set of resources defined by time/frequency </w:t>
      </w:r>
      <w:r w:rsidR="003F2F19" w:rsidRPr="003F2F19">
        <w:rPr>
          <w:rFonts w:eastAsia="MS Gothic"/>
          <w:b/>
          <w:bCs/>
          <w:sz w:val="24"/>
          <w:lang w:val="en-GB" w:eastAsia="ja-JP"/>
        </w:rPr>
        <w:t xml:space="preserve">region which is </w:t>
      </w:r>
      <w:r w:rsidRPr="003F2F19">
        <w:rPr>
          <w:rFonts w:eastAsia="MS Gothic"/>
          <w:b/>
          <w:bCs/>
          <w:sz w:val="24"/>
          <w:lang w:val="en-GB" w:eastAsia="ja-JP"/>
        </w:rPr>
        <w:t xml:space="preserve">semi-statically configured by </w:t>
      </w:r>
      <w:r w:rsidR="003F2F19" w:rsidRPr="003F2F19">
        <w:rPr>
          <w:rFonts w:eastAsia="MS Gothic"/>
          <w:b/>
          <w:bCs/>
          <w:sz w:val="24"/>
          <w:lang w:val="en-GB" w:eastAsia="ja-JP"/>
        </w:rPr>
        <w:t>gNB. The subbands are not necessarily used for SBFD operation, but maybe used for SBFD operation.</w:t>
      </w:r>
    </w:p>
    <w:tbl>
      <w:tblPr>
        <w:tblStyle w:val="TableGrid"/>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948"/>
      </w:tblGrid>
      <w:tr w:rsidR="00A50930" w14:paraId="3B0A0943" w14:textId="77777777" w:rsidTr="00315774">
        <w:trPr>
          <w:jc w:val="center"/>
        </w:trPr>
        <w:tc>
          <w:tcPr>
            <w:tcW w:w="4948" w:type="dxa"/>
          </w:tcPr>
          <w:p w14:paraId="10FC5308" w14:textId="1E6BED5E" w:rsidR="00A50930" w:rsidRDefault="00A50930" w:rsidP="00315774">
            <w:r>
              <w:object w:dxaOrig="15855" w:dyaOrig="9990" w14:anchorId="67E516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35pt;height:146.35pt" o:ole="">
                  <v:imagedata r:id="rId8" o:title=""/>
                </v:shape>
                <o:OLEObject Type="Embed" ProgID="Visio.Drawing.15" ShapeID="_x0000_i1025" DrawAspect="Content" ObjectID="_1729269675" r:id="rId9"/>
              </w:object>
            </w:r>
          </w:p>
        </w:tc>
      </w:tr>
      <w:tr w:rsidR="00A50930" w14:paraId="5197A8D5" w14:textId="77777777" w:rsidTr="00315774">
        <w:trPr>
          <w:jc w:val="center"/>
        </w:trPr>
        <w:tc>
          <w:tcPr>
            <w:tcW w:w="4948" w:type="dxa"/>
          </w:tcPr>
          <w:p w14:paraId="0B122164" w14:textId="77777777" w:rsidR="00A50930" w:rsidRDefault="00A50930" w:rsidP="00315774">
            <w:pPr>
              <w:jc w:val="center"/>
            </w:pPr>
            <w:r>
              <w:t>Figure 1A: Legacy TDD pattern</w:t>
            </w:r>
          </w:p>
        </w:tc>
      </w:tr>
    </w:tbl>
    <w:p w14:paraId="54D8DAF1" w14:textId="77777777" w:rsidR="00A50930" w:rsidRDefault="00A50930" w:rsidP="00EE2EDF">
      <w:pPr>
        <w:pStyle w:val="Style1"/>
        <w:snapToGrid w:val="0"/>
        <w:spacing w:line="240" w:lineRule="auto"/>
        <w:ind w:firstLine="0"/>
        <w:contextualSpacing w:val="0"/>
        <w:rPr>
          <w:rFonts w:eastAsia="MS Gothic"/>
          <w:sz w:val="24"/>
          <w:lang w:val="en-GB" w:eastAsia="ja-JP"/>
        </w:rPr>
      </w:pPr>
    </w:p>
    <w:p w14:paraId="627EF3CE" w14:textId="3E0C03AD" w:rsidR="00A50930" w:rsidRDefault="001A5DBD" w:rsidP="00EE2EDF">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The usage of UL subband which is semi-statically configured should be flexible. There are several motivations listed as follows:</w:t>
      </w:r>
    </w:p>
    <w:p w14:paraId="6DF5C88E" w14:textId="1D537D88" w:rsidR="001A5DBD" w:rsidRDefault="001A5DBD" w:rsidP="001A5DBD">
      <w:pPr>
        <w:pStyle w:val="Style1"/>
        <w:numPr>
          <w:ilvl w:val="0"/>
          <w:numId w:val="43"/>
        </w:numPr>
        <w:snapToGrid w:val="0"/>
        <w:spacing w:line="240" w:lineRule="auto"/>
        <w:contextualSpacing w:val="0"/>
        <w:rPr>
          <w:rFonts w:eastAsia="MS Gothic"/>
          <w:sz w:val="24"/>
          <w:lang w:val="en-GB" w:eastAsia="ja-JP"/>
        </w:rPr>
      </w:pPr>
      <w:r>
        <w:rPr>
          <w:rFonts w:eastAsia="MS Gothic"/>
          <w:sz w:val="24"/>
          <w:lang w:val="en-GB" w:eastAsia="ja-JP"/>
        </w:rPr>
        <w:t>Support dynamic TDD within a legacy TDD carrier</w:t>
      </w:r>
    </w:p>
    <w:p w14:paraId="01F65A62" w14:textId="4D13696B" w:rsidR="001A5DBD" w:rsidRDefault="001A5DBD" w:rsidP="001A5DBD">
      <w:pPr>
        <w:pStyle w:val="Style1"/>
        <w:numPr>
          <w:ilvl w:val="0"/>
          <w:numId w:val="43"/>
        </w:numPr>
        <w:snapToGrid w:val="0"/>
        <w:spacing w:line="240" w:lineRule="auto"/>
        <w:contextualSpacing w:val="0"/>
        <w:rPr>
          <w:rFonts w:eastAsia="MS Gothic"/>
          <w:sz w:val="24"/>
          <w:lang w:val="en-GB" w:eastAsia="ja-JP"/>
        </w:rPr>
      </w:pPr>
      <w:r>
        <w:rPr>
          <w:rFonts w:eastAsia="MS Gothic"/>
          <w:sz w:val="24"/>
          <w:lang w:val="en-GB" w:eastAsia="ja-JP"/>
        </w:rPr>
        <w:t>Cater for legacy UEs DL traffic</w:t>
      </w:r>
    </w:p>
    <w:p w14:paraId="63E6CF10" w14:textId="58D7BB01" w:rsidR="001A5DBD" w:rsidRDefault="001A5DBD" w:rsidP="001A5DBD">
      <w:pPr>
        <w:pStyle w:val="Style1"/>
        <w:numPr>
          <w:ilvl w:val="0"/>
          <w:numId w:val="43"/>
        </w:numPr>
        <w:snapToGrid w:val="0"/>
        <w:spacing w:line="240" w:lineRule="auto"/>
        <w:contextualSpacing w:val="0"/>
        <w:rPr>
          <w:rFonts w:eastAsia="MS Gothic"/>
          <w:sz w:val="24"/>
          <w:lang w:val="en-GB" w:eastAsia="ja-JP"/>
        </w:rPr>
      </w:pPr>
      <w:r>
        <w:rPr>
          <w:rFonts w:eastAsia="MS Gothic"/>
          <w:sz w:val="24"/>
          <w:lang w:val="en-GB" w:eastAsia="ja-JP"/>
        </w:rPr>
        <w:t xml:space="preserve">Secure resources for cell-specific signalling (e.g., SS/PBCH blocks) </w:t>
      </w:r>
    </w:p>
    <w:p w14:paraId="5635A3DD" w14:textId="311DD6D1" w:rsidR="001A5DBD" w:rsidRPr="001A5DBD" w:rsidRDefault="001A5DBD" w:rsidP="001A5DBD">
      <w:pPr>
        <w:pStyle w:val="Style1"/>
        <w:snapToGrid w:val="0"/>
        <w:spacing w:line="240" w:lineRule="auto"/>
        <w:ind w:firstLine="0"/>
        <w:contextualSpacing w:val="0"/>
        <w:jc w:val="left"/>
        <w:rPr>
          <w:rFonts w:eastAsia="MS Gothic"/>
          <w:sz w:val="24"/>
          <w:u w:val="single"/>
          <w:lang w:val="en-GB" w:eastAsia="ja-JP"/>
        </w:rPr>
      </w:pPr>
      <w:r w:rsidRPr="001A5DBD">
        <w:rPr>
          <w:rFonts w:eastAsia="MS Gothic"/>
          <w:sz w:val="24"/>
          <w:u w:val="single"/>
          <w:lang w:val="en-GB" w:eastAsia="ja-JP"/>
        </w:rPr>
        <w:t>Support dynamic TDD within a legacy TDD carrier</w:t>
      </w:r>
    </w:p>
    <w:p w14:paraId="281C56C5" w14:textId="427F30C7" w:rsidR="001A5DBD" w:rsidRDefault="001A5DBD" w:rsidP="00EE2EDF">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One of the motivations for SBFD should be supporting dynamic TDD within a legacy TDD carrier. With operating dynamic TDD confined within middle of the carrier, operators can mitigate potential problem for cross-operator CLI.</w:t>
      </w:r>
    </w:p>
    <w:p w14:paraId="1CFA329B" w14:textId="35C19BBC" w:rsidR="001A5DBD" w:rsidRPr="001A5DBD" w:rsidRDefault="001A5DBD" w:rsidP="00EE2EDF">
      <w:pPr>
        <w:pStyle w:val="Style1"/>
        <w:snapToGrid w:val="0"/>
        <w:spacing w:line="240" w:lineRule="auto"/>
        <w:ind w:firstLine="0"/>
        <w:contextualSpacing w:val="0"/>
        <w:rPr>
          <w:rFonts w:eastAsia="MS Gothic"/>
          <w:sz w:val="24"/>
          <w:u w:val="single"/>
          <w:lang w:val="en-GB" w:eastAsia="ja-JP"/>
        </w:rPr>
      </w:pPr>
      <w:r w:rsidRPr="001A5DBD">
        <w:rPr>
          <w:rFonts w:eastAsia="MS Gothic"/>
          <w:sz w:val="24"/>
          <w:u w:val="single"/>
          <w:lang w:val="en-GB" w:eastAsia="ja-JP"/>
        </w:rPr>
        <w:t>Cater for legacy UEs DL traffic</w:t>
      </w:r>
    </w:p>
    <w:p w14:paraId="1FF2EB2F" w14:textId="5F26D163" w:rsidR="00F2239A" w:rsidRDefault="001A5DBD" w:rsidP="00EE2EDF">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Semi-static UL subband configuration would lead to </w:t>
      </w:r>
      <w:r w:rsidR="00F2239A">
        <w:rPr>
          <w:rFonts w:eastAsia="MS Gothic"/>
          <w:sz w:val="24"/>
          <w:lang w:val="en-GB" w:eastAsia="ja-JP"/>
        </w:rPr>
        <w:t xml:space="preserve">shortage of legacy DL region. Although it is possible to schedule PDSCH for a legacy UE outside the UL subband in SBFD symbols, the availability is quite limited. For example, in SBFD symbols, distributed transmission for the legacy UE is not feasible, </w:t>
      </w:r>
      <w:r w:rsidR="00F2239A">
        <w:rPr>
          <w:rFonts w:eastAsia="MS Gothic"/>
          <w:sz w:val="24"/>
          <w:lang w:val="en-GB" w:eastAsia="ja-JP"/>
        </w:rPr>
        <w:lastRenderedPageBreak/>
        <w:t>due to potential collision with UL subband if the UL subband cannot be used for DL. On the other hand, since the legacy UE is not recognizing the UL subband, there is no clear motivation prohibiting for gNB to perform DL transmission dedicated for legacy UEs in the UL subband. Therefore, at this stage, we can make the following proposal:</w:t>
      </w:r>
    </w:p>
    <w:p w14:paraId="5E1688A9" w14:textId="6240D874" w:rsidR="00F2239A" w:rsidRPr="00F2239A" w:rsidRDefault="00F2239A" w:rsidP="00EE2EDF">
      <w:pPr>
        <w:pStyle w:val="Style1"/>
        <w:snapToGrid w:val="0"/>
        <w:spacing w:line="240" w:lineRule="auto"/>
        <w:ind w:firstLine="0"/>
        <w:contextualSpacing w:val="0"/>
        <w:rPr>
          <w:rFonts w:eastAsia="MS Gothic"/>
          <w:b/>
          <w:bCs/>
          <w:sz w:val="24"/>
          <w:lang w:val="en-GB" w:eastAsia="ja-JP"/>
        </w:rPr>
      </w:pPr>
      <w:r w:rsidRPr="00F2239A">
        <w:rPr>
          <w:rFonts w:eastAsia="MS Gothic"/>
          <w:b/>
          <w:bCs/>
          <w:sz w:val="24"/>
          <w:lang w:val="en-GB" w:eastAsia="ja-JP"/>
        </w:rPr>
        <w:t>Proposal 1: From gNB perspective, UL subband can be used to perform DL transmission</w:t>
      </w:r>
      <w:r>
        <w:rPr>
          <w:rFonts w:eastAsia="MS Gothic"/>
          <w:b/>
          <w:bCs/>
          <w:sz w:val="24"/>
          <w:lang w:val="en-GB" w:eastAsia="ja-JP"/>
        </w:rPr>
        <w:t xml:space="preserve"> dedicated for legacy UEs</w:t>
      </w:r>
      <w:r w:rsidRPr="00F2239A">
        <w:rPr>
          <w:rFonts w:eastAsia="MS Gothic"/>
          <w:b/>
          <w:bCs/>
          <w:sz w:val="24"/>
          <w:lang w:val="en-GB" w:eastAsia="ja-JP"/>
        </w:rPr>
        <w:t xml:space="preserve"> as well as UL reception.</w:t>
      </w:r>
    </w:p>
    <w:p w14:paraId="55240EA6" w14:textId="33B268C9" w:rsidR="001A5DBD" w:rsidRPr="00E7723B" w:rsidRDefault="00E7723B" w:rsidP="00EE2EDF">
      <w:pPr>
        <w:pStyle w:val="Style1"/>
        <w:snapToGrid w:val="0"/>
        <w:spacing w:line="240" w:lineRule="auto"/>
        <w:ind w:firstLine="0"/>
        <w:contextualSpacing w:val="0"/>
        <w:rPr>
          <w:rFonts w:eastAsia="MS Gothic"/>
          <w:sz w:val="24"/>
          <w:u w:val="single"/>
          <w:lang w:val="en-GB" w:eastAsia="ja-JP"/>
        </w:rPr>
      </w:pPr>
      <w:r w:rsidRPr="00E7723B">
        <w:rPr>
          <w:rFonts w:eastAsia="MS Gothic"/>
          <w:sz w:val="24"/>
          <w:u w:val="single"/>
          <w:lang w:val="en-GB" w:eastAsia="ja-JP"/>
        </w:rPr>
        <w:t>Secure resources for cell-specific signalling (e.g., SS/PBCH blocks)</w:t>
      </w:r>
    </w:p>
    <w:p w14:paraId="266F1E87" w14:textId="20FE61FE" w:rsidR="001A5DBD" w:rsidRDefault="008B09E8" w:rsidP="00EE2EDF">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As discussed above, semi-static UL subband configuration would lead to shortage of legacy DL region. This fact leads to potential shortage of resources for cell-specific signalling. Cell-specific signalling like SS/PBCH blocks should avoid being transmitted in symbols with simultaneous transmission/reception, to reduce potential UE-to-UE intra-cell inter-subband CLI. Therefore, UL subband should be available for such cell specific signalling at a time. Since the cell-specific signalling should be received by the SBFD capable UEs as well as legacy UEs, we make the following proposal:</w:t>
      </w:r>
    </w:p>
    <w:p w14:paraId="349D0D93" w14:textId="5258406E" w:rsidR="008B09E8" w:rsidRDefault="008B09E8" w:rsidP="00EE2EDF">
      <w:pPr>
        <w:pStyle w:val="Style1"/>
        <w:snapToGrid w:val="0"/>
        <w:spacing w:line="240" w:lineRule="auto"/>
        <w:ind w:firstLine="0"/>
        <w:contextualSpacing w:val="0"/>
        <w:rPr>
          <w:rFonts w:eastAsia="MS Gothic"/>
          <w:b/>
          <w:bCs/>
          <w:sz w:val="24"/>
          <w:lang w:val="en-GB" w:eastAsia="ja-JP"/>
        </w:rPr>
      </w:pPr>
      <w:r w:rsidRPr="008B09E8">
        <w:rPr>
          <w:rFonts w:eastAsia="MS Gothic"/>
          <w:b/>
          <w:bCs/>
          <w:sz w:val="24"/>
          <w:lang w:val="en-GB" w:eastAsia="ja-JP"/>
        </w:rPr>
        <w:t xml:space="preserve">Proposal 2: From SBFD capable UE perspective, </w:t>
      </w:r>
      <w:r w:rsidRPr="00F2239A">
        <w:rPr>
          <w:rFonts w:eastAsia="MS Gothic"/>
          <w:b/>
          <w:bCs/>
          <w:sz w:val="24"/>
          <w:lang w:val="en-GB" w:eastAsia="ja-JP"/>
        </w:rPr>
        <w:t xml:space="preserve">UL subband can be used to perform DL </w:t>
      </w:r>
      <w:r>
        <w:rPr>
          <w:rFonts w:eastAsia="MS Gothic"/>
          <w:b/>
          <w:bCs/>
          <w:sz w:val="24"/>
          <w:lang w:val="en-GB" w:eastAsia="ja-JP"/>
        </w:rPr>
        <w:t>reception for cell-specific signalling</w:t>
      </w:r>
      <w:r w:rsidRPr="00F2239A">
        <w:rPr>
          <w:rFonts w:eastAsia="MS Gothic"/>
          <w:b/>
          <w:bCs/>
          <w:sz w:val="24"/>
          <w:lang w:val="en-GB" w:eastAsia="ja-JP"/>
        </w:rPr>
        <w:t>.</w:t>
      </w:r>
    </w:p>
    <w:p w14:paraId="4FE4A20F" w14:textId="77777777" w:rsidR="00B775C9" w:rsidRDefault="00B775C9" w:rsidP="00EE2EDF">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With above discussion, there are strong motivations to support flexible usage of downlink and uplink for UL subband. Therefore, our proposal is as follows:</w:t>
      </w:r>
    </w:p>
    <w:p w14:paraId="1EAC8E03" w14:textId="76A0C634" w:rsidR="008B09E8" w:rsidRPr="00B775C9" w:rsidRDefault="00B775C9" w:rsidP="00EE2EDF">
      <w:pPr>
        <w:pStyle w:val="Style1"/>
        <w:snapToGrid w:val="0"/>
        <w:spacing w:line="240" w:lineRule="auto"/>
        <w:ind w:firstLine="0"/>
        <w:contextualSpacing w:val="0"/>
        <w:rPr>
          <w:rFonts w:eastAsia="MS Gothic"/>
          <w:b/>
          <w:bCs/>
          <w:sz w:val="24"/>
          <w:lang w:val="en-GB" w:eastAsia="ja-JP"/>
        </w:rPr>
      </w:pPr>
      <w:r w:rsidRPr="00B775C9">
        <w:rPr>
          <w:rFonts w:eastAsia="MS Gothic"/>
          <w:b/>
          <w:bCs/>
          <w:sz w:val="24"/>
          <w:lang w:val="en-GB" w:eastAsia="ja-JP"/>
        </w:rPr>
        <w:t>Proposal 3:</w:t>
      </w:r>
      <w:r w:rsidR="008B09E8" w:rsidRPr="00B775C9">
        <w:rPr>
          <w:rFonts w:eastAsia="MS Gothic"/>
          <w:b/>
          <w:bCs/>
          <w:sz w:val="24"/>
          <w:lang w:val="en-GB" w:eastAsia="ja-JP"/>
        </w:rPr>
        <w:t xml:space="preserve"> </w:t>
      </w:r>
      <w:r w:rsidRPr="00B775C9">
        <w:rPr>
          <w:rFonts w:eastAsia="MS Gothic"/>
          <w:b/>
          <w:bCs/>
          <w:sz w:val="24"/>
          <w:lang w:val="en-GB" w:eastAsia="ja-JP"/>
        </w:rPr>
        <w:t>From SBFD capable UE perspective, UL subband can be used to perform DL reception as well as UL transmission.</w:t>
      </w:r>
    </w:p>
    <w:p w14:paraId="1D8D5EF7" w14:textId="18D6F659" w:rsidR="00232DFB" w:rsidRDefault="00232DFB" w:rsidP="00232DFB">
      <w:pPr>
        <w:pStyle w:val="Heading1"/>
        <w:numPr>
          <w:ilvl w:val="1"/>
          <w:numId w:val="1"/>
        </w:numPr>
        <w:spacing w:after="180"/>
      </w:pPr>
      <w:r>
        <w:t>SBFD subband indication</w:t>
      </w:r>
    </w:p>
    <w:p w14:paraId="24D0077B" w14:textId="3C2EF4C3" w:rsidR="00232DFB" w:rsidRPr="00232DFB" w:rsidRDefault="00232DFB" w:rsidP="00232DFB">
      <w:r>
        <w:t>The following agreement has been made for SBFD subband indication at RAN1#110bis e-meeting [1].</w:t>
      </w:r>
    </w:p>
    <w:tbl>
      <w:tblPr>
        <w:tblStyle w:val="TableGrid"/>
        <w:tblW w:w="0" w:type="auto"/>
        <w:tblLook w:val="04A0" w:firstRow="1" w:lastRow="0" w:firstColumn="1" w:lastColumn="0" w:noHBand="0" w:noVBand="1"/>
      </w:tblPr>
      <w:tblGrid>
        <w:gridCol w:w="9954"/>
      </w:tblGrid>
      <w:tr w:rsidR="00232DFB" w14:paraId="091FF4EC" w14:textId="77777777" w:rsidTr="00315774">
        <w:tc>
          <w:tcPr>
            <w:tcW w:w="9954" w:type="dxa"/>
            <w:tcBorders>
              <w:top w:val="single" w:sz="4" w:space="0" w:color="auto"/>
              <w:left w:val="single" w:sz="4" w:space="0" w:color="auto"/>
              <w:bottom w:val="single" w:sz="4" w:space="0" w:color="auto"/>
              <w:right w:val="single" w:sz="4" w:space="0" w:color="auto"/>
            </w:tcBorders>
          </w:tcPr>
          <w:p w14:paraId="72A7BA34" w14:textId="77777777" w:rsidR="00232DFB" w:rsidRPr="00232DFB" w:rsidRDefault="00232DFB" w:rsidP="00232DFB">
            <w:pPr>
              <w:autoSpaceDE w:val="0"/>
              <w:autoSpaceDN w:val="0"/>
              <w:adjustRightInd w:val="0"/>
              <w:spacing w:after="0" w:afterAutospacing="0"/>
              <w:rPr>
                <w:rFonts w:eastAsia="MS Mincho"/>
                <w:b/>
                <w:iCs/>
                <w:noProof/>
                <w:sz w:val="20"/>
                <w:szCs w:val="24"/>
                <w:highlight w:val="green"/>
                <w:lang w:eastAsia="en-GB"/>
              </w:rPr>
            </w:pPr>
            <w:r w:rsidRPr="00232DFB">
              <w:rPr>
                <w:rFonts w:eastAsia="MS Mincho"/>
                <w:b/>
                <w:iCs/>
                <w:noProof/>
                <w:sz w:val="20"/>
                <w:szCs w:val="24"/>
                <w:highlight w:val="green"/>
                <w:lang w:eastAsia="en-GB"/>
              </w:rPr>
              <w:t>Agreement</w:t>
            </w:r>
          </w:p>
          <w:p w14:paraId="279F6064" w14:textId="77777777" w:rsidR="00232DFB" w:rsidRPr="00232DFB" w:rsidRDefault="00232DFB" w:rsidP="00232DFB">
            <w:pPr>
              <w:autoSpaceDE w:val="0"/>
              <w:autoSpaceDN w:val="0"/>
              <w:adjustRightInd w:val="0"/>
              <w:spacing w:after="0" w:afterAutospacing="0"/>
              <w:rPr>
                <w:rFonts w:eastAsia="MS Mincho"/>
                <w:bCs/>
                <w:iCs/>
                <w:noProof/>
                <w:sz w:val="20"/>
                <w:szCs w:val="24"/>
                <w:lang w:val="en-US" w:eastAsia="en-GB"/>
              </w:rPr>
            </w:pPr>
            <w:r w:rsidRPr="00232DFB">
              <w:rPr>
                <w:rFonts w:eastAsia="MS Mincho"/>
                <w:bCs/>
                <w:iCs/>
                <w:noProof/>
                <w:sz w:val="20"/>
                <w:szCs w:val="24"/>
                <w:lang w:val="en-US" w:eastAsia="en-GB"/>
              </w:rPr>
              <w:t>For semi-static configuration of subband time locations for SBFD operation, it is agreed that explicit configuration of SBFD subband time locations within a period is the baseline.</w:t>
            </w:r>
          </w:p>
          <w:p w14:paraId="7D6E3CD0" w14:textId="77777777" w:rsidR="00232DFB" w:rsidRPr="00232DFB" w:rsidRDefault="00232DFB" w:rsidP="00315774">
            <w:pPr>
              <w:autoSpaceDE w:val="0"/>
              <w:autoSpaceDN w:val="0"/>
              <w:adjustRightInd w:val="0"/>
              <w:spacing w:after="0" w:afterAutospacing="0"/>
              <w:rPr>
                <w:rFonts w:eastAsia="MS Mincho"/>
                <w:iCs/>
                <w:noProof/>
                <w:sz w:val="20"/>
                <w:szCs w:val="24"/>
                <w:lang w:val="en-US" w:eastAsia="en-GB"/>
              </w:rPr>
            </w:pPr>
          </w:p>
        </w:tc>
      </w:tr>
    </w:tbl>
    <w:p w14:paraId="2A03B0DE" w14:textId="77777777" w:rsidR="00232DFB" w:rsidRDefault="00232DFB" w:rsidP="00232DFB">
      <w:pPr>
        <w:autoSpaceDE w:val="0"/>
        <w:autoSpaceDN w:val="0"/>
        <w:adjustRightInd w:val="0"/>
        <w:spacing w:after="0" w:afterAutospacing="0"/>
        <w:rPr>
          <w:rFonts w:eastAsiaTheme="minorEastAsia" w:cs="Arial"/>
          <w:szCs w:val="24"/>
        </w:rPr>
      </w:pPr>
    </w:p>
    <w:p w14:paraId="1DCA52CE" w14:textId="21114BA9" w:rsidR="00DF6AAB" w:rsidRDefault="008C3A69" w:rsidP="0023445D">
      <w:r>
        <w:t xml:space="preserve">For semi-static configuration of subband time locations for SBFD operation, it has been agreed that explicit configuration within a period has been the baseline. </w:t>
      </w:r>
      <w:r w:rsidR="00F76B54">
        <w:t>What’s unclear in the agreement is the definition of the period.</w:t>
      </w:r>
    </w:p>
    <w:p w14:paraId="2F9044F9" w14:textId="4A5695D5" w:rsidR="00F76B54" w:rsidRDefault="0047313D" w:rsidP="0023445D">
      <w:r>
        <w:t xml:space="preserve">Intuitively, the period could be the same as the period of TDD configuration. On the other hand, the TDD configuration provided by </w:t>
      </w:r>
      <w:r w:rsidRPr="0047313D">
        <w:rPr>
          <w:i/>
          <w:iCs/>
        </w:rPr>
        <w:t>TDD-UL-DL-ConfigCommon</w:t>
      </w:r>
      <w:r>
        <w:t xml:space="preserve"> is optional field in SIB1 for TDD cells, which implies the network may or may not provide the TDD configuration. Therefore, at least explicit/implicit configuration of length of the period for SBFD subband time location indication should be considered as a baseline.</w:t>
      </w:r>
    </w:p>
    <w:p w14:paraId="76BEDFC5" w14:textId="3BC5CDF8" w:rsidR="0047313D" w:rsidRPr="0047313D" w:rsidRDefault="0047313D" w:rsidP="0023445D">
      <w:pPr>
        <w:rPr>
          <w:b/>
          <w:bCs/>
        </w:rPr>
      </w:pPr>
      <w:r w:rsidRPr="0047313D">
        <w:rPr>
          <w:b/>
          <w:bCs/>
        </w:rPr>
        <w:t xml:space="preserve">Proposal </w:t>
      </w:r>
      <w:r w:rsidR="00702949">
        <w:rPr>
          <w:b/>
          <w:bCs/>
        </w:rPr>
        <w:t>4</w:t>
      </w:r>
      <w:r w:rsidRPr="0047313D">
        <w:rPr>
          <w:b/>
          <w:bCs/>
        </w:rPr>
        <w:t>: Explicit/implicit configuration of length of the period for SBFD subband time location indication should be considered as a baseline.</w:t>
      </w:r>
    </w:p>
    <w:p w14:paraId="13343A99" w14:textId="2839F829" w:rsidR="00232DFB" w:rsidRDefault="00197A4D" w:rsidP="0023445D">
      <w:r>
        <w:lastRenderedPageBreak/>
        <w:t xml:space="preserve">If dynamic indication is to be supported, two types of dynamic indicator should be provided to the UE. One is the legacy dynamic SFI provided by DCI format 2_0, and the other is new dynamic signalling for </w:t>
      </w:r>
      <w:r w:rsidR="00886493">
        <w:t>UL subband</w:t>
      </w:r>
      <w:r w:rsidR="006D1219">
        <w:t xml:space="preserve"> </w:t>
      </w:r>
      <w:r w:rsidR="00A93D14">
        <w:t>usage</w:t>
      </w:r>
      <w:r w:rsidR="006D1219">
        <w:t xml:space="preserve"> indication</w:t>
      </w:r>
      <w:r w:rsidR="00886493">
        <w:t>.</w:t>
      </w:r>
      <w:r w:rsidR="00A93D14">
        <w:t xml:space="preserve"> The former would be used to indicate slot formats applicable to the outside of the UL subband, and the new signalling could be used to specify which direction of DL/UL is applied to the UL subband.</w:t>
      </w:r>
    </w:p>
    <w:p w14:paraId="2D23F0CF" w14:textId="53ED3D8E" w:rsidR="00232DFB" w:rsidRPr="00602FD5" w:rsidRDefault="00A93D14" w:rsidP="0023445D">
      <w:pPr>
        <w:rPr>
          <w:b/>
          <w:bCs/>
        </w:rPr>
      </w:pPr>
      <w:r w:rsidRPr="00602FD5">
        <w:rPr>
          <w:b/>
          <w:bCs/>
        </w:rPr>
        <w:t xml:space="preserve">Proposal </w:t>
      </w:r>
      <w:r w:rsidR="00702949">
        <w:rPr>
          <w:b/>
          <w:bCs/>
        </w:rPr>
        <w:t>5</w:t>
      </w:r>
      <w:r w:rsidRPr="00602FD5">
        <w:rPr>
          <w:b/>
          <w:bCs/>
        </w:rPr>
        <w:t xml:space="preserve">: New dynamic signalling should be </w:t>
      </w:r>
      <w:r w:rsidR="00602FD5">
        <w:rPr>
          <w:b/>
          <w:bCs/>
        </w:rPr>
        <w:t>studied</w:t>
      </w:r>
      <w:r w:rsidRPr="00602FD5">
        <w:rPr>
          <w:b/>
          <w:bCs/>
        </w:rPr>
        <w:t xml:space="preserve"> to specify which direction of DL/UL is applied to the UL subband.</w:t>
      </w:r>
    </w:p>
    <w:p w14:paraId="21804709" w14:textId="410DEB7C" w:rsidR="006559C7" w:rsidRDefault="006559C7" w:rsidP="006559C7">
      <w:pPr>
        <w:pStyle w:val="Heading1"/>
        <w:spacing w:after="180"/>
      </w:pPr>
      <w:r>
        <w:t>Potential enhancements to procedure for physical channels and signals</w:t>
      </w:r>
    </w:p>
    <w:p w14:paraId="4E0FBB14" w14:textId="7E7BC1D3" w:rsidR="006559C7" w:rsidRPr="006559C7" w:rsidRDefault="006559C7" w:rsidP="006559C7">
      <w:pPr>
        <w:pStyle w:val="Heading1"/>
        <w:numPr>
          <w:ilvl w:val="1"/>
          <w:numId w:val="1"/>
        </w:numPr>
        <w:spacing w:after="180"/>
      </w:pPr>
      <w:r>
        <w:t>SS/PBCH blocks</w:t>
      </w:r>
      <w:r w:rsidR="00103B7C">
        <w:t xml:space="preserve"> in SBFD symbols</w:t>
      </w:r>
    </w:p>
    <w:p w14:paraId="2A5C7E82" w14:textId="2DA7F9C7" w:rsidR="006559C7" w:rsidRPr="00232DFB" w:rsidRDefault="006559C7" w:rsidP="006559C7">
      <w:r>
        <w:t>The following agreement has been made for SS/PBCH block reception procedure at RAN1#110bis e-meeting [1].</w:t>
      </w:r>
    </w:p>
    <w:tbl>
      <w:tblPr>
        <w:tblStyle w:val="TableGrid"/>
        <w:tblW w:w="0" w:type="auto"/>
        <w:tblLook w:val="04A0" w:firstRow="1" w:lastRow="0" w:firstColumn="1" w:lastColumn="0" w:noHBand="0" w:noVBand="1"/>
      </w:tblPr>
      <w:tblGrid>
        <w:gridCol w:w="9954"/>
      </w:tblGrid>
      <w:tr w:rsidR="006559C7" w14:paraId="467FBEBB" w14:textId="77777777" w:rsidTr="00315774">
        <w:tc>
          <w:tcPr>
            <w:tcW w:w="9954" w:type="dxa"/>
            <w:tcBorders>
              <w:top w:val="single" w:sz="4" w:space="0" w:color="auto"/>
              <w:left w:val="single" w:sz="4" w:space="0" w:color="auto"/>
              <w:bottom w:val="single" w:sz="4" w:space="0" w:color="auto"/>
              <w:right w:val="single" w:sz="4" w:space="0" w:color="auto"/>
            </w:tcBorders>
          </w:tcPr>
          <w:p w14:paraId="2398F343" w14:textId="77777777" w:rsidR="006559C7" w:rsidRPr="006559C7" w:rsidRDefault="006559C7" w:rsidP="006559C7">
            <w:pPr>
              <w:autoSpaceDE w:val="0"/>
              <w:autoSpaceDN w:val="0"/>
              <w:adjustRightInd w:val="0"/>
              <w:spacing w:after="0" w:afterAutospacing="0"/>
              <w:rPr>
                <w:rFonts w:eastAsia="MS Mincho"/>
                <w:b/>
                <w:iCs/>
                <w:noProof/>
                <w:sz w:val="20"/>
                <w:szCs w:val="24"/>
                <w:highlight w:val="green"/>
                <w:lang w:eastAsia="en-GB"/>
              </w:rPr>
            </w:pPr>
            <w:r w:rsidRPr="006559C7">
              <w:rPr>
                <w:rFonts w:eastAsia="MS Mincho"/>
                <w:b/>
                <w:iCs/>
                <w:noProof/>
                <w:sz w:val="20"/>
                <w:szCs w:val="24"/>
                <w:highlight w:val="green"/>
                <w:lang w:eastAsia="en-GB"/>
              </w:rPr>
              <w:t>Agreement</w:t>
            </w:r>
          </w:p>
          <w:p w14:paraId="3DB9263C" w14:textId="77777777" w:rsidR="006559C7" w:rsidRPr="006559C7" w:rsidRDefault="006559C7" w:rsidP="006559C7">
            <w:pPr>
              <w:autoSpaceDE w:val="0"/>
              <w:autoSpaceDN w:val="0"/>
              <w:adjustRightInd w:val="0"/>
              <w:spacing w:after="0" w:afterAutospacing="0"/>
              <w:rPr>
                <w:rFonts w:eastAsia="MS Mincho"/>
                <w:bCs/>
                <w:iCs/>
                <w:noProof/>
                <w:sz w:val="20"/>
                <w:szCs w:val="24"/>
                <w:lang w:eastAsia="en-GB"/>
              </w:rPr>
            </w:pPr>
            <w:r w:rsidRPr="006559C7">
              <w:rPr>
                <w:rFonts w:eastAsia="MS Mincho"/>
                <w:bCs/>
                <w:iCs/>
                <w:noProof/>
                <w:sz w:val="20"/>
                <w:szCs w:val="24"/>
                <w:lang w:eastAsia="en-GB"/>
              </w:rPr>
              <w:t>Study whether SBFD operation in SSB symbols is supported or not.</w:t>
            </w:r>
          </w:p>
          <w:p w14:paraId="55FC2E0E" w14:textId="77777777" w:rsidR="006559C7" w:rsidRPr="006559C7" w:rsidRDefault="006559C7" w:rsidP="00315774">
            <w:pPr>
              <w:autoSpaceDE w:val="0"/>
              <w:autoSpaceDN w:val="0"/>
              <w:adjustRightInd w:val="0"/>
              <w:spacing w:after="0" w:afterAutospacing="0"/>
              <w:rPr>
                <w:rFonts w:eastAsia="MS Mincho"/>
                <w:iCs/>
                <w:noProof/>
                <w:sz w:val="20"/>
                <w:szCs w:val="24"/>
                <w:lang w:eastAsia="en-GB"/>
              </w:rPr>
            </w:pPr>
          </w:p>
        </w:tc>
      </w:tr>
    </w:tbl>
    <w:p w14:paraId="2DC4D823" w14:textId="77777777" w:rsidR="006559C7" w:rsidRDefault="006559C7" w:rsidP="006559C7">
      <w:pPr>
        <w:autoSpaceDE w:val="0"/>
        <w:autoSpaceDN w:val="0"/>
        <w:adjustRightInd w:val="0"/>
        <w:spacing w:after="0" w:afterAutospacing="0"/>
        <w:rPr>
          <w:rFonts w:eastAsiaTheme="minorEastAsia" w:cs="Arial"/>
          <w:szCs w:val="24"/>
        </w:rPr>
      </w:pPr>
    </w:p>
    <w:p w14:paraId="62832EF1" w14:textId="6D601786" w:rsidR="0096279B" w:rsidRDefault="00F81356" w:rsidP="0023445D">
      <w:r>
        <w:t>To preserve the reception quality (e.g., UE cell (re)collection, RLM/RRM, beam training, etc.) of SS/PBCH blocks, it is safer to confine the SS/PBCH blocks in the legacy DL region such that no inter-subband CLI affects the reception quality.</w:t>
      </w:r>
      <w:r w:rsidR="0096279B">
        <w:t xml:space="preserve"> On the other hand, it is difficult especially in a case that the network is using several (e.g., 8) SS/PBCH blocks, which spans in a half frame. </w:t>
      </w:r>
    </w:p>
    <w:p w14:paraId="1A735CB4" w14:textId="2BE83C41" w:rsidR="00DB3CAD" w:rsidRDefault="00DB3CAD" w:rsidP="0023445D">
      <w:r>
        <w:t xml:space="preserve">Figure 2 shows two cases for SS/PBCH blocks over SBFD symbols. </w:t>
      </w:r>
      <w:r w:rsidR="00DB338F">
        <w:t>Figure 2A shows an example of SS/PBCH block overlapping with UL subband in time and frequency resource. In this case, the gNB cannot operate with SBFD in symbols with SS/PBCH blocks</w:t>
      </w:r>
      <w:r w:rsidR="00870F6F">
        <w:t>. Thus, the UE should not expect UL transmission in the resource and the UE should be able to receive the SS/PBCH block.</w:t>
      </w:r>
    </w:p>
    <w:p w14:paraId="6C828F2A" w14:textId="00E7ABD0" w:rsidR="00870F6F" w:rsidRPr="00870F6F" w:rsidRDefault="00870F6F" w:rsidP="0023445D">
      <w:pPr>
        <w:rPr>
          <w:b/>
          <w:bCs/>
        </w:rPr>
      </w:pPr>
      <w:r w:rsidRPr="00870F6F">
        <w:rPr>
          <w:b/>
          <w:bCs/>
        </w:rPr>
        <w:t xml:space="preserve">Proposal 6: When a SS/PBCH block overlaps with the UL subband in time and frequency resource, the UE should not expect UL transmission in the resource and the UE should be able to receive the SS/PBCH block. </w:t>
      </w:r>
    </w:p>
    <w:p w14:paraId="0BD5D2EF" w14:textId="557B4A8B" w:rsidR="00870F6F" w:rsidRDefault="00870F6F" w:rsidP="0023445D">
      <w:r>
        <w:t>Figure 2B shows an example of SS/PBCH block overlapping with UL subband only in time domain. There are two subcases as follows:</w:t>
      </w:r>
    </w:p>
    <w:p w14:paraId="41D2E2AF" w14:textId="440656F9" w:rsidR="00870F6F" w:rsidRDefault="00870F6F" w:rsidP="00870F6F">
      <w:pPr>
        <w:pStyle w:val="ListParagraph"/>
        <w:numPr>
          <w:ilvl w:val="0"/>
          <w:numId w:val="44"/>
        </w:numPr>
        <w:ind w:leftChars="0"/>
      </w:pPr>
      <w:r>
        <w:t>The gNB performs simultaneous transmission/reception on symbols with the SS/PBCH block</w:t>
      </w:r>
    </w:p>
    <w:p w14:paraId="42437748" w14:textId="3542D904" w:rsidR="00870F6F" w:rsidRDefault="00870F6F" w:rsidP="00870F6F">
      <w:pPr>
        <w:pStyle w:val="ListParagraph"/>
        <w:numPr>
          <w:ilvl w:val="0"/>
          <w:numId w:val="44"/>
        </w:numPr>
        <w:ind w:leftChars="0"/>
      </w:pPr>
      <w:r>
        <w:t>The gNB only performs transmission on symbols with the SS/PBCH block</w:t>
      </w:r>
    </w:p>
    <w:p w14:paraId="62399804" w14:textId="34918852" w:rsidR="00DF6AAB" w:rsidRDefault="00870F6F" w:rsidP="0023445D">
      <w:r>
        <w:t xml:space="preserve">If simultaneous transmission/reception is allowed on the symbols with the SS/PBCH block, the more uplink resource is available, and thus it leads to more uplink coverage and reduced uplink latency. On the other hand, there is a risk of increased interference over SS/PBCH block reception due to UE-to-UE intra-cell inter-subband CLI. </w:t>
      </w:r>
      <w:r w:rsidR="00547D11">
        <w:t>Further, the UE scheduled with uplink transmission in the symbols cannot measure the quality of the SS/PBCH block</w:t>
      </w:r>
      <w:r w:rsidR="000B2381">
        <w:t xml:space="preserve"> at that time</w:t>
      </w:r>
      <w:r w:rsidR="00547D11">
        <w:t>. It may affect RLM, time/frequency tracking, beam tracking.</w:t>
      </w:r>
    </w:p>
    <w:p w14:paraId="5C0214EE" w14:textId="1FE9249A" w:rsidR="008C2016" w:rsidRDefault="008C2016" w:rsidP="0023445D">
      <w:r>
        <w:lastRenderedPageBreak/>
        <w:t xml:space="preserve">On the other hand, if only transmission is allowed on the symbols with the SS/PBCH block, </w:t>
      </w:r>
      <w:r w:rsidR="00547D11">
        <w:t>it implies that the UL subband on the symbols could be only usable for DL.</w:t>
      </w:r>
      <w:r w:rsidR="00982CCD">
        <w:t xml:space="preserve"> At this stage, both options can be discussed for further study.</w:t>
      </w:r>
    </w:p>
    <w:p w14:paraId="24499A7F" w14:textId="61621E74" w:rsidR="00982CCD" w:rsidRPr="00982CCD" w:rsidRDefault="00982CCD" w:rsidP="0023445D">
      <w:pPr>
        <w:rPr>
          <w:b/>
          <w:bCs/>
        </w:rPr>
      </w:pPr>
      <w:r w:rsidRPr="00982CCD">
        <w:rPr>
          <w:b/>
          <w:bCs/>
        </w:rPr>
        <w:t>Proposal 7: When a SS/PBCH block overlaps with the UL subband in time resource whereas the SS/PBCH block doesn’t overlap with the UL subband in frequency domain, the following two options should be further studied:</w:t>
      </w:r>
    </w:p>
    <w:p w14:paraId="41E61FA8" w14:textId="1928B764" w:rsidR="00982CCD" w:rsidRPr="00982CCD" w:rsidRDefault="00982CCD" w:rsidP="00982CCD">
      <w:pPr>
        <w:pStyle w:val="ListParagraph"/>
        <w:numPr>
          <w:ilvl w:val="0"/>
          <w:numId w:val="45"/>
        </w:numPr>
        <w:ind w:leftChars="0"/>
        <w:rPr>
          <w:b/>
          <w:bCs/>
        </w:rPr>
      </w:pPr>
      <w:r w:rsidRPr="00982CCD">
        <w:rPr>
          <w:b/>
          <w:bCs/>
        </w:rPr>
        <w:t>The UE shouldn’t expect UL transmission in the resource and the UE should be able to receive the SS/PBCH block</w:t>
      </w:r>
    </w:p>
    <w:p w14:paraId="5AA052CD" w14:textId="0AA90A4B" w:rsidR="00982CCD" w:rsidRDefault="00982CCD" w:rsidP="00982CCD">
      <w:pPr>
        <w:pStyle w:val="ListParagraph"/>
        <w:numPr>
          <w:ilvl w:val="0"/>
          <w:numId w:val="45"/>
        </w:numPr>
        <w:ind w:leftChars="0"/>
      </w:pPr>
      <w:r w:rsidRPr="00982CCD">
        <w:rPr>
          <w:b/>
          <w:bCs/>
        </w:rPr>
        <w:t>The UE should expect UL transmission in the resource and the UE is not required to receive the SS/PBCH block</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948"/>
        <w:gridCol w:w="5006"/>
      </w:tblGrid>
      <w:tr w:rsidR="00DB338F" w14:paraId="34EBE517" w14:textId="77777777" w:rsidTr="00AF4C9C">
        <w:tc>
          <w:tcPr>
            <w:tcW w:w="4948" w:type="dxa"/>
          </w:tcPr>
          <w:p w14:paraId="669B634C" w14:textId="5A6F65C9" w:rsidR="00DB338F" w:rsidRDefault="00DB338F" w:rsidP="00AF4C9C">
            <w:r>
              <w:object w:dxaOrig="15855" w:dyaOrig="9990" w14:anchorId="23647864">
                <v:shape id="_x0000_i1026" type="#_x0000_t75" style="width:232.35pt;height:146.35pt" o:ole="">
                  <v:imagedata r:id="rId10" o:title=""/>
                </v:shape>
                <o:OLEObject Type="Embed" ProgID="Visio.Drawing.15" ShapeID="_x0000_i1026" DrawAspect="Content" ObjectID="_1729269676" r:id="rId11"/>
              </w:object>
            </w:r>
          </w:p>
        </w:tc>
        <w:tc>
          <w:tcPr>
            <w:tcW w:w="5006" w:type="dxa"/>
          </w:tcPr>
          <w:p w14:paraId="723D4E25" w14:textId="09B41924" w:rsidR="00DB338F" w:rsidRDefault="00DB338F" w:rsidP="00AF4C9C">
            <w:r>
              <w:t xml:space="preserve"> </w:t>
            </w:r>
            <w:r>
              <w:object w:dxaOrig="15855" w:dyaOrig="9990" w14:anchorId="222BDB2D">
                <v:shape id="_x0000_i1027" type="#_x0000_t75" style="width:228.15pt;height:144.45pt" o:ole="">
                  <v:imagedata r:id="rId12" o:title=""/>
                </v:shape>
                <o:OLEObject Type="Embed" ProgID="Visio.Drawing.15" ShapeID="_x0000_i1027" DrawAspect="Content" ObjectID="_1729269677" r:id="rId13"/>
              </w:object>
            </w:r>
          </w:p>
        </w:tc>
      </w:tr>
      <w:tr w:rsidR="00DB338F" w:rsidRPr="000D264C" w14:paraId="640D5F0A" w14:textId="77777777" w:rsidTr="00AF4C9C">
        <w:tc>
          <w:tcPr>
            <w:tcW w:w="4948" w:type="dxa"/>
          </w:tcPr>
          <w:p w14:paraId="58C082BD" w14:textId="1F9452F1" w:rsidR="00DB338F" w:rsidRDefault="00DB338F" w:rsidP="00AF4C9C">
            <w:pPr>
              <w:jc w:val="center"/>
            </w:pPr>
            <w:r>
              <w:t>Figure 2A: SS/PBCH block overlapping with UL subband in time/frequency</w:t>
            </w:r>
          </w:p>
        </w:tc>
        <w:tc>
          <w:tcPr>
            <w:tcW w:w="5006" w:type="dxa"/>
          </w:tcPr>
          <w:p w14:paraId="6C646F43" w14:textId="070E0A93" w:rsidR="00DB338F" w:rsidRPr="000D264C" w:rsidRDefault="00DB338F" w:rsidP="00AF4C9C">
            <w:pPr>
              <w:jc w:val="center"/>
              <w:rPr>
                <w:lang w:val="en-US"/>
              </w:rPr>
            </w:pPr>
            <w:r w:rsidRPr="000D264C">
              <w:rPr>
                <w:lang w:val="en-US"/>
              </w:rPr>
              <w:t xml:space="preserve">Figure </w:t>
            </w:r>
            <w:r>
              <w:rPr>
                <w:lang w:val="en-US"/>
              </w:rPr>
              <w:t>2</w:t>
            </w:r>
            <w:r w:rsidRPr="000D264C">
              <w:rPr>
                <w:lang w:val="en-US"/>
              </w:rPr>
              <w:t xml:space="preserve">B: </w:t>
            </w:r>
            <w:r>
              <w:t>SS/PBCH block overlapping with UL subband only in time</w:t>
            </w:r>
          </w:p>
        </w:tc>
      </w:tr>
    </w:tbl>
    <w:p w14:paraId="4D05D887" w14:textId="745095A5" w:rsidR="00DB338F" w:rsidRPr="00DB338F" w:rsidRDefault="00DB338F" w:rsidP="0023445D">
      <w:pPr>
        <w:rPr>
          <w:lang w:val="en-US"/>
        </w:rPr>
      </w:pPr>
    </w:p>
    <w:p w14:paraId="5D32FC06" w14:textId="65389F7C" w:rsidR="000B2381" w:rsidRPr="006559C7" w:rsidRDefault="000B2381" w:rsidP="000B2381">
      <w:pPr>
        <w:pStyle w:val="Heading1"/>
        <w:numPr>
          <w:ilvl w:val="1"/>
          <w:numId w:val="1"/>
        </w:numPr>
        <w:spacing w:after="180"/>
      </w:pPr>
      <w:r>
        <w:t>CSI-RS</w:t>
      </w:r>
      <w:r w:rsidR="00103B7C">
        <w:t xml:space="preserve"> resource allocation</w:t>
      </w:r>
    </w:p>
    <w:p w14:paraId="56D2481E" w14:textId="43462766" w:rsidR="005159D1" w:rsidRPr="00232DFB" w:rsidRDefault="005159D1" w:rsidP="005159D1">
      <w:r>
        <w:t>The following agreement has been made for CSI-RS at RAN1#110bis e-meeting [1].</w:t>
      </w:r>
    </w:p>
    <w:tbl>
      <w:tblPr>
        <w:tblStyle w:val="TableGrid"/>
        <w:tblW w:w="0" w:type="auto"/>
        <w:tblLook w:val="04A0" w:firstRow="1" w:lastRow="0" w:firstColumn="1" w:lastColumn="0" w:noHBand="0" w:noVBand="1"/>
      </w:tblPr>
      <w:tblGrid>
        <w:gridCol w:w="9954"/>
      </w:tblGrid>
      <w:tr w:rsidR="005159D1" w14:paraId="5282DCD7" w14:textId="77777777" w:rsidTr="00787A9C">
        <w:tc>
          <w:tcPr>
            <w:tcW w:w="9954" w:type="dxa"/>
            <w:tcBorders>
              <w:top w:val="single" w:sz="4" w:space="0" w:color="auto"/>
              <w:left w:val="single" w:sz="4" w:space="0" w:color="auto"/>
              <w:bottom w:val="single" w:sz="4" w:space="0" w:color="auto"/>
              <w:right w:val="single" w:sz="4" w:space="0" w:color="auto"/>
            </w:tcBorders>
          </w:tcPr>
          <w:p w14:paraId="2B77BFF2" w14:textId="77777777" w:rsidR="005159D1" w:rsidRPr="005159D1" w:rsidRDefault="005159D1" w:rsidP="005159D1">
            <w:pPr>
              <w:autoSpaceDE w:val="0"/>
              <w:autoSpaceDN w:val="0"/>
              <w:adjustRightInd w:val="0"/>
              <w:spacing w:after="0" w:afterAutospacing="0"/>
              <w:rPr>
                <w:rFonts w:eastAsia="MS Mincho"/>
                <w:b/>
                <w:iCs/>
                <w:noProof/>
                <w:sz w:val="20"/>
                <w:szCs w:val="24"/>
                <w:highlight w:val="green"/>
                <w:lang w:eastAsia="en-GB"/>
              </w:rPr>
            </w:pPr>
            <w:r w:rsidRPr="005159D1">
              <w:rPr>
                <w:rFonts w:eastAsia="MS Mincho"/>
                <w:b/>
                <w:iCs/>
                <w:noProof/>
                <w:sz w:val="20"/>
                <w:szCs w:val="24"/>
                <w:highlight w:val="green"/>
                <w:lang w:eastAsia="en-GB"/>
              </w:rPr>
              <w:t>Agreement</w:t>
            </w:r>
          </w:p>
          <w:p w14:paraId="2C0B6DB9" w14:textId="77777777" w:rsidR="005159D1" w:rsidRPr="005159D1" w:rsidRDefault="005159D1" w:rsidP="005159D1">
            <w:pPr>
              <w:autoSpaceDE w:val="0"/>
              <w:autoSpaceDN w:val="0"/>
              <w:adjustRightInd w:val="0"/>
              <w:spacing w:after="0" w:afterAutospacing="0"/>
              <w:rPr>
                <w:rFonts w:eastAsia="MS Mincho"/>
                <w:bCs/>
                <w:iCs/>
                <w:noProof/>
                <w:sz w:val="20"/>
                <w:szCs w:val="24"/>
                <w:lang w:eastAsia="en-GB"/>
              </w:rPr>
            </w:pPr>
            <w:r w:rsidRPr="005159D1">
              <w:rPr>
                <w:rFonts w:eastAsia="MS Mincho"/>
                <w:bCs/>
                <w:iCs/>
                <w:noProof/>
                <w:sz w:val="20"/>
                <w:szCs w:val="24"/>
                <w:lang w:eastAsia="en-GB"/>
              </w:rPr>
              <w:t>Study impact and potential enhancements of CSI-RS resource set frequency domain resource allocation and CSI reporting configuration across non-contiguous DL subbands.</w:t>
            </w:r>
          </w:p>
          <w:p w14:paraId="5DAD0AC4" w14:textId="77777777" w:rsidR="005159D1" w:rsidRPr="006559C7" w:rsidRDefault="005159D1" w:rsidP="00787A9C">
            <w:pPr>
              <w:autoSpaceDE w:val="0"/>
              <w:autoSpaceDN w:val="0"/>
              <w:adjustRightInd w:val="0"/>
              <w:spacing w:after="0" w:afterAutospacing="0"/>
              <w:rPr>
                <w:rFonts w:eastAsia="MS Mincho"/>
                <w:iCs/>
                <w:noProof/>
                <w:sz w:val="20"/>
                <w:szCs w:val="24"/>
                <w:lang w:eastAsia="en-GB"/>
              </w:rPr>
            </w:pPr>
          </w:p>
        </w:tc>
      </w:tr>
    </w:tbl>
    <w:p w14:paraId="015F0391" w14:textId="77777777" w:rsidR="005159D1" w:rsidRDefault="005159D1" w:rsidP="005159D1">
      <w:pPr>
        <w:autoSpaceDE w:val="0"/>
        <w:autoSpaceDN w:val="0"/>
        <w:adjustRightInd w:val="0"/>
        <w:spacing w:after="0" w:afterAutospacing="0"/>
        <w:rPr>
          <w:rFonts w:eastAsiaTheme="minorEastAsia" w:cs="Arial"/>
          <w:szCs w:val="24"/>
        </w:rPr>
      </w:pPr>
    </w:p>
    <w:p w14:paraId="41FA139C" w14:textId="6DB9BD0A" w:rsidR="00DB338F" w:rsidRDefault="006D45D1" w:rsidP="0023445D">
      <w:r>
        <w:t xml:space="preserve">Figure 3 shows two examples of CSI-RS allocation. Figure 3A shows an example of CSI-RS allocation where the CSI-RS is overlapping with the UL subband. In </w:t>
      </w:r>
      <w:r w:rsidR="005124E5">
        <w:t>this option</w:t>
      </w:r>
      <w:r>
        <w:t xml:space="preserve">, the UE is supposed to assume that CSI-RS REs inside the UL subband is not available. </w:t>
      </w:r>
      <w:r w:rsidR="00082A19">
        <w:t>No change in RRC information elements would be necessary for this example.</w:t>
      </w:r>
    </w:p>
    <w:p w14:paraId="6B9EA2D3" w14:textId="3A0E8610" w:rsidR="006D45D1" w:rsidRDefault="00082A19" w:rsidP="006D45D1">
      <w:r>
        <w:t xml:space="preserve">On the other hand, In Figure 3B, single CSI-RS is configured with two partitions. In </w:t>
      </w:r>
      <w:r w:rsidR="005124E5">
        <w:t>this option</w:t>
      </w:r>
      <w:r>
        <w:t>, RRC information elements may need to change such that a CSI-RS resource configuration includes two partitioned resources.</w:t>
      </w:r>
    </w:p>
    <w:p w14:paraId="533850D6" w14:textId="6DC152CA" w:rsidR="005124E5" w:rsidRPr="002C245E" w:rsidRDefault="005124E5" w:rsidP="006D45D1">
      <w:pPr>
        <w:rPr>
          <w:b/>
          <w:bCs/>
        </w:rPr>
      </w:pPr>
      <w:r w:rsidRPr="002C245E">
        <w:rPr>
          <w:b/>
          <w:bCs/>
        </w:rPr>
        <w:t xml:space="preserve">Proposal 8: </w:t>
      </w:r>
      <w:r w:rsidR="00407893" w:rsidRPr="002C245E">
        <w:rPr>
          <w:b/>
          <w:bCs/>
        </w:rPr>
        <w:t>The following two options can be further studied:</w:t>
      </w:r>
    </w:p>
    <w:p w14:paraId="2C9210EF" w14:textId="4960677D" w:rsidR="00407893" w:rsidRPr="002C245E" w:rsidRDefault="00407893" w:rsidP="00407893">
      <w:pPr>
        <w:pStyle w:val="ListParagraph"/>
        <w:numPr>
          <w:ilvl w:val="0"/>
          <w:numId w:val="47"/>
        </w:numPr>
        <w:ind w:leftChars="0"/>
        <w:rPr>
          <w:b/>
          <w:bCs/>
        </w:rPr>
      </w:pPr>
      <w:r w:rsidRPr="002C245E">
        <w:rPr>
          <w:b/>
          <w:bCs/>
        </w:rPr>
        <w:lastRenderedPageBreak/>
        <w:t>CSI-RS allocation overlapping with the UL subband</w:t>
      </w:r>
    </w:p>
    <w:p w14:paraId="126F013A" w14:textId="0A2BD082" w:rsidR="00407893" w:rsidRDefault="00407893" w:rsidP="00407893">
      <w:pPr>
        <w:pStyle w:val="ListParagraph"/>
        <w:numPr>
          <w:ilvl w:val="0"/>
          <w:numId w:val="47"/>
        </w:numPr>
        <w:ind w:leftChars="0"/>
      </w:pPr>
      <w:r w:rsidRPr="002C245E">
        <w:rPr>
          <w:b/>
          <w:bCs/>
        </w:rPr>
        <w:t>CSI-RS configured with two partitions</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948"/>
        <w:gridCol w:w="5006"/>
      </w:tblGrid>
      <w:tr w:rsidR="006D45D1" w14:paraId="590D1007" w14:textId="77777777" w:rsidTr="00787A9C">
        <w:tc>
          <w:tcPr>
            <w:tcW w:w="4948" w:type="dxa"/>
          </w:tcPr>
          <w:p w14:paraId="3FD96AEB" w14:textId="59CE8EBA" w:rsidR="006D45D1" w:rsidRDefault="006D45D1" w:rsidP="00787A9C">
            <w:r>
              <w:object w:dxaOrig="15855" w:dyaOrig="9990" w14:anchorId="3A951A49">
                <v:shape id="_x0000_i1028" type="#_x0000_t75" style="width:236.1pt;height:148.2pt" o:ole="">
                  <v:imagedata r:id="rId14" o:title=""/>
                </v:shape>
                <o:OLEObject Type="Embed" ProgID="Visio.Drawing.15" ShapeID="_x0000_i1028" DrawAspect="Content" ObjectID="_1729269678" r:id="rId15"/>
              </w:object>
            </w:r>
          </w:p>
        </w:tc>
        <w:tc>
          <w:tcPr>
            <w:tcW w:w="5006" w:type="dxa"/>
          </w:tcPr>
          <w:p w14:paraId="12E7935D" w14:textId="4F2AE1B9" w:rsidR="006D45D1" w:rsidRDefault="006D45D1" w:rsidP="00787A9C">
            <w:r>
              <w:t xml:space="preserve"> </w:t>
            </w:r>
            <w:r>
              <w:object w:dxaOrig="15855" w:dyaOrig="9990" w14:anchorId="5AAD025B">
                <v:shape id="_x0000_i1029" type="#_x0000_t75" style="width:232.35pt;height:145.85pt" o:ole="">
                  <v:imagedata r:id="rId16" o:title=""/>
                </v:shape>
                <o:OLEObject Type="Embed" ProgID="Visio.Drawing.15" ShapeID="_x0000_i1029" DrawAspect="Content" ObjectID="_1729269679" r:id="rId17"/>
              </w:object>
            </w:r>
          </w:p>
        </w:tc>
      </w:tr>
      <w:tr w:rsidR="006D45D1" w:rsidRPr="000D264C" w14:paraId="5A9FE685" w14:textId="77777777" w:rsidTr="00787A9C">
        <w:tc>
          <w:tcPr>
            <w:tcW w:w="4948" w:type="dxa"/>
          </w:tcPr>
          <w:p w14:paraId="652CD40D" w14:textId="260AC7AF" w:rsidR="006D45D1" w:rsidRDefault="006D45D1" w:rsidP="00787A9C">
            <w:pPr>
              <w:jc w:val="center"/>
            </w:pPr>
            <w:r>
              <w:t>Figure 3A: CSI-RS allocation overlapping with the UL subband</w:t>
            </w:r>
          </w:p>
        </w:tc>
        <w:tc>
          <w:tcPr>
            <w:tcW w:w="5006" w:type="dxa"/>
          </w:tcPr>
          <w:p w14:paraId="03CFEC10" w14:textId="707561A2" w:rsidR="006D45D1" w:rsidRPr="000D264C" w:rsidRDefault="006D45D1" w:rsidP="00787A9C">
            <w:pPr>
              <w:jc w:val="center"/>
              <w:rPr>
                <w:lang w:val="en-US"/>
              </w:rPr>
            </w:pPr>
            <w:r w:rsidRPr="000D264C">
              <w:rPr>
                <w:lang w:val="en-US"/>
              </w:rPr>
              <w:t xml:space="preserve">Figure </w:t>
            </w:r>
            <w:r>
              <w:rPr>
                <w:lang w:val="en-US"/>
              </w:rPr>
              <w:t>3</w:t>
            </w:r>
            <w:r w:rsidRPr="000D264C">
              <w:rPr>
                <w:lang w:val="en-US"/>
              </w:rPr>
              <w:t xml:space="preserve">B: </w:t>
            </w:r>
            <w:r>
              <w:t>CSI-RS allocation with two partitions</w:t>
            </w:r>
          </w:p>
        </w:tc>
      </w:tr>
    </w:tbl>
    <w:p w14:paraId="7995C4ED" w14:textId="01B0B4EF" w:rsidR="00DB338F" w:rsidRDefault="00DB338F" w:rsidP="0023445D"/>
    <w:p w14:paraId="26943E9A" w14:textId="0A5099FF" w:rsidR="00067495" w:rsidRDefault="00067495" w:rsidP="00067495">
      <w:pPr>
        <w:pStyle w:val="Heading1"/>
        <w:numPr>
          <w:ilvl w:val="1"/>
          <w:numId w:val="1"/>
        </w:numPr>
        <w:spacing w:after="180"/>
      </w:pPr>
      <w:r>
        <w:t>PDSCH</w:t>
      </w:r>
      <w:r w:rsidR="00103B7C">
        <w:t xml:space="preserve"> resource allocation</w:t>
      </w:r>
    </w:p>
    <w:p w14:paraId="271B8BEF" w14:textId="11604D52" w:rsidR="00711136" w:rsidRDefault="00067495" w:rsidP="0023445D">
      <w:r>
        <w:t xml:space="preserve">We had extensive discussion on whether to study resource allocation for PDSCH. In our view, type-1 RA </w:t>
      </w:r>
      <w:r w:rsidR="00103B7C">
        <w:t>with</w:t>
      </w:r>
      <w:r>
        <w:t xml:space="preserve"> DCI format 1_0 in USS is of the highest priority. </w:t>
      </w:r>
      <w:r w:rsidR="00103B7C">
        <w:t xml:space="preserve">The reason is that DCI format 1_0 in USS only supports type-1 RA, and it has possibility of wideband allocation (over 100 MHz). On the other hand, maximum bandwidth for type-1 RA with DCI format 1_0 in CSS is limited to the size of CORESET 0 as long as the CORESET 0 is configured in the cell. Maximum bandwidth of CORESET 0 is less than 20 MHz for FR1. Therefore, the maximum bandwidth for type-1 RA can be confined in any subband. </w:t>
      </w:r>
      <w:r w:rsidR="00CC07A1">
        <w:t>On the other hand, type-0 RA is a strong tool for frequency selective scheduling. Therefore, type-0 RA should also be studied for potential enhancements. Therefore, we propose:</w:t>
      </w:r>
    </w:p>
    <w:p w14:paraId="5ACD3222" w14:textId="3BA44DC7" w:rsidR="00103B7C" w:rsidRDefault="00103B7C" w:rsidP="0023445D">
      <w:pPr>
        <w:rPr>
          <w:b/>
          <w:bCs/>
        </w:rPr>
      </w:pPr>
      <w:r w:rsidRPr="00103B7C">
        <w:rPr>
          <w:b/>
          <w:bCs/>
        </w:rPr>
        <w:t xml:space="preserve">Proposal </w:t>
      </w:r>
      <w:r w:rsidR="00F42576">
        <w:rPr>
          <w:b/>
          <w:bCs/>
        </w:rPr>
        <w:t>9</w:t>
      </w:r>
      <w:r w:rsidRPr="00103B7C">
        <w:rPr>
          <w:b/>
          <w:bCs/>
        </w:rPr>
        <w:t>: For PDSCH resource allocation, type-1 RA with DCI format 1_0 in USS</w:t>
      </w:r>
      <w:r w:rsidR="00CC07A1">
        <w:rPr>
          <w:b/>
          <w:bCs/>
        </w:rPr>
        <w:t xml:space="preserve"> and type-0 RA</w:t>
      </w:r>
      <w:r w:rsidRPr="00103B7C">
        <w:rPr>
          <w:b/>
          <w:bCs/>
        </w:rPr>
        <w:t xml:space="preserve"> is priority.</w:t>
      </w:r>
    </w:p>
    <w:p w14:paraId="4BBE075B" w14:textId="74F09E00" w:rsidR="00F42576" w:rsidRDefault="00F42576" w:rsidP="00F42576">
      <w:pPr>
        <w:pStyle w:val="Heading1"/>
        <w:spacing w:after="180"/>
      </w:pPr>
      <w:r>
        <w:t>Potential enhancements to physical layer procedures</w:t>
      </w:r>
    </w:p>
    <w:p w14:paraId="12185146" w14:textId="77777777" w:rsidR="00F42576" w:rsidRDefault="00F42576" w:rsidP="00F42576">
      <w:pPr>
        <w:pStyle w:val="Heading1"/>
        <w:numPr>
          <w:ilvl w:val="1"/>
          <w:numId w:val="1"/>
        </w:numPr>
        <w:spacing w:after="180"/>
      </w:pPr>
      <w:r>
        <w:t>Time domain conflict of UE’s UL and DL operation</w:t>
      </w:r>
    </w:p>
    <w:p w14:paraId="49F2A566" w14:textId="77777777" w:rsidR="00F42576" w:rsidRPr="00232DFB" w:rsidRDefault="00F42576" w:rsidP="00F42576">
      <w:r>
        <w:t>The following agreement has been made for time domain conflict of UE’s UL and DL operation at RAN1#110bis e-meeting [1].</w:t>
      </w:r>
    </w:p>
    <w:tbl>
      <w:tblPr>
        <w:tblStyle w:val="TableGrid"/>
        <w:tblW w:w="0" w:type="auto"/>
        <w:tblLook w:val="04A0" w:firstRow="1" w:lastRow="0" w:firstColumn="1" w:lastColumn="0" w:noHBand="0" w:noVBand="1"/>
      </w:tblPr>
      <w:tblGrid>
        <w:gridCol w:w="9954"/>
      </w:tblGrid>
      <w:tr w:rsidR="00F42576" w14:paraId="70D9F130" w14:textId="77777777" w:rsidTr="00781A70">
        <w:tc>
          <w:tcPr>
            <w:tcW w:w="9954" w:type="dxa"/>
            <w:tcBorders>
              <w:top w:val="single" w:sz="4" w:space="0" w:color="auto"/>
              <w:left w:val="single" w:sz="4" w:space="0" w:color="auto"/>
              <w:bottom w:val="single" w:sz="4" w:space="0" w:color="auto"/>
              <w:right w:val="single" w:sz="4" w:space="0" w:color="auto"/>
            </w:tcBorders>
          </w:tcPr>
          <w:p w14:paraId="7CC01204" w14:textId="77777777" w:rsidR="00F42576" w:rsidRPr="0044320A" w:rsidRDefault="00F42576" w:rsidP="00781A70">
            <w:pPr>
              <w:autoSpaceDE w:val="0"/>
              <w:autoSpaceDN w:val="0"/>
              <w:adjustRightInd w:val="0"/>
              <w:spacing w:after="0" w:afterAutospacing="0"/>
              <w:rPr>
                <w:rFonts w:eastAsia="MS Mincho"/>
                <w:b/>
                <w:iCs/>
                <w:noProof/>
                <w:sz w:val="20"/>
                <w:szCs w:val="24"/>
                <w:highlight w:val="green"/>
                <w:lang w:eastAsia="en-GB"/>
              </w:rPr>
            </w:pPr>
            <w:r w:rsidRPr="0044320A">
              <w:rPr>
                <w:rFonts w:eastAsia="MS Mincho"/>
                <w:b/>
                <w:iCs/>
                <w:noProof/>
                <w:sz w:val="20"/>
                <w:szCs w:val="24"/>
                <w:highlight w:val="green"/>
                <w:lang w:eastAsia="en-GB"/>
              </w:rPr>
              <w:t>Agreement</w:t>
            </w:r>
          </w:p>
          <w:p w14:paraId="6F802D18" w14:textId="77777777" w:rsidR="00F42576" w:rsidRPr="0044320A" w:rsidRDefault="00F42576" w:rsidP="00781A70">
            <w:pPr>
              <w:autoSpaceDE w:val="0"/>
              <w:autoSpaceDN w:val="0"/>
              <w:adjustRightInd w:val="0"/>
              <w:spacing w:after="0" w:afterAutospacing="0"/>
              <w:rPr>
                <w:rFonts w:eastAsia="MS Mincho"/>
                <w:bCs/>
                <w:iCs/>
                <w:noProof/>
                <w:sz w:val="20"/>
                <w:szCs w:val="24"/>
                <w:lang w:eastAsia="en-GB"/>
              </w:rPr>
            </w:pPr>
            <w:r w:rsidRPr="0044320A">
              <w:rPr>
                <w:rFonts w:eastAsia="MS Mincho"/>
                <w:bCs/>
                <w:iCs/>
                <w:noProof/>
                <w:sz w:val="20"/>
                <w:szCs w:val="24"/>
                <w:lang w:eastAsia="en-GB"/>
              </w:rPr>
              <w:t xml:space="preserve">Identify if there are any cases of time domain conflict of UE’s UL and DL operation in the same SBFD symbol for SBFD aware UE </w:t>
            </w:r>
          </w:p>
          <w:p w14:paraId="234EE57C" w14:textId="77777777" w:rsidR="00F42576" w:rsidRPr="0044320A" w:rsidRDefault="00F42576" w:rsidP="00781A70">
            <w:pPr>
              <w:numPr>
                <w:ilvl w:val="0"/>
                <w:numId w:val="41"/>
              </w:numPr>
              <w:autoSpaceDE w:val="0"/>
              <w:autoSpaceDN w:val="0"/>
              <w:adjustRightInd w:val="0"/>
              <w:spacing w:after="0" w:afterAutospacing="0"/>
              <w:rPr>
                <w:rFonts w:eastAsia="MS Mincho"/>
                <w:bCs/>
                <w:iCs/>
                <w:noProof/>
                <w:sz w:val="20"/>
                <w:szCs w:val="24"/>
                <w:lang w:eastAsia="en-GB"/>
              </w:rPr>
            </w:pPr>
            <w:r w:rsidRPr="0044320A">
              <w:rPr>
                <w:rFonts w:eastAsia="MS Mincho"/>
                <w:bCs/>
                <w:iCs/>
                <w:noProof/>
                <w:sz w:val="20"/>
                <w:szCs w:val="24"/>
                <w:lang w:eastAsia="en-GB"/>
              </w:rPr>
              <w:t>If there are, whether/how to avoid/handle such collision cases (as second step)</w:t>
            </w:r>
          </w:p>
          <w:p w14:paraId="24C691F4" w14:textId="77777777" w:rsidR="00F42576" w:rsidRPr="006559C7" w:rsidRDefault="00F42576" w:rsidP="00781A70">
            <w:pPr>
              <w:autoSpaceDE w:val="0"/>
              <w:autoSpaceDN w:val="0"/>
              <w:adjustRightInd w:val="0"/>
              <w:spacing w:after="0" w:afterAutospacing="0"/>
              <w:rPr>
                <w:rFonts w:eastAsia="MS Mincho"/>
                <w:iCs/>
                <w:noProof/>
                <w:sz w:val="20"/>
                <w:szCs w:val="24"/>
                <w:lang w:eastAsia="en-GB"/>
              </w:rPr>
            </w:pPr>
          </w:p>
        </w:tc>
      </w:tr>
    </w:tbl>
    <w:p w14:paraId="7406BD70" w14:textId="77777777" w:rsidR="00F42576" w:rsidRDefault="00F42576" w:rsidP="00F42576">
      <w:pPr>
        <w:autoSpaceDE w:val="0"/>
        <w:autoSpaceDN w:val="0"/>
        <w:adjustRightInd w:val="0"/>
        <w:spacing w:after="0" w:afterAutospacing="0"/>
        <w:rPr>
          <w:rFonts w:eastAsiaTheme="minorEastAsia" w:cs="Arial"/>
          <w:szCs w:val="24"/>
        </w:rPr>
      </w:pPr>
    </w:p>
    <w:p w14:paraId="419E6D65" w14:textId="77777777" w:rsidR="00F42576" w:rsidRDefault="00F42576" w:rsidP="00F42576">
      <w:r>
        <w:t>Most of time domain conflict of UE’s UL and DL operation in flexible symbols has been specified in the current specification. Due to the half duplex limitation, in our view, there are not so many cases to be revisited for SBFD symbols. What we need to consider for SBFD operation could be as follows:</w:t>
      </w:r>
    </w:p>
    <w:p w14:paraId="75D79155" w14:textId="77777777" w:rsidR="00F42576" w:rsidRDefault="00F42576" w:rsidP="00F42576">
      <w:pPr>
        <w:pStyle w:val="ListParagraph"/>
        <w:numPr>
          <w:ilvl w:val="0"/>
          <w:numId w:val="41"/>
        </w:numPr>
        <w:ind w:leftChars="0"/>
      </w:pPr>
      <w:r>
        <w:lastRenderedPageBreak/>
        <w:t>Collision between SS/PBCH blocks and any UL transmission</w:t>
      </w:r>
    </w:p>
    <w:p w14:paraId="69EF5B51" w14:textId="77777777" w:rsidR="00F42576" w:rsidRDefault="00F42576" w:rsidP="00F42576">
      <w:pPr>
        <w:pStyle w:val="ListParagraph"/>
        <w:numPr>
          <w:ilvl w:val="0"/>
          <w:numId w:val="41"/>
        </w:numPr>
        <w:ind w:leftChars="0"/>
      </w:pPr>
      <w:r>
        <w:t>Collision between higher layer configured DL and UL</w:t>
      </w:r>
    </w:p>
    <w:p w14:paraId="1E8F32EE" w14:textId="77777777" w:rsidR="00F42576" w:rsidRPr="00613E94" w:rsidRDefault="00F42576" w:rsidP="00F42576">
      <w:pPr>
        <w:rPr>
          <w:u w:val="single"/>
        </w:rPr>
      </w:pPr>
      <w:r w:rsidRPr="00613E94">
        <w:rPr>
          <w:u w:val="single"/>
        </w:rPr>
        <w:t>Collision between SS/PBCH blocks and any UL transmission</w:t>
      </w:r>
    </w:p>
    <w:p w14:paraId="76A19BA4" w14:textId="77777777" w:rsidR="00F42576" w:rsidRDefault="00F42576" w:rsidP="00F42576">
      <w:r>
        <w:t>SS/PBCH blocks has been regarded as the highest priority in NR from Rel-15. On the other hand, If SBFD operation with SS/PBCH blocks would be agreed, this principle needs to be removed in some cases. For example, in SBFD symbols, if the SS/PBCH block is overlapping with at least partially with the UL transmission, but the SS/PBCH block is outside of the UL subband in frequency domain (as described in Figure 2B), the UE should be allowed to prioritize the UL transmission over SS/PBCH reception. Therefore, we need to discuss whether simultaneous SS/PBCH block transmission and UL reception in SBFD symbols would be supported or not, before discussing the collision between SS/PBCH blocks and any UL transmission.</w:t>
      </w:r>
    </w:p>
    <w:p w14:paraId="30DCD1D9" w14:textId="7D8A32AF" w:rsidR="00F42576" w:rsidRPr="006913F2" w:rsidRDefault="00F42576" w:rsidP="00F42576">
      <w:pPr>
        <w:rPr>
          <w:b/>
          <w:bCs/>
        </w:rPr>
      </w:pPr>
      <w:r w:rsidRPr="006913F2">
        <w:rPr>
          <w:b/>
          <w:bCs/>
        </w:rPr>
        <w:t xml:space="preserve">Proposal </w:t>
      </w:r>
      <w:r>
        <w:rPr>
          <w:b/>
          <w:bCs/>
        </w:rPr>
        <w:t>10</w:t>
      </w:r>
      <w:r w:rsidRPr="006913F2">
        <w:rPr>
          <w:b/>
          <w:bCs/>
        </w:rPr>
        <w:t>: RAN1 should discuss whether simultaneous SS/PBCH block transmission and UL reception in SBFD symbols would be supported or not, before discussing the collision between SS/PBCH blocks and any UL transmission.</w:t>
      </w:r>
    </w:p>
    <w:p w14:paraId="226B41A2" w14:textId="77777777" w:rsidR="00F42576" w:rsidRPr="006913F2" w:rsidRDefault="00F42576" w:rsidP="00F42576">
      <w:pPr>
        <w:rPr>
          <w:u w:val="single"/>
        </w:rPr>
      </w:pPr>
      <w:r w:rsidRPr="006913F2">
        <w:rPr>
          <w:u w:val="single"/>
        </w:rPr>
        <w:t>Collision between higher layer configured DL and UL</w:t>
      </w:r>
    </w:p>
    <w:p w14:paraId="07C1A87D" w14:textId="77777777" w:rsidR="00F42576" w:rsidRDefault="00F42576" w:rsidP="00F42576">
      <w:r>
        <w:t>In the existing specification, the UE is not required to handle the case of collision between higher layer configured DL and UL. The reason is that proper network configuration would avoid such a problematic situation. This principle still holds in duplex evolution. Therefore, we don’t think the necessity of revisiting this matter again.</w:t>
      </w:r>
    </w:p>
    <w:p w14:paraId="2B698593" w14:textId="30B90190" w:rsidR="00F42576" w:rsidRPr="00067495" w:rsidRDefault="00F42576" w:rsidP="00F42576">
      <w:pPr>
        <w:rPr>
          <w:b/>
          <w:bCs/>
        </w:rPr>
      </w:pPr>
      <w:r w:rsidRPr="00067495">
        <w:rPr>
          <w:b/>
          <w:bCs/>
        </w:rPr>
        <w:t>Proposal 1</w:t>
      </w:r>
      <w:r>
        <w:rPr>
          <w:b/>
          <w:bCs/>
        </w:rPr>
        <w:t>1</w:t>
      </w:r>
      <w:r w:rsidRPr="00067495">
        <w:rPr>
          <w:b/>
          <w:bCs/>
        </w:rPr>
        <w:t>: No further study on handling cases of collision between higher layer configured DL and UL.</w:t>
      </w:r>
    </w:p>
    <w:p w14:paraId="79EA07F5" w14:textId="67AA814F" w:rsidR="00B97B30" w:rsidRDefault="00B97B30" w:rsidP="00B97B30">
      <w:pPr>
        <w:pStyle w:val="Heading1"/>
        <w:numPr>
          <w:ilvl w:val="1"/>
          <w:numId w:val="1"/>
        </w:numPr>
        <w:spacing w:after="180"/>
      </w:pPr>
      <w:r>
        <w:t>Repetition procedures</w:t>
      </w:r>
    </w:p>
    <w:p w14:paraId="7C50C467" w14:textId="5FA960BC" w:rsidR="00632C4A" w:rsidRPr="00632C4A" w:rsidRDefault="00632C4A" w:rsidP="006079FC">
      <w:pPr>
        <w:rPr>
          <w:u w:val="single"/>
        </w:rPr>
      </w:pPr>
      <w:r w:rsidRPr="00632C4A">
        <w:rPr>
          <w:u w:val="single"/>
        </w:rPr>
        <w:t>UE-specific uplink channels</w:t>
      </w:r>
    </w:p>
    <w:p w14:paraId="6E7E4F02" w14:textId="05D5F626" w:rsidR="006079FC" w:rsidRDefault="00B97B30" w:rsidP="006079FC">
      <w:r>
        <w:t xml:space="preserve">Figure </w:t>
      </w:r>
      <w:r w:rsidR="00693608">
        <w:t>4</w:t>
      </w:r>
      <w:r w:rsidR="006079FC">
        <w:t xml:space="preserve"> to 6</w:t>
      </w:r>
      <w:r w:rsidR="00693608">
        <w:t xml:space="preserve"> show examples of </w:t>
      </w:r>
      <w:r w:rsidR="004B4BB0">
        <w:t>8</w:t>
      </w:r>
      <w:r w:rsidR="00693608">
        <w:t xml:space="preserve"> repetition</w:t>
      </w:r>
      <w:r w:rsidR="004B4BB0">
        <w:t>s for an uplink channel assuming available slot counting</w:t>
      </w:r>
      <w:r w:rsidR="00693608">
        <w:t>. Figure 4 shows an example</w:t>
      </w:r>
      <w:r w:rsidR="004B4BB0">
        <w:t xml:space="preserve"> </w:t>
      </w:r>
      <w:r w:rsidR="00693608">
        <w:t xml:space="preserve">in which the repetitions are transmitted in both the SBFD region and the legacy UL region. </w:t>
      </w:r>
      <w:r w:rsidR="0062466B">
        <w:t>R</w:t>
      </w:r>
      <w:r w:rsidR="004B4BB0">
        <w:t>epetition</w:t>
      </w:r>
      <w:r w:rsidR="006079FC">
        <w:t>s</w:t>
      </w:r>
      <w:r w:rsidR="004B4BB0">
        <w:t xml:space="preserve"> </w:t>
      </w:r>
      <w:r w:rsidR="006079FC">
        <w:t>are</w:t>
      </w:r>
      <w:r w:rsidR="004B4BB0">
        <w:t xml:space="preserve"> mapped continuously in the SBFD region and the legacy UL region, and </w:t>
      </w:r>
      <w:r w:rsidR="006079FC">
        <w:t xml:space="preserve">they are not mapped in the legacy DL region. </w:t>
      </w:r>
      <w:r w:rsidR="0062466B">
        <w:t xml:space="preserve">In this example, </w:t>
      </w:r>
      <w:r w:rsidR="006079FC">
        <w:t xml:space="preserve">Rep#4 and Rep#5 leads to uplink resource fragmentation which has been discussed and addressed in Rel-17 RedCap. To reduce fragmentation, different frequency resource allocation for each region like Figure 5 may be considered further. </w:t>
      </w:r>
      <w:r w:rsidR="0062466B">
        <w:t>In Figure 5, different starting RBs and different hopping offsets (i.e., Offset#0 and Offset#1) are provided for each region such that the repetitions are placed on the edge of each available uplink resource.</w:t>
      </w:r>
    </w:p>
    <w:p w14:paraId="5103A210" w14:textId="32050E97" w:rsidR="006079FC" w:rsidRPr="00B97B30" w:rsidRDefault="0062466B" w:rsidP="006079FC">
      <w:r>
        <w:t>Figure 6 is another example to reduce fragmentation in the legacy region, where the repetitions are mapped only in the SBFD region. In this example, we can keep the simplicity of transmission/reception procedure for repetition due to the aligned frequency resource.</w:t>
      </w:r>
    </w:p>
    <w:p w14:paraId="515AF776" w14:textId="3BEE6331" w:rsidR="00F42576" w:rsidRDefault="0062466B" w:rsidP="0023445D">
      <w:r w:rsidRPr="0062466B">
        <w:t xml:space="preserve">At this stage, </w:t>
      </w:r>
      <w:r w:rsidR="009B7ED0">
        <w:t xml:space="preserve">rather than trying to agree on the details on repetition procedure, </w:t>
      </w:r>
      <w:r>
        <w:t xml:space="preserve">we suggest making a general agreement </w:t>
      </w:r>
      <w:r w:rsidR="009B7ED0">
        <w:t>like following:</w:t>
      </w:r>
    </w:p>
    <w:p w14:paraId="436027E4" w14:textId="6E4D0228" w:rsidR="009B7ED0" w:rsidRPr="009B7ED0" w:rsidRDefault="009B7ED0" w:rsidP="0023445D">
      <w:pPr>
        <w:rPr>
          <w:b/>
          <w:bCs/>
        </w:rPr>
      </w:pPr>
      <w:r w:rsidRPr="009B7ED0">
        <w:rPr>
          <w:b/>
          <w:bCs/>
        </w:rPr>
        <w:lastRenderedPageBreak/>
        <w:t xml:space="preserve">Proposal 12: RAN1 further study the impact on </w:t>
      </w:r>
      <w:r w:rsidR="00632C4A">
        <w:rPr>
          <w:b/>
          <w:bCs/>
        </w:rPr>
        <w:t xml:space="preserve">procedures for UE-specific </w:t>
      </w:r>
      <w:r w:rsidRPr="009B7ED0">
        <w:rPr>
          <w:b/>
          <w:bCs/>
        </w:rPr>
        <w:t>uplink repetition.</w:t>
      </w:r>
    </w:p>
    <w:p w14:paraId="4E89D02F" w14:textId="5D427050" w:rsidR="00F42576" w:rsidRDefault="00693608" w:rsidP="00693608">
      <w:pPr>
        <w:jc w:val="center"/>
        <w:rPr>
          <w:b/>
          <w:bCs/>
        </w:rPr>
      </w:pPr>
      <w:r>
        <w:object w:dxaOrig="27645" w:dyaOrig="9990" w14:anchorId="1EB9101B">
          <v:shape id="_x0000_i1030" type="#_x0000_t75" style="width:497.45pt;height:180pt" o:ole="">
            <v:imagedata r:id="rId18" o:title=""/>
          </v:shape>
          <o:OLEObject Type="Embed" ProgID="Visio.Drawing.15" ShapeID="_x0000_i1030" DrawAspect="Content" ObjectID="_1729269680" r:id="rId19"/>
        </w:object>
      </w:r>
    </w:p>
    <w:p w14:paraId="008429F9" w14:textId="021B3226" w:rsidR="00F42576" w:rsidRDefault="00693608" w:rsidP="00693608">
      <w:pPr>
        <w:jc w:val="center"/>
      </w:pPr>
      <w:r w:rsidRPr="00693608">
        <w:t>Figure 4</w:t>
      </w:r>
      <w:r>
        <w:t>: Repetitions transmitted in both the SBFD region and the legacy UL region</w:t>
      </w:r>
    </w:p>
    <w:p w14:paraId="685F8ED4" w14:textId="259682B1" w:rsidR="006079FC" w:rsidRDefault="00177A9F" w:rsidP="00693608">
      <w:pPr>
        <w:jc w:val="center"/>
      </w:pPr>
      <w:r>
        <w:object w:dxaOrig="27645" w:dyaOrig="9990" w14:anchorId="1E623EFA">
          <v:shape id="_x0000_i1031" type="#_x0000_t75" style="width:497.45pt;height:180pt" o:ole="">
            <v:imagedata r:id="rId20" o:title=""/>
          </v:shape>
          <o:OLEObject Type="Embed" ProgID="Visio.Drawing.15" ShapeID="_x0000_i1031" DrawAspect="Content" ObjectID="_1729269681" r:id="rId21"/>
        </w:object>
      </w:r>
    </w:p>
    <w:p w14:paraId="0EB5D011" w14:textId="5373E790" w:rsidR="006079FC" w:rsidRPr="00693608" w:rsidRDefault="00177A9F" w:rsidP="00693608">
      <w:pPr>
        <w:jc w:val="center"/>
      </w:pPr>
      <w:r w:rsidRPr="00693608">
        <w:t xml:space="preserve">Figure </w:t>
      </w:r>
      <w:r w:rsidR="00632C4A">
        <w:t>5</w:t>
      </w:r>
      <w:r>
        <w:t>: Repetitions transmitted in both the SBFD region and the legacy UL region with different frequency resource for the SBFD region and the legacy UL region</w:t>
      </w:r>
    </w:p>
    <w:p w14:paraId="7AA5E12F" w14:textId="6CE95F50" w:rsidR="00F42576" w:rsidRDefault="00693608" w:rsidP="00693608">
      <w:pPr>
        <w:jc w:val="center"/>
        <w:rPr>
          <w:b/>
          <w:bCs/>
        </w:rPr>
      </w:pPr>
      <w:r>
        <w:object w:dxaOrig="27645" w:dyaOrig="9990" w14:anchorId="378490EC">
          <v:shape id="_x0000_i1032" type="#_x0000_t75" style="width:497.45pt;height:180pt" o:ole="">
            <v:imagedata r:id="rId22" o:title=""/>
          </v:shape>
          <o:OLEObject Type="Embed" ProgID="Visio.Drawing.15" ShapeID="_x0000_i1032" DrawAspect="Content" ObjectID="_1729269682" r:id="rId23"/>
        </w:object>
      </w:r>
    </w:p>
    <w:p w14:paraId="0AC9DB3C" w14:textId="060EE0D7" w:rsidR="00F42576" w:rsidRPr="00693608" w:rsidRDefault="00693608" w:rsidP="00693608">
      <w:pPr>
        <w:jc w:val="center"/>
      </w:pPr>
      <w:r w:rsidRPr="00693608">
        <w:t xml:space="preserve">Figure </w:t>
      </w:r>
      <w:r w:rsidR="00632C4A">
        <w:t>6</w:t>
      </w:r>
      <w:r w:rsidRPr="00693608">
        <w:t xml:space="preserve">: </w:t>
      </w:r>
      <w:r>
        <w:t>Repetitions transmitted only in SBFD region</w:t>
      </w:r>
    </w:p>
    <w:p w14:paraId="0E22B257" w14:textId="6977B33F" w:rsidR="00F42576" w:rsidRPr="00C22059" w:rsidRDefault="00C22059" w:rsidP="0023445D">
      <w:pPr>
        <w:rPr>
          <w:u w:val="single"/>
        </w:rPr>
      </w:pPr>
      <w:r w:rsidRPr="00C22059">
        <w:rPr>
          <w:u w:val="single"/>
        </w:rPr>
        <w:t>Msg3 PUSCH repetition</w:t>
      </w:r>
    </w:p>
    <w:p w14:paraId="5ACC0DCC" w14:textId="009BF3A9" w:rsidR="00C22059" w:rsidRDefault="00C22059" w:rsidP="0023445D">
      <w:r>
        <w:t>Msg3 PUSCH repetition has been introduced in Rel-17 for coverage compensation. Therefore, the msg3 PUSCH repetition should be in the scope of this SI. There is no justifiable reason to exclude the msg3 PUSCH repetition from this study.</w:t>
      </w:r>
    </w:p>
    <w:p w14:paraId="484237C5" w14:textId="7AD5FDFA" w:rsidR="00F42576" w:rsidRPr="00A214E4" w:rsidRDefault="00C22059" w:rsidP="0023445D">
      <w:pPr>
        <w:rPr>
          <w:b/>
          <w:bCs/>
        </w:rPr>
      </w:pPr>
      <w:r w:rsidRPr="00A214E4">
        <w:rPr>
          <w:b/>
          <w:bCs/>
        </w:rPr>
        <w:t>Proposal 13: Msg3 PUSCH repetition should b</w:t>
      </w:r>
      <w:r w:rsidR="00A214E4" w:rsidRPr="00A214E4">
        <w:rPr>
          <w:b/>
          <w:bCs/>
        </w:rPr>
        <w:t>e studied for SBFD.</w:t>
      </w:r>
    </w:p>
    <w:p w14:paraId="1BA1DAE9" w14:textId="122482D7" w:rsidR="0017096E" w:rsidRPr="00B22A06" w:rsidRDefault="00FB02CF" w:rsidP="00F008B2">
      <w:pPr>
        <w:pStyle w:val="Heading1"/>
        <w:spacing w:after="180" w:line="276" w:lineRule="auto"/>
        <w:rPr>
          <w:lang w:val="en-US" w:eastAsia="zh-CN"/>
        </w:rPr>
      </w:pPr>
      <w:r w:rsidRPr="00B22A06">
        <w:rPr>
          <w:lang w:val="en-US" w:eastAsia="zh-CN"/>
        </w:rPr>
        <w:t>Conclusion</w:t>
      </w:r>
    </w:p>
    <w:p w14:paraId="1D3BC99E" w14:textId="178BFECC" w:rsidR="005603D7" w:rsidRDefault="005603D7" w:rsidP="00F008B2">
      <w:pPr>
        <w:spacing w:line="276" w:lineRule="auto"/>
        <w:rPr>
          <w:lang w:val="en-US"/>
        </w:rPr>
      </w:pPr>
      <w:r>
        <w:rPr>
          <w:lang w:val="en-US"/>
        </w:rPr>
        <w:t>In this contribution, we have the following observations:</w:t>
      </w:r>
    </w:p>
    <w:p w14:paraId="62C030E4" w14:textId="250A3FC2" w:rsidR="003F6D15" w:rsidRPr="00926C2C" w:rsidRDefault="003F6D15" w:rsidP="00F008B2">
      <w:pPr>
        <w:spacing w:line="276" w:lineRule="auto"/>
        <w:rPr>
          <w:b/>
          <w:bCs/>
        </w:rPr>
      </w:pPr>
      <w:r w:rsidRPr="003F2F19">
        <w:rPr>
          <w:b/>
          <w:bCs/>
        </w:rPr>
        <w:t xml:space="preserve">Observation 1: </w:t>
      </w:r>
      <w:r>
        <w:rPr>
          <w:b/>
          <w:bCs/>
        </w:rPr>
        <w:t>As baseline for study, s</w:t>
      </w:r>
      <w:r w:rsidRPr="003F2F19">
        <w:rPr>
          <w:b/>
          <w:bCs/>
        </w:rPr>
        <w:t>ubbands are a set of resources defined by time/frequency region which is semi-statically configured by gNB. The subbands are not necessarily used for SBFD operation, but maybe used for SBFD operation.</w:t>
      </w:r>
    </w:p>
    <w:p w14:paraId="5FC31E67" w14:textId="35EC310B"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00810FA1">
        <w:rPr>
          <w:lang w:val="en-US"/>
        </w:rPr>
        <w:t>s</w:t>
      </w:r>
      <w:r w:rsidRPr="002F3874">
        <w:rPr>
          <w:lang w:val="en-US"/>
        </w:rPr>
        <w:t>:</w:t>
      </w:r>
    </w:p>
    <w:p w14:paraId="41223096" w14:textId="57AED02B" w:rsidR="003F6D15" w:rsidRDefault="003F6D15" w:rsidP="00F008B2">
      <w:pPr>
        <w:spacing w:line="276" w:lineRule="auto"/>
        <w:rPr>
          <w:lang w:val="en-US"/>
        </w:rPr>
      </w:pPr>
      <w:r w:rsidRPr="00F2239A">
        <w:rPr>
          <w:b/>
          <w:bCs/>
        </w:rPr>
        <w:t>Proposal 1: From gNB perspective, UL subband can be used to perform DL transmission</w:t>
      </w:r>
      <w:r>
        <w:rPr>
          <w:b/>
          <w:bCs/>
        </w:rPr>
        <w:t xml:space="preserve"> dedicated for legacy UEs</w:t>
      </w:r>
      <w:r w:rsidRPr="00F2239A">
        <w:rPr>
          <w:b/>
          <w:bCs/>
        </w:rPr>
        <w:t xml:space="preserve"> as well as UL reception.</w:t>
      </w:r>
    </w:p>
    <w:p w14:paraId="45DD065D" w14:textId="75843378" w:rsidR="00103B7C" w:rsidRDefault="003F6D15" w:rsidP="003E1128">
      <w:pPr>
        <w:rPr>
          <w:b/>
          <w:bCs/>
        </w:rPr>
      </w:pPr>
      <w:r w:rsidRPr="008B09E8">
        <w:rPr>
          <w:b/>
          <w:bCs/>
        </w:rPr>
        <w:t xml:space="preserve">Proposal 2: From SBFD capable UE perspective, </w:t>
      </w:r>
      <w:r w:rsidRPr="00F2239A">
        <w:rPr>
          <w:b/>
          <w:bCs/>
        </w:rPr>
        <w:t xml:space="preserve">UL subband can be used to perform DL </w:t>
      </w:r>
      <w:r>
        <w:rPr>
          <w:b/>
          <w:bCs/>
        </w:rPr>
        <w:t>reception for cell-specific signalling</w:t>
      </w:r>
      <w:r w:rsidRPr="00F2239A">
        <w:rPr>
          <w:b/>
          <w:bCs/>
        </w:rPr>
        <w:t>.</w:t>
      </w:r>
    </w:p>
    <w:p w14:paraId="23D54A16" w14:textId="77777777" w:rsidR="003F6D15" w:rsidRPr="00B775C9" w:rsidRDefault="003F6D15" w:rsidP="003F6D15">
      <w:pPr>
        <w:pStyle w:val="Style1"/>
        <w:snapToGrid w:val="0"/>
        <w:spacing w:line="240" w:lineRule="auto"/>
        <w:ind w:firstLine="0"/>
        <w:contextualSpacing w:val="0"/>
        <w:rPr>
          <w:rFonts w:eastAsia="MS Gothic"/>
          <w:b/>
          <w:bCs/>
          <w:sz w:val="24"/>
          <w:lang w:val="en-GB" w:eastAsia="ja-JP"/>
        </w:rPr>
      </w:pPr>
      <w:r w:rsidRPr="00B775C9">
        <w:rPr>
          <w:rFonts w:eastAsia="MS Gothic"/>
          <w:b/>
          <w:bCs/>
          <w:sz w:val="24"/>
          <w:lang w:val="en-GB" w:eastAsia="ja-JP"/>
        </w:rPr>
        <w:t>Proposal 3: From SBFD capable UE perspective, UL subband can be used to perform DL reception as well as UL transmission.</w:t>
      </w:r>
    </w:p>
    <w:p w14:paraId="2009C875" w14:textId="77777777" w:rsidR="003F6D15" w:rsidRPr="0047313D" w:rsidRDefault="003F6D15" w:rsidP="003F6D15">
      <w:pPr>
        <w:rPr>
          <w:b/>
          <w:bCs/>
        </w:rPr>
      </w:pPr>
      <w:r w:rsidRPr="0047313D">
        <w:rPr>
          <w:b/>
          <w:bCs/>
        </w:rPr>
        <w:t xml:space="preserve">Proposal </w:t>
      </w:r>
      <w:r>
        <w:rPr>
          <w:b/>
          <w:bCs/>
        </w:rPr>
        <w:t>4</w:t>
      </w:r>
      <w:r w:rsidRPr="0047313D">
        <w:rPr>
          <w:b/>
          <w:bCs/>
        </w:rPr>
        <w:t>: Explicit/implicit configuration of length of the period for SBFD subband time location indication should be considered as a baseline.</w:t>
      </w:r>
    </w:p>
    <w:p w14:paraId="0D0EC5C9" w14:textId="77777777" w:rsidR="003F6D15" w:rsidRPr="00602FD5" w:rsidRDefault="003F6D15" w:rsidP="003F6D15">
      <w:pPr>
        <w:rPr>
          <w:b/>
          <w:bCs/>
        </w:rPr>
      </w:pPr>
      <w:r w:rsidRPr="00602FD5">
        <w:rPr>
          <w:b/>
          <w:bCs/>
        </w:rPr>
        <w:lastRenderedPageBreak/>
        <w:t xml:space="preserve">Proposal </w:t>
      </w:r>
      <w:r>
        <w:rPr>
          <w:b/>
          <w:bCs/>
        </w:rPr>
        <w:t>5</w:t>
      </w:r>
      <w:r w:rsidRPr="00602FD5">
        <w:rPr>
          <w:b/>
          <w:bCs/>
        </w:rPr>
        <w:t xml:space="preserve">: New dynamic signalling should be </w:t>
      </w:r>
      <w:r>
        <w:rPr>
          <w:b/>
          <w:bCs/>
        </w:rPr>
        <w:t>studied</w:t>
      </w:r>
      <w:r w:rsidRPr="00602FD5">
        <w:rPr>
          <w:b/>
          <w:bCs/>
        </w:rPr>
        <w:t xml:space="preserve"> to specify which direction of DL/UL is applied to the UL subband.</w:t>
      </w:r>
    </w:p>
    <w:p w14:paraId="79E379C9" w14:textId="77777777" w:rsidR="003F6D15" w:rsidRPr="00870F6F" w:rsidRDefault="003F6D15" w:rsidP="003F6D15">
      <w:pPr>
        <w:rPr>
          <w:b/>
          <w:bCs/>
        </w:rPr>
      </w:pPr>
      <w:r w:rsidRPr="00870F6F">
        <w:rPr>
          <w:b/>
          <w:bCs/>
        </w:rPr>
        <w:t xml:space="preserve">Proposal 6: When a SS/PBCH block overlaps with the UL subband in time and frequency resource, the UE should not expect UL transmission in the resource and the UE should be able to receive the SS/PBCH block. </w:t>
      </w:r>
    </w:p>
    <w:p w14:paraId="1C71E4E3" w14:textId="77777777" w:rsidR="003F6D15" w:rsidRPr="00982CCD" w:rsidRDefault="003F6D15" w:rsidP="003F6D15">
      <w:pPr>
        <w:rPr>
          <w:b/>
          <w:bCs/>
        </w:rPr>
      </w:pPr>
      <w:r w:rsidRPr="00982CCD">
        <w:rPr>
          <w:b/>
          <w:bCs/>
        </w:rPr>
        <w:t>Proposal 7: When a SS/PBCH block overlaps with the UL subband in time resource whereas the SS/PBCH block doesn’t overlap with the UL subband in frequency domain, the following two options should be further studied:</w:t>
      </w:r>
    </w:p>
    <w:p w14:paraId="5866996D" w14:textId="77777777" w:rsidR="003F6D15" w:rsidRPr="00982CCD" w:rsidRDefault="003F6D15" w:rsidP="003F6D15">
      <w:pPr>
        <w:pStyle w:val="ListParagraph"/>
        <w:numPr>
          <w:ilvl w:val="0"/>
          <w:numId w:val="45"/>
        </w:numPr>
        <w:ind w:leftChars="0"/>
        <w:rPr>
          <w:b/>
          <w:bCs/>
        </w:rPr>
      </w:pPr>
      <w:r w:rsidRPr="00982CCD">
        <w:rPr>
          <w:b/>
          <w:bCs/>
        </w:rPr>
        <w:t>The UE shouldn’t expect UL transmission in the resource and the UE should be able to receive the SS/PBCH block</w:t>
      </w:r>
    </w:p>
    <w:p w14:paraId="7318D6F1" w14:textId="77777777" w:rsidR="003F6D15" w:rsidRDefault="003F6D15" w:rsidP="003F6D15">
      <w:pPr>
        <w:pStyle w:val="ListParagraph"/>
        <w:numPr>
          <w:ilvl w:val="0"/>
          <w:numId w:val="45"/>
        </w:numPr>
        <w:ind w:leftChars="0"/>
      </w:pPr>
      <w:r w:rsidRPr="00982CCD">
        <w:rPr>
          <w:b/>
          <w:bCs/>
        </w:rPr>
        <w:t>The UE should expect UL transmission in the resource and the UE is not required to receive the SS/PBCH block</w:t>
      </w:r>
    </w:p>
    <w:p w14:paraId="280BF42B" w14:textId="77777777" w:rsidR="003F6D15" w:rsidRPr="002C245E" w:rsidRDefault="003F6D15" w:rsidP="003F6D15">
      <w:pPr>
        <w:rPr>
          <w:b/>
          <w:bCs/>
        </w:rPr>
      </w:pPr>
      <w:r w:rsidRPr="002C245E">
        <w:rPr>
          <w:b/>
          <w:bCs/>
        </w:rPr>
        <w:t>Proposal 8: The following two options can be further studied:</w:t>
      </w:r>
    </w:p>
    <w:p w14:paraId="6DA2EEC9" w14:textId="77777777" w:rsidR="003F6D15" w:rsidRPr="002C245E" w:rsidRDefault="003F6D15" w:rsidP="003F6D15">
      <w:pPr>
        <w:pStyle w:val="ListParagraph"/>
        <w:numPr>
          <w:ilvl w:val="0"/>
          <w:numId w:val="47"/>
        </w:numPr>
        <w:ind w:leftChars="0"/>
        <w:rPr>
          <w:b/>
          <w:bCs/>
        </w:rPr>
      </w:pPr>
      <w:r w:rsidRPr="002C245E">
        <w:rPr>
          <w:b/>
          <w:bCs/>
        </w:rPr>
        <w:t>CSI-RS allocation overlapping with the UL subband</w:t>
      </w:r>
    </w:p>
    <w:p w14:paraId="1EAF74B5" w14:textId="77777777" w:rsidR="003F6D15" w:rsidRDefault="003F6D15" w:rsidP="003F6D15">
      <w:pPr>
        <w:pStyle w:val="ListParagraph"/>
        <w:numPr>
          <w:ilvl w:val="0"/>
          <w:numId w:val="47"/>
        </w:numPr>
        <w:ind w:leftChars="0"/>
      </w:pPr>
      <w:r w:rsidRPr="002C245E">
        <w:rPr>
          <w:b/>
          <w:bCs/>
        </w:rPr>
        <w:t>CSI-RS configured with two partitions</w:t>
      </w:r>
    </w:p>
    <w:p w14:paraId="24F38207" w14:textId="77777777" w:rsidR="003F6D15" w:rsidRDefault="003F6D15" w:rsidP="003F6D15">
      <w:pPr>
        <w:rPr>
          <w:b/>
          <w:bCs/>
        </w:rPr>
      </w:pPr>
      <w:r w:rsidRPr="00103B7C">
        <w:rPr>
          <w:b/>
          <w:bCs/>
        </w:rPr>
        <w:t xml:space="preserve">Proposal </w:t>
      </w:r>
      <w:r>
        <w:rPr>
          <w:b/>
          <w:bCs/>
        </w:rPr>
        <w:t>9</w:t>
      </w:r>
      <w:r w:rsidRPr="00103B7C">
        <w:rPr>
          <w:b/>
          <w:bCs/>
        </w:rPr>
        <w:t>: For PDSCH resource allocation, type-1 RA with DCI format 1_0 in USS</w:t>
      </w:r>
      <w:r>
        <w:rPr>
          <w:b/>
          <w:bCs/>
        </w:rPr>
        <w:t xml:space="preserve"> and type-0 RA</w:t>
      </w:r>
      <w:r w:rsidRPr="00103B7C">
        <w:rPr>
          <w:b/>
          <w:bCs/>
        </w:rPr>
        <w:t xml:space="preserve"> is priority.</w:t>
      </w:r>
    </w:p>
    <w:p w14:paraId="448BC2E6" w14:textId="77777777" w:rsidR="003F6D15" w:rsidRPr="006913F2" w:rsidRDefault="003F6D15" w:rsidP="003F6D15">
      <w:pPr>
        <w:rPr>
          <w:b/>
          <w:bCs/>
        </w:rPr>
      </w:pPr>
      <w:r w:rsidRPr="006913F2">
        <w:rPr>
          <w:b/>
          <w:bCs/>
        </w:rPr>
        <w:t xml:space="preserve">Proposal </w:t>
      </w:r>
      <w:r>
        <w:rPr>
          <w:b/>
          <w:bCs/>
        </w:rPr>
        <w:t>10</w:t>
      </w:r>
      <w:r w:rsidRPr="006913F2">
        <w:rPr>
          <w:b/>
          <w:bCs/>
        </w:rPr>
        <w:t>: RAN1 should discuss whether simultaneous SS/PBCH block transmission and UL reception in SBFD symbols would be supported or not, before discussing the collision between SS/PBCH blocks and any UL transmission.</w:t>
      </w:r>
    </w:p>
    <w:p w14:paraId="3ECEF8CC" w14:textId="77777777" w:rsidR="003F6D15" w:rsidRPr="00067495" w:rsidRDefault="003F6D15" w:rsidP="003F6D15">
      <w:pPr>
        <w:rPr>
          <w:b/>
          <w:bCs/>
        </w:rPr>
      </w:pPr>
      <w:r w:rsidRPr="00067495">
        <w:rPr>
          <w:b/>
          <w:bCs/>
        </w:rPr>
        <w:t>Proposal 1</w:t>
      </w:r>
      <w:r>
        <w:rPr>
          <w:b/>
          <w:bCs/>
        </w:rPr>
        <w:t>1</w:t>
      </w:r>
      <w:r w:rsidRPr="00067495">
        <w:rPr>
          <w:b/>
          <w:bCs/>
        </w:rPr>
        <w:t>: No further study on handling cases of collision between higher layer configured DL and UL.</w:t>
      </w:r>
    </w:p>
    <w:p w14:paraId="0E91F40F" w14:textId="77777777" w:rsidR="003F6D15" w:rsidRPr="009B7ED0" w:rsidRDefault="003F6D15" w:rsidP="003F6D15">
      <w:pPr>
        <w:rPr>
          <w:b/>
          <w:bCs/>
        </w:rPr>
      </w:pPr>
      <w:r w:rsidRPr="009B7ED0">
        <w:rPr>
          <w:b/>
          <w:bCs/>
        </w:rPr>
        <w:t xml:space="preserve">Proposal 12: RAN1 further study the impact on </w:t>
      </w:r>
      <w:r>
        <w:rPr>
          <w:b/>
          <w:bCs/>
        </w:rPr>
        <w:t xml:space="preserve">procedures for UE-specific </w:t>
      </w:r>
      <w:r w:rsidRPr="009B7ED0">
        <w:rPr>
          <w:b/>
          <w:bCs/>
        </w:rPr>
        <w:t>uplink repetition.</w:t>
      </w:r>
    </w:p>
    <w:p w14:paraId="68157370" w14:textId="77777777" w:rsidR="003F6D15" w:rsidRPr="00A214E4" w:rsidRDefault="003F6D15" w:rsidP="003F6D15">
      <w:pPr>
        <w:rPr>
          <w:b/>
          <w:bCs/>
        </w:rPr>
      </w:pPr>
      <w:r w:rsidRPr="00A214E4">
        <w:rPr>
          <w:b/>
          <w:bCs/>
        </w:rPr>
        <w:t>Proposal 13: Msg3 PUSCH repetition should be studied for SBFD.</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5613F454" w14:textId="56910B5D" w:rsidR="003F6D15" w:rsidRDefault="009960F9" w:rsidP="003F6D15">
      <w:pPr>
        <w:pStyle w:val="textintend2"/>
        <w:widowControl w:val="0"/>
        <w:numPr>
          <w:ilvl w:val="0"/>
          <w:numId w:val="0"/>
        </w:numPr>
        <w:spacing w:after="0"/>
        <w:ind w:left="420" w:hanging="420"/>
        <w:rPr>
          <w:szCs w:val="24"/>
          <w:lang w:eastAsia="ja-JP"/>
        </w:rPr>
      </w:pPr>
      <w:r>
        <w:rPr>
          <w:szCs w:val="24"/>
          <w:lang w:eastAsia="ja-JP"/>
        </w:rPr>
        <w:t>[1]</w:t>
      </w:r>
      <w:r>
        <w:rPr>
          <w:szCs w:val="24"/>
          <w:lang w:eastAsia="ja-JP"/>
        </w:rPr>
        <w:tab/>
      </w:r>
      <w:r w:rsidR="00B93597">
        <w:rPr>
          <w:szCs w:val="24"/>
          <w:lang w:eastAsia="ja-JP"/>
        </w:rPr>
        <w:t>RAN1 chairman’s note at RAN1#1</w:t>
      </w:r>
      <w:r w:rsidR="008571CE">
        <w:rPr>
          <w:szCs w:val="24"/>
          <w:lang w:eastAsia="ja-JP"/>
        </w:rPr>
        <w:t>10</w:t>
      </w:r>
      <w:r w:rsidR="00DC026E">
        <w:rPr>
          <w:szCs w:val="24"/>
          <w:lang w:eastAsia="ja-JP"/>
        </w:rPr>
        <w:t>bis</w:t>
      </w:r>
      <w:r w:rsidR="00B93597">
        <w:rPr>
          <w:szCs w:val="24"/>
          <w:lang w:eastAsia="ja-JP"/>
        </w:rPr>
        <w:t xml:space="preserve"> </w:t>
      </w:r>
      <w:r w:rsidR="00DC026E">
        <w:rPr>
          <w:szCs w:val="24"/>
          <w:lang w:eastAsia="ja-JP"/>
        </w:rPr>
        <w:t>e-</w:t>
      </w:r>
      <w:r w:rsidR="00B93597">
        <w:rPr>
          <w:szCs w:val="24"/>
          <w:lang w:eastAsia="ja-JP"/>
        </w:rPr>
        <w:t xml:space="preserve">meeting, </w:t>
      </w:r>
      <w:r w:rsidR="00DC026E">
        <w:rPr>
          <w:szCs w:val="24"/>
          <w:lang w:eastAsia="ja-JP"/>
        </w:rPr>
        <w:t>October</w:t>
      </w:r>
      <w:r w:rsidR="00B93597">
        <w:rPr>
          <w:szCs w:val="24"/>
          <w:lang w:eastAsia="ja-JP"/>
        </w:rPr>
        <w:t xml:space="preserve"> 2022</w:t>
      </w:r>
    </w:p>
    <w:p w14:paraId="3772A8EC" w14:textId="35C898D1" w:rsidR="003F6D15" w:rsidRDefault="003F6D15" w:rsidP="00596839">
      <w:pPr>
        <w:pStyle w:val="textintend2"/>
        <w:widowControl w:val="0"/>
        <w:numPr>
          <w:ilvl w:val="0"/>
          <w:numId w:val="0"/>
        </w:numPr>
        <w:spacing w:after="0"/>
        <w:ind w:left="420" w:hanging="420"/>
        <w:rPr>
          <w:szCs w:val="24"/>
          <w:lang w:eastAsia="ja-JP"/>
        </w:rPr>
      </w:pPr>
      <w:r>
        <w:rPr>
          <w:szCs w:val="24"/>
          <w:lang w:eastAsia="ja-JP"/>
        </w:rPr>
        <w:t>[2]</w:t>
      </w:r>
      <w:r w:rsidRPr="003F6D15">
        <w:rPr>
          <w:szCs w:val="24"/>
          <w:lang w:eastAsia="ja-JP"/>
        </w:rPr>
        <w:t xml:space="preserve"> </w:t>
      </w:r>
      <w:r>
        <w:rPr>
          <w:szCs w:val="24"/>
          <w:lang w:eastAsia="ja-JP"/>
        </w:rPr>
        <w:tab/>
        <w:t xml:space="preserve">RAN1 chairman’s note at RAN1#110 meeting, </w:t>
      </w:r>
      <w:r>
        <w:rPr>
          <w:szCs w:val="24"/>
          <w:lang w:eastAsia="ja-JP"/>
        </w:rPr>
        <w:t>August</w:t>
      </w:r>
      <w:r>
        <w:rPr>
          <w:szCs w:val="24"/>
          <w:lang w:eastAsia="ja-JP"/>
        </w:rPr>
        <w:t xml:space="preserve"> 2022</w:t>
      </w:r>
    </w:p>
    <w:p w14:paraId="6B9B4A70" w14:textId="7A6FE3AD" w:rsidR="003F6D15" w:rsidRDefault="003F6D15" w:rsidP="00596839">
      <w:pPr>
        <w:pStyle w:val="textintend2"/>
        <w:widowControl w:val="0"/>
        <w:numPr>
          <w:ilvl w:val="0"/>
          <w:numId w:val="0"/>
        </w:numPr>
        <w:spacing w:after="0"/>
        <w:ind w:left="420" w:hanging="420"/>
        <w:rPr>
          <w:szCs w:val="24"/>
          <w:lang w:eastAsia="ja-JP"/>
        </w:rPr>
      </w:pPr>
      <w:r>
        <w:rPr>
          <w:szCs w:val="24"/>
          <w:lang w:eastAsia="ja-JP"/>
        </w:rPr>
        <w:t xml:space="preserve">[3] </w:t>
      </w:r>
      <w:r>
        <w:rPr>
          <w:szCs w:val="24"/>
          <w:lang w:eastAsia="ja-JP"/>
        </w:rPr>
        <w:tab/>
        <w:t>RAN1 chairman’s note at RAN1#1</w:t>
      </w:r>
      <w:r>
        <w:rPr>
          <w:szCs w:val="24"/>
          <w:lang w:eastAsia="ja-JP"/>
        </w:rPr>
        <w:t>09</w:t>
      </w:r>
      <w:r>
        <w:rPr>
          <w:szCs w:val="24"/>
          <w:lang w:eastAsia="ja-JP"/>
        </w:rPr>
        <w:t xml:space="preserve"> e-meeting, </w:t>
      </w:r>
      <w:r>
        <w:rPr>
          <w:szCs w:val="24"/>
          <w:lang w:eastAsia="ja-JP"/>
        </w:rPr>
        <w:t>May</w:t>
      </w:r>
      <w:r>
        <w:rPr>
          <w:szCs w:val="24"/>
          <w:lang w:eastAsia="ja-JP"/>
        </w:rPr>
        <w:t xml:space="preserve"> 2022</w:t>
      </w:r>
    </w:p>
    <w:p w14:paraId="3F518E56" w14:textId="57411A65" w:rsidR="001301CB" w:rsidRDefault="001301CB" w:rsidP="00596839">
      <w:pPr>
        <w:pStyle w:val="textintend2"/>
        <w:widowControl w:val="0"/>
        <w:numPr>
          <w:ilvl w:val="0"/>
          <w:numId w:val="0"/>
        </w:numPr>
        <w:spacing w:after="0"/>
        <w:ind w:left="420" w:hanging="420"/>
        <w:rPr>
          <w:szCs w:val="24"/>
          <w:lang w:eastAsia="ja-JP"/>
        </w:rPr>
      </w:pPr>
    </w:p>
    <w:p w14:paraId="21370241" w14:textId="77777777" w:rsidR="001301CB" w:rsidRPr="00207144" w:rsidRDefault="001301CB" w:rsidP="00596839">
      <w:pPr>
        <w:pStyle w:val="textintend2"/>
        <w:widowControl w:val="0"/>
        <w:numPr>
          <w:ilvl w:val="0"/>
          <w:numId w:val="0"/>
        </w:numPr>
        <w:spacing w:after="0"/>
        <w:ind w:left="420" w:hanging="420"/>
        <w:rPr>
          <w:szCs w:val="24"/>
          <w:lang w:eastAsia="ja-JP"/>
        </w:rPr>
      </w:pPr>
    </w:p>
    <w:sectPr w:rsidR="001301CB" w:rsidRPr="00207144" w:rsidSect="008C6B64">
      <w:footerReference w:type="default" r:id="rId24"/>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75D0C" w14:textId="77777777" w:rsidR="00BC0B59" w:rsidRDefault="00BC0B59">
      <w:r>
        <w:separator/>
      </w:r>
    </w:p>
  </w:endnote>
  <w:endnote w:type="continuationSeparator" w:id="0">
    <w:p w14:paraId="735A9460" w14:textId="77777777" w:rsidR="00BC0B59" w:rsidRDefault="00BC0B59">
      <w:r>
        <w:continuationSeparator/>
      </w:r>
    </w:p>
  </w:endnote>
  <w:endnote w:type="continuationNotice" w:id="1">
    <w:p w14:paraId="6053B064" w14:textId="77777777" w:rsidR="00BC0B59" w:rsidRDefault="00BC0B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461EE" w14:textId="77777777" w:rsidR="00BC0B59" w:rsidRDefault="00BC0B59">
      <w:r>
        <w:separator/>
      </w:r>
    </w:p>
  </w:footnote>
  <w:footnote w:type="continuationSeparator" w:id="0">
    <w:p w14:paraId="7E25B8BB" w14:textId="77777777" w:rsidR="00BC0B59" w:rsidRDefault="00BC0B59">
      <w:r>
        <w:continuationSeparator/>
      </w:r>
    </w:p>
  </w:footnote>
  <w:footnote w:type="continuationNotice" w:id="1">
    <w:p w14:paraId="3D5792BF" w14:textId="77777777" w:rsidR="00BC0B59" w:rsidRDefault="00BC0B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64578FF"/>
    <w:multiLevelType w:val="hybridMultilevel"/>
    <w:tmpl w:val="32BE31BE"/>
    <w:lvl w:ilvl="0" w:tplc="062CFE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AD5E8A"/>
    <w:multiLevelType w:val="hybridMultilevel"/>
    <w:tmpl w:val="82AEB01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cs="Times New Roman" w:hint="default"/>
      </w:rPr>
    </w:lvl>
    <w:lvl w:ilvl="1" w:tplc="F2DA3274">
      <w:start w:val="1"/>
      <w:numFmt w:val="bullet"/>
      <w:lvlText w:val="•"/>
      <w:lvlJc w:val="left"/>
      <w:pPr>
        <w:tabs>
          <w:tab w:val="num" w:pos="1440"/>
        </w:tabs>
        <w:ind w:left="1440" w:hanging="360"/>
      </w:pPr>
      <w:rPr>
        <w:rFonts w:ascii="Arial" w:hAnsi="Arial" w:cs="Times New Roman" w:hint="default"/>
      </w:rPr>
    </w:lvl>
    <w:lvl w:ilvl="2" w:tplc="00C02EDA">
      <w:start w:val="1"/>
      <w:numFmt w:val="bullet"/>
      <w:lvlText w:val="•"/>
      <w:lvlJc w:val="left"/>
      <w:pPr>
        <w:tabs>
          <w:tab w:val="num" w:pos="2160"/>
        </w:tabs>
        <w:ind w:left="2160" w:hanging="360"/>
      </w:pPr>
      <w:rPr>
        <w:rFonts w:ascii="Arial" w:hAnsi="Arial" w:cs="Times New Roman" w:hint="default"/>
      </w:rPr>
    </w:lvl>
    <w:lvl w:ilvl="3" w:tplc="D2E6725E">
      <w:start w:val="1"/>
      <w:numFmt w:val="bullet"/>
      <w:lvlText w:val="•"/>
      <w:lvlJc w:val="left"/>
      <w:pPr>
        <w:tabs>
          <w:tab w:val="num" w:pos="2880"/>
        </w:tabs>
        <w:ind w:left="2880" w:hanging="360"/>
      </w:pPr>
      <w:rPr>
        <w:rFonts w:ascii="Arial" w:hAnsi="Arial" w:cs="Times New Roman" w:hint="default"/>
      </w:rPr>
    </w:lvl>
    <w:lvl w:ilvl="4" w:tplc="060E918C">
      <w:start w:val="1"/>
      <w:numFmt w:val="bullet"/>
      <w:lvlText w:val="•"/>
      <w:lvlJc w:val="left"/>
      <w:pPr>
        <w:tabs>
          <w:tab w:val="num" w:pos="3600"/>
        </w:tabs>
        <w:ind w:left="3600" w:hanging="360"/>
      </w:pPr>
      <w:rPr>
        <w:rFonts w:ascii="Arial" w:hAnsi="Arial" w:cs="Times New Roman" w:hint="default"/>
      </w:rPr>
    </w:lvl>
    <w:lvl w:ilvl="5" w:tplc="5016C040">
      <w:start w:val="1"/>
      <w:numFmt w:val="bullet"/>
      <w:lvlText w:val="•"/>
      <w:lvlJc w:val="left"/>
      <w:pPr>
        <w:tabs>
          <w:tab w:val="num" w:pos="4320"/>
        </w:tabs>
        <w:ind w:left="4320" w:hanging="360"/>
      </w:pPr>
      <w:rPr>
        <w:rFonts w:ascii="Arial" w:hAnsi="Arial" w:cs="Times New Roman" w:hint="default"/>
      </w:rPr>
    </w:lvl>
    <w:lvl w:ilvl="6" w:tplc="FC90E0F0">
      <w:start w:val="1"/>
      <w:numFmt w:val="bullet"/>
      <w:lvlText w:val="•"/>
      <w:lvlJc w:val="left"/>
      <w:pPr>
        <w:tabs>
          <w:tab w:val="num" w:pos="5040"/>
        </w:tabs>
        <w:ind w:left="5040" w:hanging="360"/>
      </w:pPr>
      <w:rPr>
        <w:rFonts w:ascii="Arial" w:hAnsi="Arial" w:cs="Times New Roman" w:hint="default"/>
      </w:rPr>
    </w:lvl>
    <w:lvl w:ilvl="7" w:tplc="D66C6DBA">
      <w:start w:val="1"/>
      <w:numFmt w:val="bullet"/>
      <w:lvlText w:val="•"/>
      <w:lvlJc w:val="left"/>
      <w:pPr>
        <w:tabs>
          <w:tab w:val="num" w:pos="5760"/>
        </w:tabs>
        <w:ind w:left="5760" w:hanging="360"/>
      </w:pPr>
      <w:rPr>
        <w:rFonts w:ascii="Arial" w:hAnsi="Arial" w:cs="Times New Roman" w:hint="default"/>
      </w:rPr>
    </w:lvl>
    <w:lvl w:ilvl="8" w:tplc="E05604DA">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CE06C76"/>
    <w:multiLevelType w:val="hybridMultilevel"/>
    <w:tmpl w:val="4E6C1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F67181"/>
    <w:multiLevelType w:val="hybridMultilevel"/>
    <w:tmpl w:val="82AEB014"/>
    <w:lvl w:ilvl="0" w:tplc="062CFE62">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1" w15:restartNumberingAfterBreak="0">
    <w:nsid w:val="21F72EA7"/>
    <w:multiLevelType w:val="hybridMultilevel"/>
    <w:tmpl w:val="82AEB01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2222C18"/>
    <w:multiLevelType w:val="hybridMultilevel"/>
    <w:tmpl w:val="DBC241E0"/>
    <w:lvl w:ilvl="0" w:tplc="A7747B04">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3" w15:restartNumberingAfterBreak="0">
    <w:nsid w:val="249E711D"/>
    <w:multiLevelType w:val="hybridMultilevel"/>
    <w:tmpl w:val="72022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8730A2"/>
    <w:multiLevelType w:val="hybridMultilevel"/>
    <w:tmpl w:val="CC7AF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0126C7"/>
    <w:multiLevelType w:val="hybridMultilevel"/>
    <w:tmpl w:val="82AEB01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F340ABB"/>
    <w:multiLevelType w:val="hybridMultilevel"/>
    <w:tmpl w:val="9184180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32006985"/>
    <w:multiLevelType w:val="hybridMultilevel"/>
    <w:tmpl w:val="C46E2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61039E"/>
    <w:multiLevelType w:val="hybridMultilevel"/>
    <w:tmpl w:val="82AEB01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50F433C"/>
    <w:multiLevelType w:val="hybridMultilevel"/>
    <w:tmpl w:val="6FA8F2E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814BE1"/>
    <w:multiLevelType w:val="hybridMultilevel"/>
    <w:tmpl w:val="3782C2E8"/>
    <w:lvl w:ilvl="0" w:tplc="727C68CE">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2" w15:restartNumberingAfterBreak="0">
    <w:nsid w:val="3C41460D"/>
    <w:multiLevelType w:val="hybridMultilevel"/>
    <w:tmpl w:val="82AEB01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C4155C0"/>
    <w:multiLevelType w:val="hybridMultilevel"/>
    <w:tmpl w:val="40D24AC2"/>
    <w:lvl w:ilvl="0" w:tplc="5590D90C">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4"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5" w15:restartNumberingAfterBreak="0">
    <w:nsid w:val="42284D91"/>
    <w:multiLevelType w:val="hybridMultilevel"/>
    <w:tmpl w:val="EC285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27636B"/>
    <w:multiLevelType w:val="hybridMultilevel"/>
    <w:tmpl w:val="7EB21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0" w15:restartNumberingAfterBreak="0">
    <w:nsid w:val="4D7F4210"/>
    <w:multiLevelType w:val="hybridMultilevel"/>
    <w:tmpl w:val="32BE31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F53747D"/>
    <w:multiLevelType w:val="hybridMultilevel"/>
    <w:tmpl w:val="82AEB01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2F66840"/>
    <w:multiLevelType w:val="hybridMultilevel"/>
    <w:tmpl w:val="51D25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7F3C98"/>
    <w:multiLevelType w:val="hybridMultilevel"/>
    <w:tmpl w:val="BA084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BC397C"/>
    <w:multiLevelType w:val="hybridMultilevel"/>
    <w:tmpl w:val="23B8B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1D473F"/>
    <w:multiLevelType w:val="hybridMultilevel"/>
    <w:tmpl w:val="1550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C0B65"/>
    <w:multiLevelType w:val="hybridMultilevel"/>
    <w:tmpl w:val="BCE89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C8163A"/>
    <w:multiLevelType w:val="hybridMultilevel"/>
    <w:tmpl w:val="82AEB01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0" w15:restartNumberingAfterBreak="0">
    <w:nsid w:val="713962D6"/>
    <w:multiLevelType w:val="hybridMultilevel"/>
    <w:tmpl w:val="D0945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15:restartNumberingAfterBreak="0">
    <w:nsid w:val="738C238B"/>
    <w:multiLevelType w:val="hybridMultilevel"/>
    <w:tmpl w:val="7A9C53CE"/>
    <w:lvl w:ilvl="0" w:tplc="062CFE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8854A0"/>
    <w:multiLevelType w:val="hybridMultilevel"/>
    <w:tmpl w:val="9D5A0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AD2D62"/>
    <w:multiLevelType w:val="hybridMultilevel"/>
    <w:tmpl w:val="67A0C8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15:restartNumberingAfterBreak="0">
    <w:nsid w:val="7C7446C7"/>
    <w:multiLevelType w:val="hybridMultilevel"/>
    <w:tmpl w:val="82AEB01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F373A19"/>
    <w:multiLevelType w:val="hybridMultilevel"/>
    <w:tmpl w:val="82AEB01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40642539">
    <w:abstractNumId w:val="39"/>
  </w:num>
  <w:num w:numId="2" w16cid:durableId="24448087">
    <w:abstractNumId w:val="4"/>
  </w:num>
  <w:num w:numId="3" w16cid:durableId="10080189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41"/>
  </w:num>
  <w:num w:numId="5" w16cid:durableId="846208585">
    <w:abstractNumId w:val="28"/>
  </w:num>
  <w:num w:numId="6" w16cid:durableId="91829759">
    <w:abstractNumId w:val="29"/>
  </w:num>
  <w:num w:numId="7" w16cid:durableId="1154877211">
    <w:abstractNumId w:val="26"/>
  </w:num>
  <w:num w:numId="8" w16cid:durableId="321782556">
    <w:abstractNumId w:val="2"/>
  </w:num>
  <w:num w:numId="9" w16cid:durableId="1159426595">
    <w:abstractNumId w:val="45"/>
  </w:num>
  <w:num w:numId="10" w16cid:durableId="942692334">
    <w:abstractNumId w:val="24"/>
  </w:num>
  <w:num w:numId="11" w16cid:durableId="1159467531">
    <w:abstractNumId w:val="0"/>
  </w:num>
  <w:num w:numId="12" w16cid:durableId="167302806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36258508">
    <w:abstractNumId w:val="17"/>
  </w:num>
  <w:num w:numId="14" w16cid:durableId="831607537">
    <w:abstractNumId w:val="23"/>
  </w:num>
  <w:num w:numId="15" w16cid:durableId="725301142">
    <w:abstractNumId w:val="21"/>
  </w:num>
  <w:num w:numId="16" w16cid:durableId="232938540">
    <w:abstractNumId w:val="34"/>
  </w:num>
  <w:num w:numId="17" w16cid:durableId="517040673">
    <w:abstractNumId w:val="10"/>
  </w:num>
  <w:num w:numId="18" w16cid:durableId="1762333867">
    <w:abstractNumId w:val="8"/>
  </w:num>
  <w:num w:numId="19" w16cid:durableId="1039354383">
    <w:abstractNumId w:val="12"/>
  </w:num>
  <w:num w:numId="20" w16cid:durableId="296958507">
    <w:abstractNumId w:val="27"/>
  </w:num>
  <w:num w:numId="21" w16cid:durableId="796947266">
    <w:abstractNumId w:val="42"/>
  </w:num>
  <w:num w:numId="22" w16cid:durableId="593317157">
    <w:abstractNumId w:val="9"/>
  </w:num>
  <w:num w:numId="23" w16cid:durableId="2115443400">
    <w:abstractNumId w:val="5"/>
  </w:num>
  <w:num w:numId="24" w16cid:durableId="79372337">
    <w:abstractNumId w:val="47"/>
  </w:num>
  <w:num w:numId="25" w16cid:durableId="947392624">
    <w:abstractNumId w:val="31"/>
  </w:num>
  <w:num w:numId="26" w16cid:durableId="402411205">
    <w:abstractNumId w:val="30"/>
  </w:num>
  <w:num w:numId="27" w16cid:durableId="780799919">
    <w:abstractNumId w:val="6"/>
  </w:num>
  <w:num w:numId="28" w16cid:durableId="1418674624">
    <w:abstractNumId w:val="20"/>
  </w:num>
  <w:num w:numId="29" w16cid:durableId="1667594136">
    <w:abstractNumId w:val="38"/>
  </w:num>
  <w:num w:numId="30" w16cid:durableId="716051708">
    <w:abstractNumId w:val="16"/>
  </w:num>
  <w:num w:numId="31" w16cid:durableId="1246765139">
    <w:abstractNumId w:val="15"/>
  </w:num>
  <w:num w:numId="32" w16cid:durableId="55903899">
    <w:abstractNumId w:val="11"/>
  </w:num>
  <w:num w:numId="33" w16cid:durableId="728266413">
    <w:abstractNumId w:val="22"/>
  </w:num>
  <w:num w:numId="34" w16cid:durableId="1863474548">
    <w:abstractNumId w:val="19"/>
  </w:num>
  <w:num w:numId="35" w16cid:durableId="691538779">
    <w:abstractNumId w:val="1"/>
  </w:num>
  <w:num w:numId="36" w16cid:durableId="850604885">
    <w:abstractNumId w:val="7"/>
  </w:num>
  <w:num w:numId="37" w16cid:durableId="405539904">
    <w:abstractNumId w:val="3"/>
  </w:num>
  <w:num w:numId="38" w16cid:durableId="1366370490">
    <w:abstractNumId w:val="13"/>
  </w:num>
  <w:num w:numId="39" w16cid:durableId="95373602">
    <w:abstractNumId w:val="43"/>
  </w:num>
  <w:num w:numId="40" w16cid:durableId="2100517467">
    <w:abstractNumId w:val="46"/>
  </w:num>
  <w:num w:numId="41" w16cid:durableId="1998027764">
    <w:abstractNumId w:val="36"/>
  </w:num>
  <w:num w:numId="42" w16cid:durableId="870217768">
    <w:abstractNumId w:val="44"/>
  </w:num>
  <w:num w:numId="43" w16cid:durableId="1347438302">
    <w:abstractNumId w:val="40"/>
  </w:num>
  <w:num w:numId="44" w16cid:durableId="2084133482">
    <w:abstractNumId w:val="33"/>
  </w:num>
  <w:num w:numId="45" w16cid:durableId="1546022431">
    <w:abstractNumId w:val="37"/>
  </w:num>
  <w:num w:numId="46" w16cid:durableId="424881473">
    <w:abstractNumId w:val="35"/>
  </w:num>
  <w:num w:numId="47" w16cid:durableId="582950755">
    <w:abstractNumId w:val="25"/>
  </w:num>
  <w:num w:numId="48" w16cid:durableId="593825836">
    <w:abstractNumId w:val="14"/>
  </w:num>
  <w:num w:numId="49" w16cid:durableId="619798395">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E3E"/>
    <w:rsid w:val="00006215"/>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624D"/>
    <w:rsid w:val="00026375"/>
    <w:rsid w:val="000264CE"/>
    <w:rsid w:val="00026754"/>
    <w:rsid w:val="00026A45"/>
    <w:rsid w:val="00026B1E"/>
    <w:rsid w:val="000272ED"/>
    <w:rsid w:val="000273F8"/>
    <w:rsid w:val="00027524"/>
    <w:rsid w:val="00027F14"/>
    <w:rsid w:val="00027F2C"/>
    <w:rsid w:val="000305D8"/>
    <w:rsid w:val="0003072F"/>
    <w:rsid w:val="0003088A"/>
    <w:rsid w:val="00030D77"/>
    <w:rsid w:val="0003108F"/>
    <w:rsid w:val="0003119F"/>
    <w:rsid w:val="00031693"/>
    <w:rsid w:val="00031D64"/>
    <w:rsid w:val="00031D6C"/>
    <w:rsid w:val="00032022"/>
    <w:rsid w:val="000325A3"/>
    <w:rsid w:val="000326E6"/>
    <w:rsid w:val="00032837"/>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3BE"/>
    <w:rsid w:val="000379A2"/>
    <w:rsid w:val="00040145"/>
    <w:rsid w:val="0004029F"/>
    <w:rsid w:val="00040407"/>
    <w:rsid w:val="000405DD"/>
    <w:rsid w:val="00040623"/>
    <w:rsid w:val="000406B8"/>
    <w:rsid w:val="000411FC"/>
    <w:rsid w:val="000416C8"/>
    <w:rsid w:val="00041D56"/>
    <w:rsid w:val="00041F25"/>
    <w:rsid w:val="00042102"/>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54"/>
    <w:rsid w:val="0004629B"/>
    <w:rsid w:val="00046383"/>
    <w:rsid w:val="0004650E"/>
    <w:rsid w:val="00046886"/>
    <w:rsid w:val="00046AFB"/>
    <w:rsid w:val="00046B00"/>
    <w:rsid w:val="00046B44"/>
    <w:rsid w:val="00046D47"/>
    <w:rsid w:val="00047314"/>
    <w:rsid w:val="00047550"/>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213"/>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ED6"/>
    <w:rsid w:val="00060304"/>
    <w:rsid w:val="000603B9"/>
    <w:rsid w:val="000604CB"/>
    <w:rsid w:val="000608DA"/>
    <w:rsid w:val="00060B1E"/>
    <w:rsid w:val="00061021"/>
    <w:rsid w:val="000611F8"/>
    <w:rsid w:val="00061964"/>
    <w:rsid w:val="00061A1C"/>
    <w:rsid w:val="00061A48"/>
    <w:rsid w:val="00061C34"/>
    <w:rsid w:val="00061CE6"/>
    <w:rsid w:val="00061ED4"/>
    <w:rsid w:val="00061F59"/>
    <w:rsid w:val="00062120"/>
    <w:rsid w:val="000625CF"/>
    <w:rsid w:val="00062EED"/>
    <w:rsid w:val="000630AD"/>
    <w:rsid w:val="00063196"/>
    <w:rsid w:val="0006344D"/>
    <w:rsid w:val="00063956"/>
    <w:rsid w:val="00063A65"/>
    <w:rsid w:val="00063E01"/>
    <w:rsid w:val="00064AA4"/>
    <w:rsid w:val="00064B7C"/>
    <w:rsid w:val="0006577C"/>
    <w:rsid w:val="000661B7"/>
    <w:rsid w:val="00066761"/>
    <w:rsid w:val="00066871"/>
    <w:rsid w:val="0006689C"/>
    <w:rsid w:val="00066D76"/>
    <w:rsid w:val="00067436"/>
    <w:rsid w:val="00067495"/>
    <w:rsid w:val="000674EA"/>
    <w:rsid w:val="0006757E"/>
    <w:rsid w:val="0006793D"/>
    <w:rsid w:val="00067BD9"/>
    <w:rsid w:val="00067C95"/>
    <w:rsid w:val="00067E35"/>
    <w:rsid w:val="00067E3A"/>
    <w:rsid w:val="00067F48"/>
    <w:rsid w:val="0007046F"/>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B"/>
    <w:rsid w:val="000738CF"/>
    <w:rsid w:val="0007390E"/>
    <w:rsid w:val="00073BFF"/>
    <w:rsid w:val="00073C1C"/>
    <w:rsid w:val="0007414C"/>
    <w:rsid w:val="00074649"/>
    <w:rsid w:val="00074B41"/>
    <w:rsid w:val="00074C14"/>
    <w:rsid w:val="000757F2"/>
    <w:rsid w:val="0007595A"/>
    <w:rsid w:val="00075DF1"/>
    <w:rsid w:val="00075E62"/>
    <w:rsid w:val="00075E7B"/>
    <w:rsid w:val="000760A7"/>
    <w:rsid w:val="000761C7"/>
    <w:rsid w:val="0007649B"/>
    <w:rsid w:val="00076AF8"/>
    <w:rsid w:val="00076C65"/>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647"/>
    <w:rsid w:val="00081752"/>
    <w:rsid w:val="00081921"/>
    <w:rsid w:val="00081B37"/>
    <w:rsid w:val="00081B72"/>
    <w:rsid w:val="00081DD6"/>
    <w:rsid w:val="000821FB"/>
    <w:rsid w:val="00082308"/>
    <w:rsid w:val="00082937"/>
    <w:rsid w:val="00082A19"/>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6F45"/>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06F"/>
    <w:rsid w:val="000932E3"/>
    <w:rsid w:val="00093493"/>
    <w:rsid w:val="00093727"/>
    <w:rsid w:val="0009372B"/>
    <w:rsid w:val="00093766"/>
    <w:rsid w:val="00093789"/>
    <w:rsid w:val="00093AD6"/>
    <w:rsid w:val="000943AC"/>
    <w:rsid w:val="000948B8"/>
    <w:rsid w:val="00094987"/>
    <w:rsid w:val="00094B06"/>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07E"/>
    <w:rsid w:val="000A12FE"/>
    <w:rsid w:val="000A1346"/>
    <w:rsid w:val="000A13F9"/>
    <w:rsid w:val="000A1ABF"/>
    <w:rsid w:val="000A1B48"/>
    <w:rsid w:val="000A1F3E"/>
    <w:rsid w:val="000A226D"/>
    <w:rsid w:val="000A23AE"/>
    <w:rsid w:val="000A24D4"/>
    <w:rsid w:val="000A281C"/>
    <w:rsid w:val="000A2975"/>
    <w:rsid w:val="000A2985"/>
    <w:rsid w:val="000A2A93"/>
    <w:rsid w:val="000A2E8E"/>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381"/>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4C42"/>
    <w:rsid w:val="000B5933"/>
    <w:rsid w:val="000B6189"/>
    <w:rsid w:val="000B6CB2"/>
    <w:rsid w:val="000B6E61"/>
    <w:rsid w:val="000B6E92"/>
    <w:rsid w:val="000B7041"/>
    <w:rsid w:val="000B790D"/>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94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FC3"/>
    <w:rsid w:val="000D1DD5"/>
    <w:rsid w:val="000D20DC"/>
    <w:rsid w:val="000D20FF"/>
    <w:rsid w:val="000D2283"/>
    <w:rsid w:val="000D251E"/>
    <w:rsid w:val="000D264C"/>
    <w:rsid w:val="000D27F6"/>
    <w:rsid w:val="000D282D"/>
    <w:rsid w:val="000D2851"/>
    <w:rsid w:val="000D2FC9"/>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919"/>
    <w:rsid w:val="000E0B63"/>
    <w:rsid w:val="000E0BEE"/>
    <w:rsid w:val="000E0F2B"/>
    <w:rsid w:val="000E1291"/>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07C"/>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53C1"/>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DEB"/>
    <w:rsid w:val="00100E06"/>
    <w:rsid w:val="00100F9D"/>
    <w:rsid w:val="00101474"/>
    <w:rsid w:val="00101634"/>
    <w:rsid w:val="001017BA"/>
    <w:rsid w:val="00101874"/>
    <w:rsid w:val="001019B4"/>
    <w:rsid w:val="00102207"/>
    <w:rsid w:val="00102614"/>
    <w:rsid w:val="0010279F"/>
    <w:rsid w:val="001028C5"/>
    <w:rsid w:val="00102945"/>
    <w:rsid w:val="001029FE"/>
    <w:rsid w:val="00102EF7"/>
    <w:rsid w:val="00103023"/>
    <w:rsid w:val="00103569"/>
    <w:rsid w:val="0010359B"/>
    <w:rsid w:val="00103709"/>
    <w:rsid w:val="00103B7C"/>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230"/>
    <w:rsid w:val="001123F8"/>
    <w:rsid w:val="00112513"/>
    <w:rsid w:val="001127A2"/>
    <w:rsid w:val="00112A02"/>
    <w:rsid w:val="00112B68"/>
    <w:rsid w:val="00113070"/>
    <w:rsid w:val="001131C5"/>
    <w:rsid w:val="00113953"/>
    <w:rsid w:val="0011395E"/>
    <w:rsid w:val="00113970"/>
    <w:rsid w:val="00113ADF"/>
    <w:rsid w:val="0011417A"/>
    <w:rsid w:val="00114200"/>
    <w:rsid w:val="001143DD"/>
    <w:rsid w:val="00114412"/>
    <w:rsid w:val="001146AB"/>
    <w:rsid w:val="001146F5"/>
    <w:rsid w:val="001149CA"/>
    <w:rsid w:val="00114A05"/>
    <w:rsid w:val="00114A19"/>
    <w:rsid w:val="00114AE6"/>
    <w:rsid w:val="00114C3E"/>
    <w:rsid w:val="0011538E"/>
    <w:rsid w:val="00115554"/>
    <w:rsid w:val="0011558C"/>
    <w:rsid w:val="001155FB"/>
    <w:rsid w:val="001156F6"/>
    <w:rsid w:val="001159A3"/>
    <w:rsid w:val="001159E2"/>
    <w:rsid w:val="001160C2"/>
    <w:rsid w:val="00116535"/>
    <w:rsid w:val="001165C6"/>
    <w:rsid w:val="00116A05"/>
    <w:rsid w:val="00116BC6"/>
    <w:rsid w:val="00116BD1"/>
    <w:rsid w:val="00117047"/>
    <w:rsid w:val="001170AE"/>
    <w:rsid w:val="001172EB"/>
    <w:rsid w:val="00117508"/>
    <w:rsid w:val="00117CE9"/>
    <w:rsid w:val="00117FAB"/>
    <w:rsid w:val="00120571"/>
    <w:rsid w:val="001205BE"/>
    <w:rsid w:val="001207E6"/>
    <w:rsid w:val="0012091F"/>
    <w:rsid w:val="00120B28"/>
    <w:rsid w:val="00120CFA"/>
    <w:rsid w:val="00121007"/>
    <w:rsid w:val="00122207"/>
    <w:rsid w:val="0012244E"/>
    <w:rsid w:val="001224B1"/>
    <w:rsid w:val="0012251C"/>
    <w:rsid w:val="00122BBA"/>
    <w:rsid w:val="00122DB8"/>
    <w:rsid w:val="00122EB7"/>
    <w:rsid w:val="0012331E"/>
    <w:rsid w:val="00123816"/>
    <w:rsid w:val="00123880"/>
    <w:rsid w:val="00123E70"/>
    <w:rsid w:val="00123F99"/>
    <w:rsid w:val="0012418B"/>
    <w:rsid w:val="00124394"/>
    <w:rsid w:val="00124816"/>
    <w:rsid w:val="00124ABF"/>
    <w:rsid w:val="00124E6E"/>
    <w:rsid w:val="00125327"/>
    <w:rsid w:val="00125721"/>
    <w:rsid w:val="001258D7"/>
    <w:rsid w:val="00125999"/>
    <w:rsid w:val="001261D7"/>
    <w:rsid w:val="00126228"/>
    <w:rsid w:val="00126482"/>
    <w:rsid w:val="001265FF"/>
    <w:rsid w:val="00126AD6"/>
    <w:rsid w:val="00126D13"/>
    <w:rsid w:val="00127898"/>
    <w:rsid w:val="00127DF2"/>
    <w:rsid w:val="00127EDF"/>
    <w:rsid w:val="00130029"/>
    <w:rsid w:val="001301CB"/>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CD9"/>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0A18"/>
    <w:rsid w:val="0014117A"/>
    <w:rsid w:val="0014118F"/>
    <w:rsid w:val="00141468"/>
    <w:rsid w:val="00141559"/>
    <w:rsid w:val="00141907"/>
    <w:rsid w:val="00141971"/>
    <w:rsid w:val="00141D1E"/>
    <w:rsid w:val="00141D89"/>
    <w:rsid w:val="00141E74"/>
    <w:rsid w:val="00142050"/>
    <w:rsid w:val="001421CA"/>
    <w:rsid w:val="001424CC"/>
    <w:rsid w:val="00142611"/>
    <w:rsid w:val="00142701"/>
    <w:rsid w:val="001429EF"/>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C3C"/>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6F40"/>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6E2"/>
    <w:rsid w:val="00173C2E"/>
    <w:rsid w:val="0017461F"/>
    <w:rsid w:val="00174C7F"/>
    <w:rsid w:val="00174D33"/>
    <w:rsid w:val="001754A6"/>
    <w:rsid w:val="00175604"/>
    <w:rsid w:val="001758A9"/>
    <w:rsid w:val="00175C0D"/>
    <w:rsid w:val="00175CD7"/>
    <w:rsid w:val="00176726"/>
    <w:rsid w:val="0017680B"/>
    <w:rsid w:val="00176EF2"/>
    <w:rsid w:val="00176F91"/>
    <w:rsid w:val="0017707E"/>
    <w:rsid w:val="00177182"/>
    <w:rsid w:val="00177285"/>
    <w:rsid w:val="00177451"/>
    <w:rsid w:val="00177971"/>
    <w:rsid w:val="00177A9F"/>
    <w:rsid w:val="00177C16"/>
    <w:rsid w:val="0018010D"/>
    <w:rsid w:val="00180494"/>
    <w:rsid w:val="00180860"/>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282"/>
    <w:rsid w:val="0018770B"/>
    <w:rsid w:val="001877B5"/>
    <w:rsid w:val="00187989"/>
    <w:rsid w:val="00187B1A"/>
    <w:rsid w:val="00187B63"/>
    <w:rsid w:val="00187D24"/>
    <w:rsid w:val="00187F7F"/>
    <w:rsid w:val="00190486"/>
    <w:rsid w:val="001906CC"/>
    <w:rsid w:val="0019081E"/>
    <w:rsid w:val="00190B42"/>
    <w:rsid w:val="00190CC7"/>
    <w:rsid w:val="00190E42"/>
    <w:rsid w:val="00191A2E"/>
    <w:rsid w:val="00191B67"/>
    <w:rsid w:val="00191F39"/>
    <w:rsid w:val="00192663"/>
    <w:rsid w:val="00192714"/>
    <w:rsid w:val="00192A3D"/>
    <w:rsid w:val="00192CA1"/>
    <w:rsid w:val="00192E87"/>
    <w:rsid w:val="00193033"/>
    <w:rsid w:val="00193076"/>
    <w:rsid w:val="001931FF"/>
    <w:rsid w:val="00193213"/>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2A3"/>
    <w:rsid w:val="001A0824"/>
    <w:rsid w:val="001A0DB8"/>
    <w:rsid w:val="001A0E23"/>
    <w:rsid w:val="001A12F9"/>
    <w:rsid w:val="001A161D"/>
    <w:rsid w:val="001A1A03"/>
    <w:rsid w:val="001A1D84"/>
    <w:rsid w:val="001A1FD2"/>
    <w:rsid w:val="001A2307"/>
    <w:rsid w:val="001A271A"/>
    <w:rsid w:val="001A2971"/>
    <w:rsid w:val="001A2DC2"/>
    <w:rsid w:val="001A2F86"/>
    <w:rsid w:val="001A39BD"/>
    <w:rsid w:val="001A3C68"/>
    <w:rsid w:val="001A3ED2"/>
    <w:rsid w:val="001A406E"/>
    <w:rsid w:val="001A4299"/>
    <w:rsid w:val="001A43C2"/>
    <w:rsid w:val="001A4413"/>
    <w:rsid w:val="001A5210"/>
    <w:rsid w:val="001A54E9"/>
    <w:rsid w:val="001A55F3"/>
    <w:rsid w:val="001A57B9"/>
    <w:rsid w:val="001A59FB"/>
    <w:rsid w:val="001A5D19"/>
    <w:rsid w:val="001A5DBD"/>
    <w:rsid w:val="001A5DC7"/>
    <w:rsid w:val="001A5F92"/>
    <w:rsid w:val="001A5FFF"/>
    <w:rsid w:val="001A6116"/>
    <w:rsid w:val="001A61A1"/>
    <w:rsid w:val="001A63DC"/>
    <w:rsid w:val="001A7103"/>
    <w:rsid w:val="001A7190"/>
    <w:rsid w:val="001A726E"/>
    <w:rsid w:val="001A743A"/>
    <w:rsid w:val="001A7A46"/>
    <w:rsid w:val="001B01B8"/>
    <w:rsid w:val="001B0238"/>
    <w:rsid w:val="001B0545"/>
    <w:rsid w:val="001B07B3"/>
    <w:rsid w:val="001B0FE9"/>
    <w:rsid w:val="001B13FE"/>
    <w:rsid w:val="001B1401"/>
    <w:rsid w:val="001B15AE"/>
    <w:rsid w:val="001B180B"/>
    <w:rsid w:val="001B19A1"/>
    <w:rsid w:val="001B1BF7"/>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067"/>
    <w:rsid w:val="001B529D"/>
    <w:rsid w:val="001B55BB"/>
    <w:rsid w:val="001B584A"/>
    <w:rsid w:val="001B5B54"/>
    <w:rsid w:val="001B5C97"/>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891"/>
    <w:rsid w:val="001C79DB"/>
    <w:rsid w:val="001C7AA8"/>
    <w:rsid w:val="001C7C7F"/>
    <w:rsid w:val="001C7F96"/>
    <w:rsid w:val="001D07C4"/>
    <w:rsid w:val="001D0A91"/>
    <w:rsid w:val="001D0FA5"/>
    <w:rsid w:val="001D107F"/>
    <w:rsid w:val="001D108F"/>
    <w:rsid w:val="001D1697"/>
    <w:rsid w:val="001D1A92"/>
    <w:rsid w:val="001D1AAD"/>
    <w:rsid w:val="001D1B8F"/>
    <w:rsid w:val="001D1FE5"/>
    <w:rsid w:val="001D2174"/>
    <w:rsid w:val="001D2CFF"/>
    <w:rsid w:val="001D2D1B"/>
    <w:rsid w:val="001D3189"/>
    <w:rsid w:val="001D34A9"/>
    <w:rsid w:val="001D3A4C"/>
    <w:rsid w:val="001D3AB4"/>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A76"/>
    <w:rsid w:val="001E0AF1"/>
    <w:rsid w:val="001E13FD"/>
    <w:rsid w:val="001E16C5"/>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50E0"/>
    <w:rsid w:val="001E544F"/>
    <w:rsid w:val="001E58C6"/>
    <w:rsid w:val="001E5B50"/>
    <w:rsid w:val="001E5D25"/>
    <w:rsid w:val="001E5F84"/>
    <w:rsid w:val="001E62D7"/>
    <w:rsid w:val="001E6912"/>
    <w:rsid w:val="001E6A4D"/>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BD9"/>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31C"/>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449"/>
    <w:rsid w:val="002066E1"/>
    <w:rsid w:val="002067ED"/>
    <w:rsid w:val="00206A54"/>
    <w:rsid w:val="00206B5A"/>
    <w:rsid w:val="00206C83"/>
    <w:rsid w:val="00206E0B"/>
    <w:rsid w:val="002070FE"/>
    <w:rsid w:val="00207144"/>
    <w:rsid w:val="0020732B"/>
    <w:rsid w:val="002074EE"/>
    <w:rsid w:val="0020762B"/>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44C"/>
    <w:rsid w:val="00217CED"/>
    <w:rsid w:val="00217DAE"/>
    <w:rsid w:val="002201A3"/>
    <w:rsid w:val="00220B3B"/>
    <w:rsid w:val="00220BA3"/>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2DFB"/>
    <w:rsid w:val="0023346D"/>
    <w:rsid w:val="002335AB"/>
    <w:rsid w:val="002337F6"/>
    <w:rsid w:val="00233A53"/>
    <w:rsid w:val="00233E80"/>
    <w:rsid w:val="0023445D"/>
    <w:rsid w:val="00234B2C"/>
    <w:rsid w:val="00234B71"/>
    <w:rsid w:val="00234BAA"/>
    <w:rsid w:val="00234BB5"/>
    <w:rsid w:val="00234C28"/>
    <w:rsid w:val="00235729"/>
    <w:rsid w:val="002359FA"/>
    <w:rsid w:val="00235ABC"/>
    <w:rsid w:val="00235C1F"/>
    <w:rsid w:val="00235D1F"/>
    <w:rsid w:val="00235F66"/>
    <w:rsid w:val="0023607E"/>
    <w:rsid w:val="002360A8"/>
    <w:rsid w:val="00236CD1"/>
    <w:rsid w:val="00237062"/>
    <w:rsid w:val="00237691"/>
    <w:rsid w:val="0023786C"/>
    <w:rsid w:val="002379AD"/>
    <w:rsid w:val="00237A75"/>
    <w:rsid w:val="00237BED"/>
    <w:rsid w:val="00237E17"/>
    <w:rsid w:val="0024021B"/>
    <w:rsid w:val="00240437"/>
    <w:rsid w:val="002409A8"/>
    <w:rsid w:val="00240C35"/>
    <w:rsid w:val="002412A4"/>
    <w:rsid w:val="002414B1"/>
    <w:rsid w:val="002423E6"/>
    <w:rsid w:val="002424BA"/>
    <w:rsid w:val="00242562"/>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0B0"/>
    <w:rsid w:val="00247620"/>
    <w:rsid w:val="002476B6"/>
    <w:rsid w:val="00247811"/>
    <w:rsid w:val="00247845"/>
    <w:rsid w:val="00247D15"/>
    <w:rsid w:val="002503D2"/>
    <w:rsid w:val="00250744"/>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955"/>
    <w:rsid w:val="00253DD9"/>
    <w:rsid w:val="0025573A"/>
    <w:rsid w:val="00255F45"/>
    <w:rsid w:val="002565E4"/>
    <w:rsid w:val="00256B50"/>
    <w:rsid w:val="002570FE"/>
    <w:rsid w:val="00257360"/>
    <w:rsid w:val="0025775F"/>
    <w:rsid w:val="00257D09"/>
    <w:rsid w:val="00257DBA"/>
    <w:rsid w:val="00257F93"/>
    <w:rsid w:val="0026044A"/>
    <w:rsid w:val="00260555"/>
    <w:rsid w:val="00260956"/>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4E80"/>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32CF"/>
    <w:rsid w:val="00273606"/>
    <w:rsid w:val="0027365A"/>
    <w:rsid w:val="002739A8"/>
    <w:rsid w:val="00273F50"/>
    <w:rsid w:val="00273FEB"/>
    <w:rsid w:val="00274046"/>
    <w:rsid w:val="002742EE"/>
    <w:rsid w:val="0027440E"/>
    <w:rsid w:val="002748B4"/>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2071"/>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D2"/>
    <w:rsid w:val="00287CE1"/>
    <w:rsid w:val="002900A5"/>
    <w:rsid w:val="00290242"/>
    <w:rsid w:val="00291217"/>
    <w:rsid w:val="0029185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B29"/>
    <w:rsid w:val="002A4135"/>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759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55C"/>
    <w:rsid w:val="002B3963"/>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46B"/>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5E"/>
    <w:rsid w:val="002C2478"/>
    <w:rsid w:val="002C248E"/>
    <w:rsid w:val="002C2D03"/>
    <w:rsid w:val="002C2EA0"/>
    <w:rsid w:val="002C3925"/>
    <w:rsid w:val="002C39B5"/>
    <w:rsid w:val="002C3D6B"/>
    <w:rsid w:val="002C4552"/>
    <w:rsid w:val="002C457C"/>
    <w:rsid w:val="002C4651"/>
    <w:rsid w:val="002C4956"/>
    <w:rsid w:val="002C49C1"/>
    <w:rsid w:val="002C4BFB"/>
    <w:rsid w:val="002C4FB1"/>
    <w:rsid w:val="002C4FFF"/>
    <w:rsid w:val="002C530C"/>
    <w:rsid w:val="002C5B66"/>
    <w:rsid w:val="002C60B9"/>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C7D"/>
    <w:rsid w:val="002E2D59"/>
    <w:rsid w:val="002E2FFB"/>
    <w:rsid w:val="002E3771"/>
    <w:rsid w:val="002E39C9"/>
    <w:rsid w:val="002E3B0C"/>
    <w:rsid w:val="002E4345"/>
    <w:rsid w:val="002E4399"/>
    <w:rsid w:val="002E4434"/>
    <w:rsid w:val="002E47FA"/>
    <w:rsid w:val="002E4957"/>
    <w:rsid w:val="002E49A9"/>
    <w:rsid w:val="002E4A2B"/>
    <w:rsid w:val="002E4E0B"/>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B8A"/>
    <w:rsid w:val="002E7C9E"/>
    <w:rsid w:val="002E7D07"/>
    <w:rsid w:val="002E7DD4"/>
    <w:rsid w:val="002F024E"/>
    <w:rsid w:val="002F032A"/>
    <w:rsid w:val="002F048F"/>
    <w:rsid w:val="002F0684"/>
    <w:rsid w:val="002F0958"/>
    <w:rsid w:val="002F0966"/>
    <w:rsid w:val="002F0BFA"/>
    <w:rsid w:val="002F10BD"/>
    <w:rsid w:val="002F12A4"/>
    <w:rsid w:val="002F17FE"/>
    <w:rsid w:val="002F1803"/>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0E7"/>
    <w:rsid w:val="002F41A9"/>
    <w:rsid w:val="002F4314"/>
    <w:rsid w:val="002F4548"/>
    <w:rsid w:val="002F45F1"/>
    <w:rsid w:val="002F485D"/>
    <w:rsid w:val="002F4E80"/>
    <w:rsid w:val="002F4F62"/>
    <w:rsid w:val="002F59D4"/>
    <w:rsid w:val="002F5A2A"/>
    <w:rsid w:val="002F5AAC"/>
    <w:rsid w:val="002F5E99"/>
    <w:rsid w:val="002F5F21"/>
    <w:rsid w:val="002F5FB2"/>
    <w:rsid w:val="002F6006"/>
    <w:rsid w:val="002F6753"/>
    <w:rsid w:val="002F6B18"/>
    <w:rsid w:val="002F6B9B"/>
    <w:rsid w:val="002F70FB"/>
    <w:rsid w:val="002F727B"/>
    <w:rsid w:val="002F752D"/>
    <w:rsid w:val="002F77BA"/>
    <w:rsid w:val="002F7B82"/>
    <w:rsid w:val="00300139"/>
    <w:rsid w:val="003003EB"/>
    <w:rsid w:val="003005E3"/>
    <w:rsid w:val="00300652"/>
    <w:rsid w:val="00300723"/>
    <w:rsid w:val="003008B3"/>
    <w:rsid w:val="003009B8"/>
    <w:rsid w:val="00300EB8"/>
    <w:rsid w:val="00301016"/>
    <w:rsid w:val="00301160"/>
    <w:rsid w:val="003011F5"/>
    <w:rsid w:val="00301352"/>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450"/>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03A"/>
    <w:rsid w:val="00310BE2"/>
    <w:rsid w:val="00310C71"/>
    <w:rsid w:val="00310E34"/>
    <w:rsid w:val="00310FED"/>
    <w:rsid w:val="0031112B"/>
    <w:rsid w:val="00311470"/>
    <w:rsid w:val="00311A56"/>
    <w:rsid w:val="00311ABB"/>
    <w:rsid w:val="00312538"/>
    <w:rsid w:val="00312F59"/>
    <w:rsid w:val="003130AE"/>
    <w:rsid w:val="003131B3"/>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4129"/>
    <w:rsid w:val="0032436C"/>
    <w:rsid w:val="00324F94"/>
    <w:rsid w:val="003252F6"/>
    <w:rsid w:val="0032541F"/>
    <w:rsid w:val="003254E5"/>
    <w:rsid w:val="00325799"/>
    <w:rsid w:val="00325D1B"/>
    <w:rsid w:val="00326020"/>
    <w:rsid w:val="003266EA"/>
    <w:rsid w:val="00326720"/>
    <w:rsid w:val="00326755"/>
    <w:rsid w:val="00326B29"/>
    <w:rsid w:val="00326C41"/>
    <w:rsid w:val="003270A8"/>
    <w:rsid w:val="0032755F"/>
    <w:rsid w:val="0032786A"/>
    <w:rsid w:val="00327897"/>
    <w:rsid w:val="003278C0"/>
    <w:rsid w:val="0032795B"/>
    <w:rsid w:val="0033000C"/>
    <w:rsid w:val="003304FD"/>
    <w:rsid w:val="00330602"/>
    <w:rsid w:val="00330BE0"/>
    <w:rsid w:val="00330BF6"/>
    <w:rsid w:val="00331528"/>
    <w:rsid w:val="00331819"/>
    <w:rsid w:val="00331932"/>
    <w:rsid w:val="00331AFC"/>
    <w:rsid w:val="00331E96"/>
    <w:rsid w:val="00332193"/>
    <w:rsid w:val="003322EF"/>
    <w:rsid w:val="00332DE7"/>
    <w:rsid w:val="003333CA"/>
    <w:rsid w:val="003334E1"/>
    <w:rsid w:val="003335DF"/>
    <w:rsid w:val="00333805"/>
    <w:rsid w:val="00333DA7"/>
    <w:rsid w:val="00333ED0"/>
    <w:rsid w:val="00334189"/>
    <w:rsid w:val="00334364"/>
    <w:rsid w:val="00334678"/>
    <w:rsid w:val="00334DA4"/>
    <w:rsid w:val="00334E71"/>
    <w:rsid w:val="00334EBA"/>
    <w:rsid w:val="00334FFC"/>
    <w:rsid w:val="00335062"/>
    <w:rsid w:val="00335201"/>
    <w:rsid w:val="00335668"/>
    <w:rsid w:val="003357CB"/>
    <w:rsid w:val="0033597C"/>
    <w:rsid w:val="00335B0B"/>
    <w:rsid w:val="0033609D"/>
    <w:rsid w:val="0033618B"/>
    <w:rsid w:val="00336348"/>
    <w:rsid w:val="003363C0"/>
    <w:rsid w:val="0033642E"/>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50F"/>
    <w:rsid w:val="0034555C"/>
    <w:rsid w:val="003457D0"/>
    <w:rsid w:val="003459E9"/>
    <w:rsid w:val="00345E19"/>
    <w:rsid w:val="003461E4"/>
    <w:rsid w:val="0034644C"/>
    <w:rsid w:val="00346512"/>
    <w:rsid w:val="00346558"/>
    <w:rsid w:val="00346652"/>
    <w:rsid w:val="0034673E"/>
    <w:rsid w:val="0034711C"/>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55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859"/>
    <w:rsid w:val="003569F5"/>
    <w:rsid w:val="00356B12"/>
    <w:rsid w:val="00356F9E"/>
    <w:rsid w:val="00357027"/>
    <w:rsid w:val="00357315"/>
    <w:rsid w:val="00357615"/>
    <w:rsid w:val="0035795B"/>
    <w:rsid w:val="00357B10"/>
    <w:rsid w:val="00357D0A"/>
    <w:rsid w:val="00357F15"/>
    <w:rsid w:val="003601C7"/>
    <w:rsid w:val="003602C3"/>
    <w:rsid w:val="00360642"/>
    <w:rsid w:val="003613B8"/>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F89"/>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95C"/>
    <w:rsid w:val="003719AB"/>
    <w:rsid w:val="00371D53"/>
    <w:rsid w:val="00371E2F"/>
    <w:rsid w:val="003720C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4CF1"/>
    <w:rsid w:val="003750D5"/>
    <w:rsid w:val="00375112"/>
    <w:rsid w:val="003752B2"/>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E71"/>
    <w:rsid w:val="00380F38"/>
    <w:rsid w:val="003814FF"/>
    <w:rsid w:val="00381581"/>
    <w:rsid w:val="003815B3"/>
    <w:rsid w:val="00381A21"/>
    <w:rsid w:val="00381F54"/>
    <w:rsid w:val="00381F94"/>
    <w:rsid w:val="00381FC1"/>
    <w:rsid w:val="0038253A"/>
    <w:rsid w:val="00382897"/>
    <w:rsid w:val="00382EC8"/>
    <w:rsid w:val="00382F01"/>
    <w:rsid w:val="003833DA"/>
    <w:rsid w:val="00383402"/>
    <w:rsid w:val="0038378D"/>
    <w:rsid w:val="00383A47"/>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01"/>
    <w:rsid w:val="00387FBF"/>
    <w:rsid w:val="0039016C"/>
    <w:rsid w:val="003902A3"/>
    <w:rsid w:val="0039072D"/>
    <w:rsid w:val="00390880"/>
    <w:rsid w:val="00390977"/>
    <w:rsid w:val="003909A6"/>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03"/>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AD6"/>
    <w:rsid w:val="003A3FB7"/>
    <w:rsid w:val="003A41FB"/>
    <w:rsid w:val="003A444A"/>
    <w:rsid w:val="003A448F"/>
    <w:rsid w:val="003A457F"/>
    <w:rsid w:val="003A5243"/>
    <w:rsid w:val="003A5297"/>
    <w:rsid w:val="003A5355"/>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919"/>
    <w:rsid w:val="003C1CEC"/>
    <w:rsid w:val="003C2720"/>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59E"/>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919"/>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617"/>
    <w:rsid w:val="003D26CA"/>
    <w:rsid w:val="003D27EB"/>
    <w:rsid w:val="003D2D50"/>
    <w:rsid w:val="003D2EE5"/>
    <w:rsid w:val="003D3029"/>
    <w:rsid w:val="003D3073"/>
    <w:rsid w:val="003D3D78"/>
    <w:rsid w:val="003D4126"/>
    <w:rsid w:val="003D41A5"/>
    <w:rsid w:val="003D438A"/>
    <w:rsid w:val="003D4629"/>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4EC"/>
    <w:rsid w:val="003E7F21"/>
    <w:rsid w:val="003F039E"/>
    <w:rsid w:val="003F0632"/>
    <w:rsid w:val="003F073C"/>
    <w:rsid w:val="003F0B1F"/>
    <w:rsid w:val="003F0B92"/>
    <w:rsid w:val="003F0BD3"/>
    <w:rsid w:val="003F0CFA"/>
    <w:rsid w:val="003F1549"/>
    <w:rsid w:val="003F1BE2"/>
    <w:rsid w:val="003F2699"/>
    <w:rsid w:val="003F26E6"/>
    <w:rsid w:val="003F288C"/>
    <w:rsid w:val="003F289A"/>
    <w:rsid w:val="003F2A56"/>
    <w:rsid w:val="003F2D88"/>
    <w:rsid w:val="003F2DDF"/>
    <w:rsid w:val="003F2E06"/>
    <w:rsid w:val="003F2F19"/>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6D15"/>
    <w:rsid w:val="003F7230"/>
    <w:rsid w:val="003F7316"/>
    <w:rsid w:val="003F7520"/>
    <w:rsid w:val="003F7B00"/>
    <w:rsid w:val="003F7B6D"/>
    <w:rsid w:val="003F7F2D"/>
    <w:rsid w:val="003F7F5F"/>
    <w:rsid w:val="0040007C"/>
    <w:rsid w:val="00400093"/>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59"/>
    <w:rsid w:val="00406ED9"/>
    <w:rsid w:val="0040748E"/>
    <w:rsid w:val="0040786F"/>
    <w:rsid w:val="00407893"/>
    <w:rsid w:val="0040796E"/>
    <w:rsid w:val="00407D24"/>
    <w:rsid w:val="00407F39"/>
    <w:rsid w:val="00410059"/>
    <w:rsid w:val="0041010D"/>
    <w:rsid w:val="0041029E"/>
    <w:rsid w:val="0041060D"/>
    <w:rsid w:val="0041089B"/>
    <w:rsid w:val="00410AD6"/>
    <w:rsid w:val="00410DFF"/>
    <w:rsid w:val="0041120D"/>
    <w:rsid w:val="00411AAA"/>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85"/>
    <w:rsid w:val="00413B1E"/>
    <w:rsid w:val="00413D66"/>
    <w:rsid w:val="0041464E"/>
    <w:rsid w:val="00414684"/>
    <w:rsid w:val="004146AE"/>
    <w:rsid w:val="00414724"/>
    <w:rsid w:val="0041488B"/>
    <w:rsid w:val="00414F3E"/>
    <w:rsid w:val="004151DE"/>
    <w:rsid w:val="00415213"/>
    <w:rsid w:val="0041574B"/>
    <w:rsid w:val="004158F1"/>
    <w:rsid w:val="00415C99"/>
    <w:rsid w:val="00415DAF"/>
    <w:rsid w:val="00415F31"/>
    <w:rsid w:val="00416052"/>
    <w:rsid w:val="004160B9"/>
    <w:rsid w:val="004161E6"/>
    <w:rsid w:val="0041678F"/>
    <w:rsid w:val="00416C84"/>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304D"/>
    <w:rsid w:val="00423674"/>
    <w:rsid w:val="0042373B"/>
    <w:rsid w:val="0042391C"/>
    <w:rsid w:val="004239DB"/>
    <w:rsid w:val="00423B73"/>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B87"/>
    <w:rsid w:val="00427D2A"/>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05"/>
    <w:rsid w:val="00434D15"/>
    <w:rsid w:val="00434D49"/>
    <w:rsid w:val="00435153"/>
    <w:rsid w:val="00435427"/>
    <w:rsid w:val="004355DF"/>
    <w:rsid w:val="00435F40"/>
    <w:rsid w:val="0043611A"/>
    <w:rsid w:val="0043616F"/>
    <w:rsid w:val="004364B6"/>
    <w:rsid w:val="004366C4"/>
    <w:rsid w:val="0043682A"/>
    <w:rsid w:val="00436AC5"/>
    <w:rsid w:val="00437106"/>
    <w:rsid w:val="00437109"/>
    <w:rsid w:val="004372D2"/>
    <w:rsid w:val="004374F5"/>
    <w:rsid w:val="00437D4E"/>
    <w:rsid w:val="00437D98"/>
    <w:rsid w:val="00437FBE"/>
    <w:rsid w:val="00437FD3"/>
    <w:rsid w:val="00440148"/>
    <w:rsid w:val="004403DB"/>
    <w:rsid w:val="00440609"/>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B14"/>
    <w:rsid w:val="0045505F"/>
    <w:rsid w:val="00455180"/>
    <w:rsid w:val="0045542F"/>
    <w:rsid w:val="004557E6"/>
    <w:rsid w:val="00455826"/>
    <w:rsid w:val="00455CC1"/>
    <w:rsid w:val="00455EF9"/>
    <w:rsid w:val="00455F9B"/>
    <w:rsid w:val="004560E5"/>
    <w:rsid w:val="004562B9"/>
    <w:rsid w:val="004565CD"/>
    <w:rsid w:val="0045675B"/>
    <w:rsid w:val="00456B68"/>
    <w:rsid w:val="00456F01"/>
    <w:rsid w:val="004574E4"/>
    <w:rsid w:val="004576E3"/>
    <w:rsid w:val="00457737"/>
    <w:rsid w:val="00457AB0"/>
    <w:rsid w:val="00457BFB"/>
    <w:rsid w:val="00460D1E"/>
    <w:rsid w:val="00460D6D"/>
    <w:rsid w:val="00460F9B"/>
    <w:rsid w:val="004613FE"/>
    <w:rsid w:val="00461474"/>
    <w:rsid w:val="00461486"/>
    <w:rsid w:val="00461B30"/>
    <w:rsid w:val="00461D1A"/>
    <w:rsid w:val="00461E67"/>
    <w:rsid w:val="0046255A"/>
    <w:rsid w:val="00462624"/>
    <w:rsid w:val="00462D95"/>
    <w:rsid w:val="00462E40"/>
    <w:rsid w:val="00462F57"/>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5D8"/>
    <w:rsid w:val="00466ACE"/>
    <w:rsid w:val="00466C03"/>
    <w:rsid w:val="00466CAD"/>
    <w:rsid w:val="00466DE7"/>
    <w:rsid w:val="004670C6"/>
    <w:rsid w:val="004671C6"/>
    <w:rsid w:val="00467518"/>
    <w:rsid w:val="00467ABC"/>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313D"/>
    <w:rsid w:val="0047321E"/>
    <w:rsid w:val="004733A4"/>
    <w:rsid w:val="004735CA"/>
    <w:rsid w:val="0047393F"/>
    <w:rsid w:val="00473A38"/>
    <w:rsid w:val="00473EA9"/>
    <w:rsid w:val="00473F26"/>
    <w:rsid w:val="0047429E"/>
    <w:rsid w:val="004745DC"/>
    <w:rsid w:val="00474613"/>
    <w:rsid w:val="004747AD"/>
    <w:rsid w:val="00474AA5"/>
    <w:rsid w:val="0047520E"/>
    <w:rsid w:val="0047552F"/>
    <w:rsid w:val="00475651"/>
    <w:rsid w:val="004758AF"/>
    <w:rsid w:val="0047602F"/>
    <w:rsid w:val="0047607F"/>
    <w:rsid w:val="00476367"/>
    <w:rsid w:val="004766D6"/>
    <w:rsid w:val="00476B8F"/>
    <w:rsid w:val="0047715F"/>
    <w:rsid w:val="00477246"/>
    <w:rsid w:val="004778E9"/>
    <w:rsid w:val="00480088"/>
    <w:rsid w:val="0048047D"/>
    <w:rsid w:val="00480592"/>
    <w:rsid w:val="00480690"/>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7B"/>
    <w:rsid w:val="004838D2"/>
    <w:rsid w:val="00483ADD"/>
    <w:rsid w:val="00483C84"/>
    <w:rsid w:val="00483CFE"/>
    <w:rsid w:val="0048420D"/>
    <w:rsid w:val="0048455D"/>
    <w:rsid w:val="00484771"/>
    <w:rsid w:val="00484CC4"/>
    <w:rsid w:val="00484E03"/>
    <w:rsid w:val="004851F5"/>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36F"/>
    <w:rsid w:val="004877A7"/>
    <w:rsid w:val="0048788F"/>
    <w:rsid w:val="00487A2C"/>
    <w:rsid w:val="0049040C"/>
    <w:rsid w:val="00490760"/>
    <w:rsid w:val="00490A9D"/>
    <w:rsid w:val="00490EFA"/>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AAA"/>
    <w:rsid w:val="004A0B3B"/>
    <w:rsid w:val="004A0EE8"/>
    <w:rsid w:val="004A0F95"/>
    <w:rsid w:val="004A1400"/>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D99"/>
    <w:rsid w:val="004A6E59"/>
    <w:rsid w:val="004A729D"/>
    <w:rsid w:val="004A73F1"/>
    <w:rsid w:val="004A75C0"/>
    <w:rsid w:val="004A75CD"/>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14F"/>
    <w:rsid w:val="004C219D"/>
    <w:rsid w:val="004C264D"/>
    <w:rsid w:val="004C29B5"/>
    <w:rsid w:val="004C2DA3"/>
    <w:rsid w:val="004C2EF9"/>
    <w:rsid w:val="004C2F35"/>
    <w:rsid w:val="004C3099"/>
    <w:rsid w:val="004C309F"/>
    <w:rsid w:val="004C3149"/>
    <w:rsid w:val="004C3160"/>
    <w:rsid w:val="004C3391"/>
    <w:rsid w:val="004C3614"/>
    <w:rsid w:val="004C3662"/>
    <w:rsid w:val="004C379C"/>
    <w:rsid w:val="004C391A"/>
    <w:rsid w:val="004C4083"/>
    <w:rsid w:val="004C42A5"/>
    <w:rsid w:val="004C4643"/>
    <w:rsid w:val="004C488A"/>
    <w:rsid w:val="004C53C1"/>
    <w:rsid w:val="004C58A1"/>
    <w:rsid w:val="004C5C07"/>
    <w:rsid w:val="004C6AB8"/>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230"/>
    <w:rsid w:val="004D732C"/>
    <w:rsid w:val="004D74A8"/>
    <w:rsid w:val="004D74F2"/>
    <w:rsid w:val="004D76B3"/>
    <w:rsid w:val="004D76C5"/>
    <w:rsid w:val="004D76D4"/>
    <w:rsid w:val="004D76E5"/>
    <w:rsid w:val="004D76E7"/>
    <w:rsid w:val="004D77B9"/>
    <w:rsid w:val="004D7CD9"/>
    <w:rsid w:val="004D7E61"/>
    <w:rsid w:val="004D7E68"/>
    <w:rsid w:val="004D7EE6"/>
    <w:rsid w:val="004E0135"/>
    <w:rsid w:val="004E01B3"/>
    <w:rsid w:val="004E044D"/>
    <w:rsid w:val="004E1050"/>
    <w:rsid w:val="004E105D"/>
    <w:rsid w:val="004E1244"/>
    <w:rsid w:val="004E1246"/>
    <w:rsid w:val="004E1D86"/>
    <w:rsid w:val="004E1E0C"/>
    <w:rsid w:val="004E207A"/>
    <w:rsid w:val="004E2214"/>
    <w:rsid w:val="004E2406"/>
    <w:rsid w:val="004E29D6"/>
    <w:rsid w:val="004E2F33"/>
    <w:rsid w:val="004E2F3D"/>
    <w:rsid w:val="004E30B0"/>
    <w:rsid w:val="004E37B1"/>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C93"/>
    <w:rsid w:val="004F0DF0"/>
    <w:rsid w:val="004F1026"/>
    <w:rsid w:val="004F1036"/>
    <w:rsid w:val="004F133B"/>
    <w:rsid w:val="004F179C"/>
    <w:rsid w:val="004F1AF1"/>
    <w:rsid w:val="004F1B61"/>
    <w:rsid w:val="004F1BDF"/>
    <w:rsid w:val="004F2106"/>
    <w:rsid w:val="004F2A3A"/>
    <w:rsid w:val="004F2BA7"/>
    <w:rsid w:val="004F2D81"/>
    <w:rsid w:val="004F3664"/>
    <w:rsid w:val="004F36B4"/>
    <w:rsid w:val="004F36D6"/>
    <w:rsid w:val="004F3DBA"/>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4F7EB8"/>
    <w:rsid w:val="00500249"/>
    <w:rsid w:val="00500508"/>
    <w:rsid w:val="00500558"/>
    <w:rsid w:val="0050072A"/>
    <w:rsid w:val="0050080D"/>
    <w:rsid w:val="00500BED"/>
    <w:rsid w:val="00500D63"/>
    <w:rsid w:val="005011B8"/>
    <w:rsid w:val="005011DA"/>
    <w:rsid w:val="0050140C"/>
    <w:rsid w:val="00501459"/>
    <w:rsid w:val="005014AE"/>
    <w:rsid w:val="005015BF"/>
    <w:rsid w:val="00501614"/>
    <w:rsid w:val="00501753"/>
    <w:rsid w:val="005017AA"/>
    <w:rsid w:val="00501833"/>
    <w:rsid w:val="00501C22"/>
    <w:rsid w:val="00501CD0"/>
    <w:rsid w:val="00502403"/>
    <w:rsid w:val="00502583"/>
    <w:rsid w:val="0050285C"/>
    <w:rsid w:val="00502871"/>
    <w:rsid w:val="00502B6A"/>
    <w:rsid w:val="00503091"/>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6031"/>
    <w:rsid w:val="0050623F"/>
    <w:rsid w:val="0050741B"/>
    <w:rsid w:val="0050748D"/>
    <w:rsid w:val="00507498"/>
    <w:rsid w:val="00507638"/>
    <w:rsid w:val="005079E3"/>
    <w:rsid w:val="00507F1D"/>
    <w:rsid w:val="00510397"/>
    <w:rsid w:val="0051090A"/>
    <w:rsid w:val="00510F21"/>
    <w:rsid w:val="00511203"/>
    <w:rsid w:val="0051155C"/>
    <w:rsid w:val="005115A7"/>
    <w:rsid w:val="00511970"/>
    <w:rsid w:val="00511DA6"/>
    <w:rsid w:val="00511FA7"/>
    <w:rsid w:val="005124E5"/>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9D1"/>
    <w:rsid w:val="00515A03"/>
    <w:rsid w:val="00515B21"/>
    <w:rsid w:val="00515D92"/>
    <w:rsid w:val="005163A7"/>
    <w:rsid w:val="005163ED"/>
    <w:rsid w:val="005165C9"/>
    <w:rsid w:val="00516709"/>
    <w:rsid w:val="00516FFA"/>
    <w:rsid w:val="0051727D"/>
    <w:rsid w:val="00517ACE"/>
    <w:rsid w:val="00517EBE"/>
    <w:rsid w:val="005201FB"/>
    <w:rsid w:val="005207C6"/>
    <w:rsid w:val="00520B61"/>
    <w:rsid w:val="00520BFD"/>
    <w:rsid w:val="00520CD4"/>
    <w:rsid w:val="00520EC6"/>
    <w:rsid w:val="0052106C"/>
    <w:rsid w:val="00521960"/>
    <w:rsid w:val="00521C73"/>
    <w:rsid w:val="005220C5"/>
    <w:rsid w:val="00522403"/>
    <w:rsid w:val="00522491"/>
    <w:rsid w:val="0052262A"/>
    <w:rsid w:val="00522E9A"/>
    <w:rsid w:val="00523C6A"/>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D1D"/>
    <w:rsid w:val="00534F84"/>
    <w:rsid w:val="00535038"/>
    <w:rsid w:val="00535182"/>
    <w:rsid w:val="00535190"/>
    <w:rsid w:val="00535846"/>
    <w:rsid w:val="005358DE"/>
    <w:rsid w:val="00535AA6"/>
    <w:rsid w:val="00535FD9"/>
    <w:rsid w:val="005369AB"/>
    <w:rsid w:val="00536CA4"/>
    <w:rsid w:val="00537265"/>
    <w:rsid w:val="00537500"/>
    <w:rsid w:val="0053765B"/>
    <w:rsid w:val="0054042F"/>
    <w:rsid w:val="00540492"/>
    <w:rsid w:val="005407D7"/>
    <w:rsid w:val="00540B9A"/>
    <w:rsid w:val="00540E99"/>
    <w:rsid w:val="00540FA1"/>
    <w:rsid w:val="005410DB"/>
    <w:rsid w:val="005411F9"/>
    <w:rsid w:val="005414DC"/>
    <w:rsid w:val="005419C5"/>
    <w:rsid w:val="00541C58"/>
    <w:rsid w:val="005422B0"/>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C23"/>
    <w:rsid w:val="00545D37"/>
    <w:rsid w:val="0054621E"/>
    <w:rsid w:val="00546441"/>
    <w:rsid w:val="0054656B"/>
    <w:rsid w:val="005466D3"/>
    <w:rsid w:val="0054670C"/>
    <w:rsid w:val="00546989"/>
    <w:rsid w:val="00546D73"/>
    <w:rsid w:val="00547014"/>
    <w:rsid w:val="00547202"/>
    <w:rsid w:val="0054769B"/>
    <w:rsid w:val="0054794B"/>
    <w:rsid w:val="005479D8"/>
    <w:rsid w:val="00547D11"/>
    <w:rsid w:val="00547D5C"/>
    <w:rsid w:val="00547F75"/>
    <w:rsid w:val="0055099C"/>
    <w:rsid w:val="00550C9D"/>
    <w:rsid w:val="00551287"/>
    <w:rsid w:val="00551362"/>
    <w:rsid w:val="0055142B"/>
    <w:rsid w:val="00551A16"/>
    <w:rsid w:val="00551C07"/>
    <w:rsid w:val="00551FC7"/>
    <w:rsid w:val="005523E3"/>
    <w:rsid w:val="005526D0"/>
    <w:rsid w:val="00552A66"/>
    <w:rsid w:val="00552BA3"/>
    <w:rsid w:val="00552C75"/>
    <w:rsid w:val="00553711"/>
    <w:rsid w:val="00553851"/>
    <w:rsid w:val="005540CC"/>
    <w:rsid w:val="00554287"/>
    <w:rsid w:val="005544D4"/>
    <w:rsid w:val="005544E4"/>
    <w:rsid w:val="005546C5"/>
    <w:rsid w:val="0055477D"/>
    <w:rsid w:val="00555703"/>
    <w:rsid w:val="00555889"/>
    <w:rsid w:val="00555AB8"/>
    <w:rsid w:val="00555C56"/>
    <w:rsid w:val="00555DE6"/>
    <w:rsid w:val="00556060"/>
    <w:rsid w:val="00556208"/>
    <w:rsid w:val="0055652F"/>
    <w:rsid w:val="005565B1"/>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3D7"/>
    <w:rsid w:val="005605F7"/>
    <w:rsid w:val="00560A2E"/>
    <w:rsid w:val="00560A45"/>
    <w:rsid w:val="00560E13"/>
    <w:rsid w:val="00561496"/>
    <w:rsid w:val="00561715"/>
    <w:rsid w:val="0056171C"/>
    <w:rsid w:val="00561901"/>
    <w:rsid w:val="00561B46"/>
    <w:rsid w:val="00561EBD"/>
    <w:rsid w:val="00562071"/>
    <w:rsid w:val="005623A5"/>
    <w:rsid w:val="00562780"/>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FF"/>
    <w:rsid w:val="00571258"/>
    <w:rsid w:val="00571934"/>
    <w:rsid w:val="00571E86"/>
    <w:rsid w:val="00572448"/>
    <w:rsid w:val="005725AA"/>
    <w:rsid w:val="00573200"/>
    <w:rsid w:val="005736C8"/>
    <w:rsid w:val="005738BF"/>
    <w:rsid w:val="00573B11"/>
    <w:rsid w:val="00573F08"/>
    <w:rsid w:val="0057406B"/>
    <w:rsid w:val="00574D13"/>
    <w:rsid w:val="00574DDA"/>
    <w:rsid w:val="00574F1C"/>
    <w:rsid w:val="0057576A"/>
    <w:rsid w:val="00575AD3"/>
    <w:rsid w:val="00575C71"/>
    <w:rsid w:val="00575CD1"/>
    <w:rsid w:val="00576088"/>
    <w:rsid w:val="0057666A"/>
    <w:rsid w:val="0057696C"/>
    <w:rsid w:val="00576BFE"/>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2005"/>
    <w:rsid w:val="00582296"/>
    <w:rsid w:val="005822E0"/>
    <w:rsid w:val="0058253A"/>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B50"/>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B6B"/>
    <w:rsid w:val="00586BB2"/>
    <w:rsid w:val="005873F7"/>
    <w:rsid w:val="005875FC"/>
    <w:rsid w:val="00587FDC"/>
    <w:rsid w:val="00590967"/>
    <w:rsid w:val="005909AF"/>
    <w:rsid w:val="00591283"/>
    <w:rsid w:val="00591534"/>
    <w:rsid w:val="0059174A"/>
    <w:rsid w:val="00591BB8"/>
    <w:rsid w:val="00591E71"/>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6F"/>
    <w:rsid w:val="005A0216"/>
    <w:rsid w:val="005A0514"/>
    <w:rsid w:val="005A07AC"/>
    <w:rsid w:val="005A092A"/>
    <w:rsid w:val="005A0A56"/>
    <w:rsid w:val="005A0A95"/>
    <w:rsid w:val="005A0C37"/>
    <w:rsid w:val="005A0FF1"/>
    <w:rsid w:val="005A14F3"/>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6D7"/>
    <w:rsid w:val="005B282B"/>
    <w:rsid w:val="005B29B0"/>
    <w:rsid w:val="005B30FE"/>
    <w:rsid w:val="005B3463"/>
    <w:rsid w:val="005B3631"/>
    <w:rsid w:val="005B36AA"/>
    <w:rsid w:val="005B3E3B"/>
    <w:rsid w:val="005B3F97"/>
    <w:rsid w:val="005B4237"/>
    <w:rsid w:val="005B45B6"/>
    <w:rsid w:val="005B481A"/>
    <w:rsid w:val="005B4A61"/>
    <w:rsid w:val="005B4A6C"/>
    <w:rsid w:val="005B4D2C"/>
    <w:rsid w:val="005B4F49"/>
    <w:rsid w:val="005B50FF"/>
    <w:rsid w:val="005B51D4"/>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14BC"/>
    <w:rsid w:val="005C1747"/>
    <w:rsid w:val="005C21AB"/>
    <w:rsid w:val="005C2717"/>
    <w:rsid w:val="005C2E85"/>
    <w:rsid w:val="005C2E93"/>
    <w:rsid w:val="005C31A5"/>
    <w:rsid w:val="005C32B7"/>
    <w:rsid w:val="005C34F8"/>
    <w:rsid w:val="005C39BA"/>
    <w:rsid w:val="005C3D3C"/>
    <w:rsid w:val="005C3F78"/>
    <w:rsid w:val="005C45F2"/>
    <w:rsid w:val="005C4698"/>
    <w:rsid w:val="005C48B3"/>
    <w:rsid w:val="005C4909"/>
    <w:rsid w:val="005C4BA9"/>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313"/>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8DA"/>
    <w:rsid w:val="005E0A27"/>
    <w:rsid w:val="005E0CED"/>
    <w:rsid w:val="005E0F49"/>
    <w:rsid w:val="005E118C"/>
    <w:rsid w:val="005E131E"/>
    <w:rsid w:val="005E1441"/>
    <w:rsid w:val="005E15EC"/>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A64"/>
    <w:rsid w:val="005F3B21"/>
    <w:rsid w:val="005F42DA"/>
    <w:rsid w:val="005F484A"/>
    <w:rsid w:val="005F4BD8"/>
    <w:rsid w:val="005F4E2F"/>
    <w:rsid w:val="005F510F"/>
    <w:rsid w:val="005F52CA"/>
    <w:rsid w:val="005F5417"/>
    <w:rsid w:val="005F5C99"/>
    <w:rsid w:val="005F6164"/>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2FD5"/>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9FC"/>
    <w:rsid w:val="00607D37"/>
    <w:rsid w:val="00607FAB"/>
    <w:rsid w:val="00607FE7"/>
    <w:rsid w:val="00610379"/>
    <w:rsid w:val="0061038A"/>
    <w:rsid w:val="00610441"/>
    <w:rsid w:val="006105B1"/>
    <w:rsid w:val="0061071C"/>
    <w:rsid w:val="00610CB8"/>
    <w:rsid w:val="006119B3"/>
    <w:rsid w:val="00611A04"/>
    <w:rsid w:val="00611CF4"/>
    <w:rsid w:val="00612348"/>
    <w:rsid w:val="006123BE"/>
    <w:rsid w:val="00613715"/>
    <w:rsid w:val="00613C11"/>
    <w:rsid w:val="00613E94"/>
    <w:rsid w:val="006141CB"/>
    <w:rsid w:val="00614676"/>
    <w:rsid w:val="006146F1"/>
    <w:rsid w:val="0061499E"/>
    <w:rsid w:val="00614D55"/>
    <w:rsid w:val="00614DD7"/>
    <w:rsid w:val="006152B1"/>
    <w:rsid w:val="00615506"/>
    <w:rsid w:val="00615A4A"/>
    <w:rsid w:val="00615B11"/>
    <w:rsid w:val="00615FC8"/>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389E"/>
    <w:rsid w:val="0062394A"/>
    <w:rsid w:val="006240C3"/>
    <w:rsid w:val="006243D0"/>
    <w:rsid w:val="006244ED"/>
    <w:rsid w:val="0062466B"/>
    <w:rsid w:val="006253A6"/>
    <w:rsid w:val="0062555F"/>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297"/>
    <w:rsid w:val="006303C8"/>
    <w:rsid w:val="00630854"/>
    <w:rsid w:val="00630981"/>
    <w:rsid w:val="00630A94"/>
    <w:rsid w:val="00630BF1"/>
    <w:rsid w:val="00630D80"/>
    <w:rsid w:val="00631405"/>
    <w:rsid w:val="00631441"/>
    <w:rsid w:val="00631B09"/>
    <w:rsid w:val="006321EF"/>
    <w:rsid w:val="00632270"/>
    <w:rsid w:val="006323F9"/>
    <w:rsid w:val="00632746"/>
    <w:rsid w:val="00632C4A"/>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2FA3"/>
    <w:rsid w:val="006431C8"/>
    <w:rsid w:val="0064326F"/>
    <w:rsid w:val="006434AF"/>
    <w:rsid w:val="00643AA4"/>
    <w:rsid w:val="00643BEC"/>
    <w:rsid w:val="00643D55"/>
    <w:rsid w:val="00643E13"/>
    <w:rsid w:val="006441F6"/>
    <w:rsid w:val="0064448B"/>
    <w:rsid w:val="006444D8"/>
    <w:rsid w:val="00644800"/>
    <w:rsid w:val="00644BAA"/>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CC6"/>
    <w:rsid w:val="00647DBF"/>
    <w:rsid w:val="00650211"/>
    <w:rsid w:val="006503B5"/>
    <w:rsid w:val="00650BE0"/>
    <w:rsid w:val="00650DAF"/>
    <w:rsid w:val="00650EDB"/>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9C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57F2D"/>
    <w:rsid w:val="006603CC"/>
    <w:rsid w:val="006604E7"/>
    <w:rsid w:val="00660871"/>
    <w:rsid w:val="00660F61"/>
    <w:rsid w:val="00661693"/>
    <w:rsid w:val="00662879"/>
    <w:rsid w:val="0066293C"/>
    <w:rsid w:val="00662B68"/>
    <w:rsid w:val="00662D7C"/>
    <w:rsid w:val="0066322C"/>
    <w:rsid w:val="0066332C"/>
    <w:rsid w:val="00663636"/>
    <w:rsid w:val="00663796"/>
    <w:rsid w:val="006638E8"/>
    <w:rsid w:val="00663913"/>
    <w:rsid w:val="00663BA3"/>
    <w:rsid w:val="0066426C"/>
    <w:rsid w:val="00664845"/>
    <w:rsid w:val="006659F9"/>
    <w:rsid w:val="00665FC6"/>
    <w:rsid w:val="006660F9"/>
    <w:rsid w:val="0066621E"/>
    <w:rsid w:val="00666316"/>
    <w:rsid w:val="006664F6"/>
    <w:rsid w:val="0066650F"/>
    <w:rsid w:val="0066673D"/>
    <w:rsid w:val="00666D32"/>
    <w:rsid w:val="00666DE5"/>
    <w:rsid w:val="00666E9D"/>
    <w:rsid w:val="00667236"/>
    <w:rsid w:val="00667357"/>
    <w:rsid w:val="00667569"/>
    <w:rsid w:val="006675C6"/>
    <w:rsid w:val="00667702"/>
    <w:rsid w:val="0066784E"/>
    <w:rsid w:val="00667B49"/>
    <w:rsid w:val="00667C82"/>
    <w:rsid w:val="00667E2D"/>
    <w:rsid w:val="00667ED9"/>
    <w:rsid w:val="00667FF3"/>
    <w:rsid w:val="006701AB"/>
    <w:rsid w:val="006701C8"/>
    <w:rsid w:val="006702E6"/>
    <w:rsid w:val="00670662"/>
    <w:rsid w:val="0067069B"/>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A31"/>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3C0"/>
    <w:rsid w:val="00686461"/>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3F2"/>
    <w:rsid w:val="00691433"/>
    <w:rsid w:val="006915E2"/>
    <w:rsid w:val="00691612"/>
    <w:rsid w:val="00691CCF"/>
    <w:rsid w:val="00691F0D"/>
    <w:rsid w:val="006922D6"/>
    <w:rsid w:val="006924B9"/>
    <w:rsid w:val="006925A9"/>
    <w:rsid w:val="0069291E"/>
    <w:rsid w:val="006929AA"/>
    <w:rsid w:val="00692B3C"/>
    <w:rsid w:val="00692D34"/>
    <w:rsid w:val="00692DCA"/>
    <w:rsid w:val="00693157"/>
    <w:rsid w:val="00693608"/>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776"/>
    <w:rsid w:val="00695A80"/>
    <w:rsid w:val="00695C06"/>
    <w:rsid w:val="00695CA2"/>
    <w:rsid w:val="00696020"/>
    <w:rsid w:val="0069611B"/>
    <w:rsid w:val="006962DA"/>
    <w:rsid w:val="006964EA"/>
    <w:rsid w:val="006967A0"/>
    <w:rsid w:val="00696E58"/>
    <w:rsid w:val="00697509"/>
    <w:rsid w:val="00697683"/>
    <w:rsid w:val="0069799A"/>
    <w:rsid w:val="00697BCD"/>
    <w:rsid w:val="00697EB4"/>
    <w:rsid w:val="006A017A"/>
    <w:rsid w:val="006A02A0"/>
    <w:rsid w:val="006A0690"/>
    <w:rsid w:val="006A0854"/>
    <w:rsid w:val="006A0991"/>
    <w:rsid w:val="006A0A75"/>
    <w:rsid w:val="006A0F53"/>
    <w:rsid w:val="006A107C"/>
    <w:rsid w:val="006A11D9"/>
    <w:rsid w:val="006A14FF"/>
    <w:rsid w:val="006A1620"/>
    <w:rsid w:val="006A1771"/>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1F"/>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636"/>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D022D"/>
    <w:rsid w:val="006D0294"/>
    <w:rsid w:val="006D0384"/>
    <w:rsid w:val="006D08F5"/>
    <w:rsid w:val="006D0DF4"/>
    <w:rsid w:val="006D1063"/>
    <w:rsid w:val="006D1154"/>
    <w:rsid w:val="006D1219"/>
    <w:rsid w:val="006D14C6"/>
    <w:rsid w:val="006D1998"/>
    <w:rsid w:val="006D1A97"/>
    <w:rsid w:val="006D1B1C"/>
    <w:rsid w:val="006D1C1B"/>
    <w:rsid w:val="006D1D36"/>
    <w:rsid w:val="006D1D8B"/>
    <w:rsid w:val="006D1DE4"/>
    <w:rsid w:val="006D1F8C"/>
    <w:rsid w:val="006D1FE1"/>
    <w:rsid w:val="006D26F3"/>
    <w:rsid w:val="006D2B17"/>
    <w:rsid w:val="006D2F35"/>
    <w:rsid w:val="006D3084"/>
    <w:rsid w:val="006D3718"/>
    <w:rsid w:val="006D3CFC"/>
    <w:rsid w:val="006D3FB9"/>
    <w:rsid w:val="006D4061"/>
    <w:rsid w:val="006D43B5"/>
    <w:rsid w:val="006D45D1"/>
    <w:rsid w:val="006D4786"/>
    <w:rsid w:val="006D4843"/>
    <w:rsid w:val="006D4E61"/>
    <w:rsid w:val="006D5098"/>
    <w:rsid w:val="006D51C0"/>
    <w:rsid w:val="006D51D5"/>
    <w:rsid w:val="006D533E"/>
    <w:rsid w:val="006D54DE"/>
    <w:rsid w:val="006D56FA"/>
    <w:rsid w:val="006D5CAA"/>
    <w:rsid w:val="006D5F29"/>
    <w:rsid w:val="006D6171"/>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0FF8"/>
    <w:rsid w:val="006E10E5"/>
    <w:rsid w:val="006E117E"/>
    <w:rsid w:val="006E1533"/>
    <w:rsid w:val="006E1A95"/>
    <w:rsid w:val="006E1BC3"/>
    <w:rsid w:val="006E200A"/>
    <w:rsid w:val="006E21A5"/>
    <w:rsid w:val="006E2576"/>
    <w:rsid w:val="006E26CF"/>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6EF"/>
    <w:rsid w:val="006E576B"/>
    <w:rsid w:val="006E5889"/>
    <w:rsid w:val="006E59E5"/>
    <w:rsid w:val="006E5A3D"/>
    <w:rsid w:val="006E5B73"/>
    <w:rsid w:val="006E5BCD"/>
    <w:rsid w:val="006E5CCC"/>
    <w:rsid w:val="006E6052"/>
    <w:rsid w:val="006E6750"/>
    <w:rsid w:val="006E6779"/>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696"/>
    <w:rsid w:val="006F18FE"/>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4B4"/>
    <w:rsid w:val="006F778D"/>
    <w:rsid w:val="006F77B8"/>
    <w:rsid w:val="00700334"/>
    <w:rsid w:val="007003DA"/>
    <w:rsid w:val="007004CF"/>
    <w:rsid w:val="00700639"/>
    <w:rsid w:val="00700F40"/>
    <w:rsid w:val="0070113F"/>
    <w:rsid w:val="00701390"/>
    <w:rsid w:val="007015D6"/>
    <w:rsid w:val="00701B75"/>
    <w:rsid w:val="00701D67"/>
    <w:rsid w:val="00702949"/>
    <w:rsid w:val="00702B4E"/>
    <w:rsid w:val="00702E74"/>
    <w:rsid w:val="00703282"/>
    <w:rsid w:val="00703310"/>
    <w:rsid w:val="00703509"/>
    <w:rsid w:val="00703695"/>
    <w:rsid w:val="007037D2"/>
    <w:rsid w:val="00703C7A"/>
    <w:rsid w:val="00704204"/>
    <w:rsid w:val="00704497"/>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EEF"/>
    <w:rsid w:val="00710130"/>
    <w:rsid w:val="00710310"/>
    <w:rsid w:val="007108F2"/>
    <w:rsid w:val="00710AD3"/>
    <w:rsid w:val="0071113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EC"/>
    <w:rsid w:val="0071664A"/>
    <w:rsid w:val="0071671F"/>
    <w:rsid w:val="00716843"/>
    <w:rsid w:val="00716A05"/>
    <w:rsid w:val="00716D7F"/>
    <w:rsid w:val="00716E6B"/>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4176"/>
    <w:rsid w:val="0072465E"/>
    <w:rsid w:val="0072481B"/>
    <w:rsid w:val="007250D0"/>
    <w:rsid w:val="00725117"/>
    <w:rsid w:val="007252B9"/>
    <w:rsid w:val="00725550"/>
    <w:rsid w:val="0072595A"/>
    <w:rsid w:val="00726379"/>
    <w:rsid w:val="0072658A"/>
    <w:rsid w:val="007266B4"/>
    <w:rsid w:val="00726A2B"/>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2F"/>
    <w:rsid w:val="00733A39"/>
    <w:rsid w:val="00733A5D"/>
    <w:rsid w:val="00733FEA"/>
    <w:rsid w:val="00734BB9"/>
    <w:rsid w:val="00734FDE"/>
    <w:rsid w:val="00735422"/>
    <w:rsid w:val="00735481"/>
    <w:rsid w:val="00735604"/>
    <w:rsid w:val="007358DB"/>
    <w:rsid w:val="007359BF"/>
    <w:rsid w:val="00735ACD"/>
    <w:rsid w:val="00735B4A"/>
    <w:rsid w:val="00736090"/>
    <w:rsid w:val="007360EC"/>
    <w:rsid w:val="00736A42"/>
    <w:rsid w:val="00736BF0"/>
    <w:rsid w:val="00737081"/>
    <w:rsid w:val="00737305"/>
    <w:rsid w:val="007373DC"/>
    <w:rsid w:val="007375D0"/>
    <w:rsid w:val="00737633"/>
    <w:rsid w:val="00737738"/>
    <w:rsid w:val="00737859"/>
    <w:rsid w:val="0074013A"/>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CCD"/>
    <w:rsid w:val="0074306F"/>
    <w:rsid w:val="007430F2"/>
    <w:rsid w:val="007432CD"/>
    <w:rsid w:val="007435E8"/>
    <w:rsid w:val="007438AB"/>
    <w:rsid w:val="00743ECA"/>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500E0"/>
    <w:rsid w:val="007500E1"/>
    <w:rsid w:val="0075048D"/>
    <w:rsid w:val="00750703"/>
    <w:rsid w:val="00750A29"/>
    <w:rsid w:val="007514E4"/>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A3"/>
    <w:rsid w:val="00757635"/>
    <w:rsid w:val="00757907"/>
    <w:rsid w:val="00757DA1"/>
    <w:rsid w:val="00757E11"/>
    <w:rsid w:val="00757F51"/>
    <w:rsid w:val="00757F62"/>
    <w:rsid w:val="007608E0"/>
    <w:rsid w:val="00760AF6"/>
    <w:rsid w:val="00760DF1"/>
    <w:rsid w:val="00760EEE"/>
    <w:rsid w:val="00760F0E"/>
    <w:rsid w:val="007610CF"/>
    <w:rsid w:val="00761229"/>
    <w:rsid w:val="0076170C"/>
    <w:rsid w:val="00761814"/>
    <w:rsid w:val="0076189D"/>
    <w:rsid w:val="00761982"/>
    <w:rsid w:val="00761A46"/>
    <w:rsid w:val="00762101"/>
    <w:rsid w:val="0076276A"/>
    <w:rsid w:val="00762830"/>
    <w:rsid w:val="00762A2C"/>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0BC9"/>
    <w:rsid w:val="0077112E"/>
    <w:rsid w:val="0077128C"/>
    <w:rsid w:val="00771800"/>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0B11"/>
    <w:rsid w:val="00781345"/>
    <w:rsid w:val="0078139A"/>
    <w:rsid w:val="007813BE"/>
    <w:rsid w:val="00781B82"/>
    <w:rsid w:val="00781F7E"/>
    <w:rsid w:val="007822B1"/>
    <w:rsid w:val="00782395"/>
    <w:rsid w:val="00782522"/>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378"/>
    <w:rsid w:val="007904A7"/>
    <w:rsid w:val="0079070D"/>
    <w:rsid w:val="00790786"/>
    <w:rsid w:val="00790A34"/>
    <w:rsid w:val="00790A36"/>
    <w:rsid w:val="00790BC1"/>
    <w:rsid w:val="00790C82"/>
    <w:rsid w:val="00790E60"/>
    <w:rsid w:val="00791116"/>
    <w:rsid w:val="00791390"/>
    <w:rsid w:val="0079147C"/>
    <w:rsid w:val="0079149E"/>
    <w:rsid w:val="007914A1"/>
    <w:rsid w:val="0079181B"/>
    <w:rsid w:val="00791AA0"/>
    <w:rsid w:val="00791ABE"/>
    <w:rsid w:val="00791FEA"/>
    <w:rsid w:val="007922C0"/>
    <w:rsid w:val="00792634"/>
    <w:rsid w:val="00792AF9"/>
    <w:rsid w:val="00792B71"/>
    <w:rsid w:val="00792FAF"/>
    <w:rsid w:val="0079315C"/>
    <w:rsid w:val="00793161"/>
    <w:rsid w:val="007934C5"/>
    <w:rsid w:val="007936AA"/>
    <w:rsid w:val="00793973"/>
    <w:rsid w:val="00793B41"/>
    <w:rsid w:val="007940AB"/>
    <w:rsid w:val="00794301"/>
    <w:rsid w:val="007946D4"/>
    <w:rsid w:val="00794743"/>
    <w:rsid w:val="00794A3B"/>
    <w:rsid w:val="00794A70"/>
    <w:rsid w:val="00794BE0"/>
    <w:rsid w:val="00794CD1"/>
    <w:rsid w:val="00794DC6"/>
    <w:rsid w:val="00794E49"/>
    <w:rsid w:val="00795230"/>
    <w:rsid w:val="007956F2"/>
    <w:rsid w:val="00795721"/>
    <w:rsid w:val="00795905"/>
    <w:rsid w:val="00795B6F"/>
    <w:rsid w:val="00795F67"/>
    <w:rsid w:val="00795FE2"/>
    <w:rsid w:val="00796539"/>
    <w:rsid w:val="0079659B"/>
    <w:rsid w:val="00796701"/>
    <w:rsid w:val="0079680A"/>
    <w:rsid w:val="00796D42"/>
    <w:rsid w:val="0079738F"/>
    <w:rsid w:val="007977B1"/>
    <w:rsid w:val="00797BB7"/>
    <w:rsid w:val="00797C61"/>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3D1"/>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32"/>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4779"/>
    <w:rsid w:val="007E4A6E"/>
    <w:rsid w:val="007E53A4"/>
    <w:rsid w:val="007E578F"/>
    <w:rsid w:val="007E5D74"/>
    <w:rsid w:val="007E5EA7"/>
    <w:rsid w:val="007E5F07"/>
    <w:rsid w:val="007E6522"/>
    <w:rsid w:val="007E6635"/>
    <w:rsid w:val="007E6B60"/>
    <w:rsid w:val="007E6DF4"/>
    <w:rsid w:val="007E7113"/>
    <w:rsid w:val="007E7319"/>
    <w:rsid w:val="007E770C"/>
    <w:rsid w:val="007F0044"/>
    <w:rsid w:val="007F0164"/>
    <w:rsid w:val="007F0260"/>
    <w:rsid w:val="007F0397"/>
    <w:rsid w:val="007F094D"/>
    <w:rsid w:val="007F0A9E"/>
    <w:rsid w:val="007F0E94"/>
    <w:rsid w:val="007F0F34"/>
    <w:rsid w:val="007F1215"/>
    <w:rsid w:val="007F145F"/>
    <w:rsid w:val="007F1567"/>
    <w:rsid w:val="007F1747"/>
    <w:rsid w:val="007F1873"/>
    <w:rsid w:val="007F1879"/>
    <w:rsid w:val="007F1AC8"/>
    <w:rsid w:val="007F1D1E"/>
    <w:rsid w:val="007F20B0"/>
    <w:rsid w:val="007F2242"/>
    <w:rsid w:val="007F2386"/>
    <w:rsid w:val="007F2616"/>
    <w:rsid w:val="007F27E4"/>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5CCF"/>
    <w:rsid w:val="007F616B"/>
    <w:rsid w:val="007F6D0E"/>
    <w:rsid w:val="007F704A"/>
    <w:rsid w:val="007F715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351"/>
    <w:rsid w:val="0080270F"/>
    <w:rsid w:val="00802874"/>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E11"/>
    <w:rsid w:val="00806074"/>
    <w:rsid w:val="00806165"/>
    <w:rsid w:val="008063F0"/>
    <w:rsid w:val="0080659D"/>
    <w:rsid w:val="00806647"/>
    <w:rsid w:val="00806B4B"/>
    <w:rsid w:val="00806DAD"/>
    <w:rsid w:val="00807765"/>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70B5"/>
    <w:rsid w:val="008171EE"/>
    <w:rsid w:val="008174A8"/>
    <w:rsid w:val="00817827"/>
    <w:rsid w:val="00817D22"/>
    <w:rsid w:val="00817DF2"/>
    <w:rsid w:val="00817E95"/>
    <w:rsid w:val="00820070"/>
    <w:rsid w:val="008203C7"/>
    <w:rsid w:val="008204A8"/>
    <w:rsid w:val="008206C7"/>
    <w:rsid w:val="00820F53"/>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974"/>
    <w:rsid w:val="00825A03"/>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43"/>
    <w:rsid w:val="00831931"/>
    <w:rsid w:val="00831C6A"/>
    <w:rsid w:val="008320B9"/>
    <w:rsid w:val="008321A7"/>
    <w:rsid w:val="008322B3"/>
    <w:rsid w:val="0083270D"/>
    <w:rsid w:val="00832961"/>
    <w:rsid w:val="00832B33"/>
    <w:rsid w:val="00832CBD"/>
    <w:rsid w:val="00832EF4"/>
    <w:rsid w:val="008337BB"/>
    <w:rsid w:val="00834781"/>
    <w:rsid w:val="00834A98"/>
    <w:rsid w:val="00834C4A"/>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6C10"/>
    <w:rsid w:val="008370D2"/>
    <w:rsid w:val="0083725B"/>
    <w:rsid w:val="00837443"/>
    <w:rsid w:val="00840272"/>
    <w:rsid w:val="0084047A"/>
    <w:rsid w:val="008406FC"/>
    <w:rsid w:val="00841641"/>
    <w:rsid w:val="00841748"/>
    <w:rsid w:val="00841E9F"/>
    <w:rsid w:val="00841F7A"/>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48F"/>
    <w:rsid w:val="0085170F"/>
    <w:rsid w:val="00851790"/>
    <w:rsid w:val="008517C8"/>
    <w:rsid w:val="00851959"/>
    <w:rsid w:val="0085197F"/>
    <w:rsid w:val="00851EEB"/>
    <w:rsid w:val="0085201C"/>
    <w:rsid w:val="008521DF"/>
    <w:rsid w:val="008524DA"/>
    <w:rsid w:val="0085283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1CE"/>
    <w:rsid w:val="008576D4"/>
    <w:rsid w:val="00857AF7"/>
    <w:rsid w:val="0086016C"/>
    <w:rsid w:val="00860360"/>
    <w:rsid w:val="00860609"/>
    <w:rsid w:val="0086075B"/>
    <w:rsid w:val="008609EE"/>
    <w:rsid w:val="00860FC2"/>
    <w:rsid w:val="008610A2"/>
    <w:rsid w:val="00861138"/>
    <w:rsid w:val="00861318"/>
    <w:rsid w:val="008619F8"/>
    <w:rsid w:val="00861AE4"/>
    <w:rsid w:val="00862428"/>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A83"/>
    <w:rsid w:val="00864E0A"/>
    <w:rsid w:val="00865AF4"/>
    <w:rsid w:val="00865B93"/>
    <w:rsid w:val="00865CF0"/>
    <w:rsid w:val="00866054"/>
    <w:rsid w:val="008667E1"/>
    <w:rsid w:val="008669BC"/>
    <w:rsid w:val="00866C77"/>
    <w:rsid w:val="00866E77"/>
    <w:rsid w:val="008671C0"/>
    <w:rsid w:val="0086733B"/>
    <w:rsid w:val="0086738E"/>
    <w:rsid w:val="0086740F"/>
    <w:rsid w:val="00867458"/>
    <w:rsid w:val="008678F3"/>
    <w:rsid w:val="008703FA"/>
    <w:rsid w:val="00870E61"/>
    <w:rsid w:val="00870F6F"/>
    <w:rsid w:val="0087109A"/>
    <w:rsid w:val="008712AB"/>
    <w:rsid w:val="008719B5"/>
    <w:rsid w:val="00871A4D"/>
    <w:rsid w:val="00871C08"/>
    <w:rsid w:val="00871F07"/>
    <w:rsid w:val="00872043"/>
    <w:rsid w:val="00872276"/>
    <w:rsid w:val="00872515"/>
    <w:rsid w:val="00872577"/>
    <w:rsid w:val="00872A11"/>
    <w:rsid w:val="00872A26"/>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446"/>
    <w:rsid w:val="00875555"/>
    <w:rsid w:val="008755BD"/>
    <w:rsid w:val="0087577D"/>
    <w:rsid w:val="008758F3"/>
    <w:rsid w:val="00875AA7"/>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3B7"/>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F37"/>
    <w:rsid w:val="00883FFC"/>
    <w:rsid w:val="00884269"/>
    <w:rsid w:val="00884970"/>
    <w:rsid w:val="00884AB8"/>
    <w:rsid w:val="00884B2A"/>
    <w:rsid w:val="00884D4C"/>
    <w:rsid w:val="00884F0F"/>
    <w:rsid w:val="00885632"/>
    <w:rsid w:val="00885A3D"/>
    <w:rsid w:val="00886141"/>
    <w:rsid w:val="008862FD"/>
    <w:rsid w:val="00886463"/>
    <w:rsid w:val="00886493"/>
    <w:rsid w:val="00886597"/>
    <w:rsid w:val="008865E6"/>
    <w:rsid w:val="0088663E"/>
    <w:rsid w:val="00886D62"/>
    <w:rsid w:val="00886DB6"/>
    <w:rsid w:val="008872B9"/>
    <w:rsid w:val="008875BC"/>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1D15"/>
    <w:rsid w:val="0089207D"/>
    <w:rsid w:val="00892466"/>
    <w:rsid w:val="0089276F"/>
    <w:rsid w:val="008931CB"/>
    <w:rsid w:val="00893473"/>
    <w:rsid w:val="00893486"/>
    <w:rsid w:val="008934C9"/>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11A1"/>
    <w:rsid w:val="008A122E"/>
    <w:rsid w:val="008A12FB"/>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3C7"/>
    <w:rsid w:val="008A4A25"/>
    <w:rsid w:val="008A4B3C"/>
    <w:rsid w:val="008A5079"/>
    <w:rsid w:val="008A5240"/>
    <w:rsid w:val="008A557F"/>
    <w:rsid w:val="008A5A36"/>
    <w:rsid w:val="008A5A55"/>
    <w:rsid w:val="008A5D87"/>
    <w:rsid w:val="008A5DA5"/>
    <w:rsid w:val="008A5F53"/>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9E8"/>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98"/>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D0179"/>
    <w:rsid w:val="008D03E2"/>
    <w:rsid w:val="008D128B"/>
    <w:rsid w:val="008D15E9"/>
    <w:rsid w:val="008D1C01"/>
    <w:rsid w:val="008D1F26"/>
    <w:rsid w:val="008D2277"/>
    <w:rsid w:val="008D2559"/>
    <w:rsid w:val="008D2ADA"/>
    <w:rsid w:val="008D2E08"/>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B0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A1"/>
    <w:rsid w:val="008F3F8B"/>
    <w:rsid w:val="008F3FE7"/>
    <w:rsid w:val="008F40C8"/>
    <w:rsid w:val="008F41B0"/>
    <w:rsid w:val="008F43E3"/>
    <w:rsid w:val="008F51BB"/>
    <w:rsid w:val="008F55C5"/>
    <w:rsid w:val="008F5961"/>
    <w:rsid w:val="008F599B"/>
    <w:rsid w:val="008F5E26"/>
    <w:rsid w:val="008F5EA2"/>
    <w:rsid w:val="008F6532"/>
    <w:rsid w:val="008F65E9"/>
    <w:rsid w:val="008F6B6C"/>
    <w:rsid w:val="008F6E8B"/>
    <w:rsid w:val="008F7010"/>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53"/>
    <w:rsid w:val="00901551"/>
    <w:rsid w:val="00901659"/>
    <w:rsid w:val="00901906"/>
    <w:rsid w:val="00901AE0"/>
    <w:rsid w:val="009023D6"/>
    <w:rsid w:val="009024B9"/>
    <w:rsid w:val="0090253C"/>
    <w:rsid w:val="00902806"/>
    <w:rsid w:val="00902D03"/>
    <w:rsid w:val="00903038"/>
    <w:rsid w:val="00903640"/>
    <w:rsid w:val="0090412E"/>
    <w:rsid w:val="00904494"/>
    <w:rsid w:val="00904AA4"/>
    <w:rsid w:val="00904EB7"/>
    <w:rsid w:val="00905053"/>
    <w:rsid w:val="0090523F"/>
    <w:rsid w:val="00905352"/>
    <w:rsid w:val="00905552"/>
    <w:rsid w:val="00905737"/>
    <w:rsid w:val="0090580B"/>
    <w:rsid w:val="00905B5F"/>
    <w:rsid w:val="00905EEB"/>
    <w:rsid w:val="009064B9"/>
    <w:rsid w:val="00906524"/>
    <w:rsid w:val="00906A4D"/>
    <w:rsid w:val="00906B31"/>
    <w:rsid w:val="00906BA4"/>
    <w:rsid w:val="00906F02"/>
    <w:rsid w:val="0090718E"/>
    <w:rsid w:val="00907282"/>
    <w:rsid w:val="009073D9"/>
    <w:rsid w:val="009103BD"/>
    <w:rsid w:val="009103E0"/>
    <w:rsid w:val="00910942"/>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460"/>
    <w:rsid w:val="009175DC"/>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567"/>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F4"/>
    <w:rsid w:val="00926365"/>
    <w:rsid w:val="00926B22"/>
    <w:rsid w:val="00926C2C"/>
    <w:rsid w:val="00926EB4"/>
    <w:rsid w:val="00927969"/>
    <w:rsid w:val="0093039C"/>
    <w:rsid w:val="009304C8"/>
    <w:rsid w:val="00930712"/>
    <w:rsid w:val="00930920"/>
    <w:rsid w:val="00930938"/>
    <w:rsid w:val="00931050"/>
    <w:rsid w:val="009314C9"/>
    <w:rsid w:val="009319AD"/>
    <w:rsid w:val="00931D96"/>
    <w:rsid w:val="00932327"/>
    <w:rsid w:val="009324F7"/>
    <w:rsid w:val="00932672"/>
    <w:rsid w:val="009326DA"/>
    <w:rsid w:val="00932783"/>
    <w:rsid w:val="009328CE"/>
    <w:rsid w:val="00932F87"/>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434"/>
    <w:rsid w:val="009429AA"/>
    <w:rsid w:val="0094360F"/>
    <w:rsid w:val="009442FC"/>
    <w:rsid w:val="00944EDF"/>
    <w:rsid w:val="0094547C"/>
    <w:rsid w:val="009454D4"/>
    <w:rsid w:val="00945565"/>
    <w:rsid w:val="009457A6"/>
    <w:rsid w:val="009459A8"/>
    <w:rsid w:val="00945A70"/>
    <w:rsid w:val="00945B98"/>
    <w:rsid w:val="00945D1C"/>
    <w:rsid w:val="0094616A"/>
    <w:rsid w:val="0094618C"/>
    <w:rsid w:val="00946777"/>
    <w:rsid w:val="00946AE9"/>
    <w:rsid w:val="009471A3"/>
    <w:rsid w:val="00947532"/>
    <w:rsid w:val="009479F6"/>
    <w:rsid w:val="00947A21"/>
    <w:rsid w:val="00947AC1"/>
    <w:rsid w:val="00947F2C"/>
    <w:rsid w:val="009504F9"/>
    <w:rsid w:val="00950546"/>
    <w:rsid w:val="009506E1"/>
    <w:rsid w:val="00950FE5"/>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24A0"/>
    <w:rsid w:val="0096279B"/>
    <w:rsid w:val="00962CFA"/>
    <w:rsid w:val="009635E9"/>
    <w:rsid w:val="00963666"/>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6362"/>
    <w:rsid w:val="009663A4"/>
    <w:rsid w:val="00966BD9"/>
    <w:rsid w:val="00966E15"/>
    <w:rsid w:val="00967749"/>
    <w:rsid w:val="00967AA9"/>
    <w:rsid w:val="00967B7E"/>
    <w:rsid w:val="00967EC5"/>
    <w:rsid w:val="00970466"/>
    <w:rsid w:val="00970908"/>
    <w:rsid w:val="00970C7E"/>
    <w:rsid w:val="00970D6C"/>
    <w:rsid w:val="00970DF7"/>
    <w:rsid w:val="00970E2D"/>
    <w:rsid w:val="00970F58"/>
    <w:rsid w:val="00971436"/>
    <w:rsid w:val="0097151C"/>
    <w:rsid w:val="009721F2"/>
    <w:rsid w:val="009729A3"/>
    <w:rsid w:val="00972B6A"/>
    <w:rsid w:val="00972D78"/>
    <w:rsid w:val="009731D4"/>
    <w:rsid w:val="0097330B"/>
    <w:rsid w:val="009733F5"/>
    <w:rsid w:val="00973446"/>
    <w:rsid w:val="009737ED"/>
    <w:rsid w:val="00973B19"/>
    <w:rsid w:val="00973F86"/>
    <w:rsid w:val="009740FC"/>
    <w:rsid w:val="0097413F"/>
    <w:rsid w:val="009743E4"/>
    <w:rsid w:val="0097486B"/>
    <w:rsid w:val="009749F8"/>
    <w:rsid w:val="00974C53"/>
    <w:rsid w:val="0097505A"/>
    <w:rsid w:val="0097505F"/>
    <w:rsid w:val="009751F8"/>
    <w:rsid w:val="009752EC"/>
    <w:rsid w:val="009754BC"/>
    <w:rsid w:val="009757E5"/>
    <w:rsid w:val="00975A77"/>
    <w:rsid w:val="00975C07"/>
    <w:rsid w:val="0097600C"/>
    <w:rsid w:val="0097609D"/>
    <w:rsid w:val="009761A5"/>
    <w:rsid w:val="00976678"/>
    <w:rsid w:val="0097698E"/>
    <w:rsid w:val="00976ACC"/>
    <w:rsid w:val="009772C7"/>
    <w:rsid w:val="00977F61"/>
    <w:rsid w:val="0098015F"/>
    <w:rsid w:val="009801DC"/>
    <w:rsid w:val="00980470"/>
    <w:rsid w:val="009808E0"/>
    <w:rsid w:val="00980D93"/>
    <w:rsid w:val="00980FD0"/>
    <w:rsid w:val="00981155"/>
    <w:rsid w:val="009815B0"/>
    <w:rsid w:val="0098198B"/>
    <w:rsid w:val="00981FB9"/>
    <w:rsid w:val="0098201C"/>
    <w:rsid w:val="00982201"/>
    <w:rsid w:val="00982BE5"/>
    <w:rsid w:val="00982C1D"/>
    <w:rsid w:val="00982CC1"/>
    <w:rsid w:val="00982CCD"/>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81B"/>
    <w:rsid w:val="00990A8E"/>
    <w:rsid w:val="00990AB3"/>
    <w:rsid w:val="00990B4C"/>
    <w:rsid w:val="00991232"/>
    <w:rsid w:val="009915E6"/>
    <w:rsid w:val="00992189"/>
    <w:rsid w:val="0099218B"/>
    <w:rsid w:val="00992314"/>
    <w:rsid w:val="00992514"/>
    <w:rsid w:val="00992865"/>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184"/>
    <w:rsid w:val="009969FA"/>
    <w:rsid w:val="00996B3C"/>
    <w:rsid w:val="00997294"/>
    <w:rsid w:val="009972BE"/>
    <w:rsid w:val="00997349"/>
    <w:rsid w:val="009974D6"/>
    <w:rsid w:val="00997807"/>
    <w:rsid w:val="00997937"/>
    <w:rsid w:val="00997D4B"/>
    <w:rsid w:val="00997F94"/>
    <w:rsid w:val="009A044B"/>
    <w:rsid w:val="009A073C"/>
    <w:rsid w:val="009A0A85"/>
    <w:rsid w:val="009A0EE5"/>
    <w:rsid w:val="009A0FE0"/>
    <w:rsid w:val="009A1698"/>
    <w:rsid w:val="009A1C6A"/>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5118"/>
    <w:rsid w:val="009A5329"/>
    <w:rsid w:val="009A53FF"/>
    <w:rsid w:val="009A574A"/>
    <w:rsid w:val="009A5A55"/>
    <w:rsid w:val="009A5B0F"/>
    <w:rsid w:val="009A63CB"/>
    <w:rsid w:val="009A65F0"/>
    <w:rsid w:val="009A6859"/>
    <w:rsid w:val="009A69BC"/>
    <w:rsid w:val="009A7729"/>
    <w:rsid w:val="009A7773"/>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4552"/>
    <w:rsid w:val="009B468B"/>
    <w:rsid w:val="009B4CAF"/>
    <w:rsid w:val="009B51C7"/>
    <w:rsid w:val="009B550F"/>
    <w:rsid w:val="009B5ED2"/>
    <w:rsid w:val="009B5FFF"/>
    <w:rsid w:val="009B6018"/>
    <w:rsid w:val="009B615B"/>
    <w:rsid w:val="009B619D"/>
    <w:rsid w:val="009B66A9"/>
    <w:rsid w:val="009B6953"/>
    <w:rsid w:val="009B6A2F"/>
    <w:rsid w:val="009B6DD6"/>
    <w:rsid w:val="009B6DED"/>
    <w:rsid w:val="009B73A7"/>
    <w:rsid w:val="009B7AC8"/>
    <w:rsid w:val="009B7EA8"/>
    <w:rsid w:val="009B7ED0"/>
    <w:rsid w:val="009B7F5F"/>
    <w:rsid w:val="009B7F65"/>
    <w:rsid w:val="009B7FEC"/>
    <w:rsid w:val="009C0286"/>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F5"/>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110"/>
    <w:rsid w:val="009D0A1F"/>
    <w:rsid w:val="009D0A70"/>
    <w:rsid w:val="009D0CD9"/>
    <w:rsid w:val="009D15BE"/>
    <w:rsid w:val="009D1732"/>
    <w:rsid w:val="009D1867"/>
    <w:rsid w:val="009D1B9B"/>
    <w:rsid w:val="009D1D90"/>
    <w:rsid w:val="009D1E8B"/>
    <w:rsid w:val="009D275D"/>
    <w:rsid w:val="009D29CB"/>
    <w:rsid w:val="009D32C6"/>
    <w:rsid w:val="009D32CD"/>
    <w:rsid w:val="009D35E5"/>
    <w:rsid w:val="009D3DAB"/>
    <w:rsid w:val="009D3EAE"/>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D33"/>
    <w:rsid w:val="009D7066"/>
    <w:rsid w:val="009D78EA"/>
    <w:rsid w:val="009D7AEF"/>
    <w:rsid w:val="009D7E76"/>
    <w:rsid w:val="009E04F3"/>
    <w:rsid w:val="009E052D"/>
    <w:rsid w:val="009E08C3"/>
    <w:rsid w:val="009E0B11"/>
    <w:rsid w:val="009E0D2E"/>
    <w:rsid w:val="009E0F99"/>
    <w:rsid w:val="009E1075"/>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A77"/>
    <w:rsid w:val="009E3B93"/>
    <w:rsid w:val="009E3D60"/>
    <w:rsid w:val="009E3E6E"/>
    <w:rsid w:val="009E43BA"/>
    <w:rsid w:val="009E4644"/>
    <w:rsid w:val="009E4A9F"/>
    <w:rsid w:val="009E4E38"/>
    <w:rsid w:val="009E5522"/>
    <w:rsid w:val="009E56FF"/>
    <w:rsid w:val="009E6093"/>
    <w:rsid w:val="009E645E"/>
    <w:rsid w:val="009E6581"/>
    <w:rsid w:val="009E6AD8"/>
    <w:rsid w:val="009E6B7C"/>
    <w:rsid w:val="009E6CD7"/>
    <w:rsid w:val="009E75D5"/>
    <w:rsid w:val="009E7B83"/>
    <w:rsid w:val="009F0406"/>
    <w:rsid w:val="009F0818"/>
    <w:rsid w:val="009F0DE7"/>
    <w:rsid w:val="009F145D"/>
    <w:rsid w:val="009F1665"/>
    <w:rsid w:val="009F1B01"/>
    <w:rsid w:val="009F1C21"/>
    <w:rsid w:val="009F253E"/>
    <w:rsid w:val="009F2578"/>
    <w:rsid w:val="009F2C9B"/>
    <w:rsid w:val="009F2F35"/>
    <w:rsid w:val="009F2F69"/>
    <w:rsid w:val="009F36D7"/>
    <w:rsid w:val="009F4D17"/>
    <w:rsid w:val="009F4EBB"/>
    <w:rsid w:val="009F504D"/>
    <w:rsid w:val="009F5148"/>
    <w:rsid w:val="009F51BD"/>
    <w:rsid w:val="009F52A6"/>
    <w:rsid w:val="009F5626"/>
    <w:rsid w:val="009F582F"/>
    <w:rsid w:val="009F583F"/>
    <w:rsid w:val="009F5A29"/>
    <w:rsid w:val="009F5B06"/>
    <w:rsid w:val="009F5BE4"/>
    <w:rsid w:val="009F5FE4"/>
    <w:rsid w:val="009F6119"/>
    <w:rsid w:val="009F622D"/>
    <w:rsid w:val="009F62AB"/>
    <w:rsid w:val="009F662D"/>
    <w:rsid w:val="009F6A43"/>
    <w:rsid w:val="009F6EC0"/>
    <w:rsid w:val="009F754B"/>
    <w:rsid w:val="009F75F4"/>
    <w:rsid w:val="009F7E37"/>
    <w:rsid w:val="009F7F36"/>
    <w:rsid w:val="009F7FD4"/>
    <w:rsid w:val="00A002D8"/>
    <w:rsid w:val="00A003A3"/>
    <w:rsid w:val="00A00C95"/>
    <w:rsid w:val="00A00CA9"/>
    <w:rsid w:val="00A0102E"/>
    <w:rsid w:val="00A01126"/>
    <w:rsid w:val="00A01474"/>
    <w:rsid w:val="00A014BA"/>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F53"/>
    <w:rsid w:val="00A11233"/>
    <w:rsid w:val="00A11377"/>
    <w:rsid w:val="00A11B9F"/>
    <w:rsid w:val="00A11CC0"/>
    <w:rsid w:val="00A11FEF"/>
    <w:rsid w:val="00A12271"/>
    <w:rsid w:val="00A1235D"/>
    <w:rsid w:val="00A12A1F"/>
    <w:rsid w:val="00A12C68"/>
    <w:rsid w:val="00A12CED"/>
    <w:rsid w:val="00A12D72"/>
    <w:rsid w:val="00A12E43"/>
    <w:rsid w:val="00A12E47"/>
    <w:rsid w:val="00A1312A"/>
    <w:rsid w:val="00A1319D"/>
    <w:rsid w:val="00A1340A"/>
    <w:rsid w:val="00A134C9"/>
    <w:rsid w:val="00A138C6"/>
    <w:rsid w:val="00A13BE0"/>
    <w:rsid w:val="00A1424F"/>
    <w:rsid w:val="00A14665"/>
    <w:rsid w:val="00A14EB5"/>
    <w:rsid w:val="00A15016"/>
    <w:rsid w:val="00A15185"/>
    <w:rsid w:val="00A15705"/>
    <w:rsid w:val="00A15B63"/>
    <w:rsid w:val="00A15D83"/>
    <w:rsid w:val="00A15D95"/>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66"/>
    <w:rsid w:val="00A20D5F"/>
    <w:rsid w:val="00A213F2"/>
    <w:rsid w:val="00A214E4"/>
    <w:rsid w:val="00A216E6"/>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A0A"/>
    <w:rsid w:val="00A45B11"/>
    <w:rsid w:val="00A45E27"/>
    <w:rsid w:val="00A464C6"/>
    <w:rsid w:val="00A46558"/>
    <w:rsid w:val="00A46573"/>
    <w:rsid w:val="00A46EC0"/>
    <w:rsid w:val="00A47396"/>
    <w:rsid w:val="00A477F4"/>
    <w:rsid w:val="00A47E89"/>
    <w:rsid w:val="00A50089"/>
    <w:rsid w:val="00A50572"/>
    <w:rsid w:val="00A5084F"/>
    <w:rsid w:val="00A50930"/>
    <w:rsid w:val="00A50BDA"/>
    <w:rsid w:val="00A50CB2"/>
    <w:rsid w:val="00A50F75"/>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36A"/>
    <w:rsid w:val="00A5644E"/>
    <w:rsid w:val="00A565BD"/>
    <w:rsid w:val="00A56810"/>
    <w:rsid w:val="00A56CDD"/>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429B"/>
    <w:rsid w:val="00A642C0"/>
    <w:rsid w:val="00A644ED"/>
    <w:rsid w:val="00A645E1"/>
    <w:rsid w:val="00A647C7"/>
    <w:rsid w:val="00A64AC4"/>
    <w:rsid w:val="00A651AC"/>
    <w:rsid w:val="00A65241"/>
    <w:rsid w:val="00A6545D"/>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645"/>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466"/>
    <w:rsid w:val="00A8057A"/>
    <w:rsid w:val="00A80748"/>
    <w:rsid w:val="00A807BF"/>
    <w:rsid w:val="00A8088D"/>
    <w:rsid w:val="00A80B91"/>
    <w:rsid w:val="00A80FA8"/>
    <w:rsid w:val="00A80FB1"/>
    <w:rsid w:val="00A81084"/>
    <w:rsid w:val="00A81199"/>
    <w:rsid w:val="00A81313"/>
    <w:rsid w:val="00A8179D"/>
    <w:rsid w:val="00A81809"/>
    <w:rsid w:val="00A81898"/>
    <w:rsid w:val="00A81D06"/>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3D14"/>
    <w:rsid w:val="00A944D7"/>
    <w:rsid w:val="00A9452B"/>
    <w:rsid w:val="00A946C9"/>
    <w:rsid w:val="00A949E1"/>
    <w:rsid w:val="00A94EF4"/>
    <w:rsid w:val="00A95186"/>
    <w:rsid w:val="00A954DB"/>
    <w:rsid w:val="00A95733"/>
    <w:rsid w:val="00A95B3C"/>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3C"/>
    <w:rsid w:val="00AA0AE7"/>
    <w:rsid w:val="00AA0D2E"/>
    <w:rsid w:val="00AA135C"/>
    <w:rsid w:val="00AA1498"/>
    <w:rsid w:val="00AA158B"/>
    <w:rsid w:val="00AA1DD9"/>
    <w:rsid w:val="00AA1EF5"/>
    <w:rsid w:val="00AA1FA1"/>
    <w:rsid w:val="00AA1FFD"/>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32E6"/>
    <w:rsid w:val="00AB3523"/>
    <w:rsid w:val="00AB39D2"/>
    <w:rsid w:val="00AB39F6"/>
    <w:rsid w:val="00AB3EE8"/>
    <w:rsid w:val="00AB40D2"/>
    <w:rsid w:val="00AB4386"/>
    <w:rsid w:val="00AB43C8"/>
    <w:rsid w:val="00AB49F3"/>
    <w:rsid w:val="00AB520D"/>
    <w:rsid w:val="00AB53B7"/>
    <w:rsid w:val="00AB56F4"/>
    <w:rsid w:val="00AB599C"/>
    <w:rsid w:val="00AB5C04"/>
    <w:rsid w:val="00AB5DFD"/>
    <w:rsid w:val="00AB5EE2"/>
    <w:rsid w:val="00AB5F48"/>
    <w:rsid w:val="00AB5F71"/>
    <w:rsid w:val="00AB641B"/>
    <w:rsid w:val="00AB69E9"/>
    <w:rsid w:val="00AB6FFD"/>
    <w:rsid w:val="00AB790F"/>
    <w:rsid w:val="00AB7E5A"/>
    <w:rsid w:val="00AB7F94"/>
    <w:rsid w:val="00AC0B26"/>
    <w:rsid w:val="00AC10BC"/>
    <w:rsid w:val="00AC1EE3"/>
    <w:rsid w:val="00AC247B"/>
    <w:rsid w:val="00AC269D"/>
    <w:rsid w:val="00AC2C2D"/>
    <w:rsid w:val="00AC31CA"/>
    <w:rsid w:val="00AC3861"/>
    <w:rsid w:val="00AC388A"/>
    <w:rsid w:val="00AC38F9"/>
    <w:rsid w:val="00AC3B89"/>
    <w:rsid w:val="00AC3C91"/>
    <w:rsid w:val="00AC3F7C"/>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C9"/>
    <w:rsid w:val="00AD0CE0"/>
    <w:rsid w:val="00AD108F"/>
    <w:rsid w:val="00AD1AFC"/>
    <w:rsid w:val="00AD1DE6"/>
    <w:rsid w:val="00AD1E9F"/>
    <w:rsid w:val="00AD1F1A"/>
    <w:rsid w:val="00AD240A"/>
    <w:rsid w:val="00AD2922"/>
    <w:rsid w:val="00AD295C"/>
    <w:rsid w:val="00AD2A09"/>
    <w:rsid w:val="00AD2A27"/>
    <w:rsid w:val="00AD2A67"/>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64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2015"/>
    <w:rsid w:val="00AE2219"/>
    <w:rsid w:val="00AE23C9"/>
    <w:rsid w:val="00AE2B70"/>
    <w:rsid w:val="00AE30DD"/>
    <w:rsid w:val="00AE3115"/>
    <w:rsid w:val="00AE319B"/>
    <w:rsid w:val="00AE31EB"/>
    <w:rsid w:val="00AE3439"/>
    <w:rsid w:val="00AE347B"/>
    <w:rsid w:val="00AE36D6"/>
    <w:rsid w:val="00AE3B34"/>
    <w:rsid w:val="00AE3DA9"/>
    <w:rsid w:val="00AE3E72"/>
    <w:rsid w:val="00AE44F7"/>
    <w:rsid w:val="00AE5296"/>
    <w:rsid w:val="00AE54C8"/>
    <w:rsid w:val="00AE54ED"/>
    <w:rsid w:val="00AE587C"/>
    <w:rsid w:val="00AE5A3A"/>
    <w:rsid w:val="00AE5F46"/>
    <w:rsid w:val="00AE664F"/>
    <w:rsid w:val="00AE6934"/>
    <w:rsid w:val="00AE6CB8"/>
    <w:rsid w:val="00AE6E44"/>
    <w:rsid w:val="00AE7117"/>
    <w:rsid w:val="00AE759A"/>
    <w:rsid w:val="00AE7885"/>
    <w:rsid w:val="00AE7D9B"/>
    <w:rsid w:val="00AF025C"/>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552"/>
    <w:rsid w:val="00AF76E0"/>
    <w:rsid w:val="00AF7947"/>
    <w:rsid w:val="00AF7953"/>
    <w:rsid w:val="00AF7A20"/>
    <w:rsid w:val="00AF7D92"/>
    <w:rsid w:val="00B00382"/>
    <w:rsid w:val="00B003D1"/>
    <w:rsid w:val="00B00639"/>
    <w:rsid w:val="00B00CB9"/>
    <w:rsid w:val="00B0110B"/>
    <w:rsid w:val="00B0115A"/>
    <w:rsid w:val="00B011A5"/>
    <w:rsid w:val="00B011BF"/>
    <w:rsid w:val="00B01746"/>
    <w:rsid w:val="00B01D69"/>
    <w:rsid w:val="00B01E92"/>
    <w:rsid w:val="00B01FC0"/>
    <w:rsid w:val="00B02199"/>
    <w:rsid w:val="00B026FF"/>
    <w:rsid w:val="00B02805"/>
    <w:rsid w:val="00B02BFD"/>
    <w:rsid w:val="00B02D77"/>
    <w:rsid w:val="00B0367A"/>
    <w:rsid w:val="00B038EB"/>
    <w:rsid w:val="00B03A38"/>
    <w:rsid w:val="00B04005"/>
    <w:rsid w:val="00B040CA"/>
    <w:rsid w:val="00B04621"/>
    <w:rsid w:val="00B04789"/>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94E"/>
    <w:rsid w:val="00B10D0E"/>
    <w:rsid w:val="00B10DDB"/>
    <w:rsid w:val="00B10E5B"/>
    <w:rsid w:val="00B10FD2"/>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28"/>
    <w:rsid w:val="00B23839"/>
    <w:rsid w:val="00B23EB3"/>
    <w:rsid w:val="00B247C6"/>
    <w:rsid w:val="00B24BAC"/>
    <w:rsid w:val="00B24DD5"/>
    <w:rsid w:val="00B2590D"/>
    <w:rsid w:val="00B25C4B"/>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68A"/>
    <w:rsid w:val="00B34748"/>
    <w:rsid w:val="00B347FB"/>
    <w:rsid w:val="00B348EA"/>
    <w:rsid w:val="00B34CC9"/>
    <w:rsid w:val="00B34D6E"/>
    <w:rsid w:val="00B34D9B"/>
    <w:rsid w:val="00B35717"/>
    <w:rsid w:val="00B35A6D"/>
    <w:rsid w:val="00B35A98"/>
    <w:rsid w:val="00B35BA0"/>
    <w:rsid w:val="00B364C0"/>
    <w:rsid w:val="00B365D6"/>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4B3"/>
    <w:rsid w:val="00B458D6"/>
    <w:rsid w:val="00B45AB4"/>
    <w:rsid w:val="00B45B96"/>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30F"/>
    <w:rsid w:val="00B53C00"/>
    <w:rsid w:val="00B5400E"/>
    <w:rsid w:val="00B54494"/>
    <w:rsid w:val="00B5467D"/>
    <w:rsid w:val="00B5494F"/>
    <w:rsid w:val="00B54CA0"/>
    <w:rsid w:val="00B54D48"/>
    <w:rsid w:val="00B550E8"/>
    <w:rsid w:val="00B5523C"/>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009"/>
    <w:rsid w:val="00B601E2"/>
    <w:rsid w:val="00B60859"/>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4FD"/>
    <w:rsid w:val="00B715AC"/>
    <w:rsid w:val="00B71AFC"/>
    <w:rsid w:val="00B71D4D"/>
    <w:rsid w:val="00B72453"/>
    <w:rsid w:val="00B72683"/>
    <w:rsid w:val="00B7275A"/>
    <w:rsid w:val="00B7278D"/>
    <w:rsid w:val="00B72867"/>
    <w:rsid w:val="00B72980"/>
    <w:rsid w:val="00B73135"/>
    <w:rsid w:val="00B731DC"/>
    <w:rsid w:val="00B7328B"/>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C9"/>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958"/>
    <w:rsid w:val="00B83CD3"/>
    <w:rsid w:val="00B83DFD"/>
    <w:rsid w:val="00B84170"/>
    <w:rsid w:val="00B84313"/>
    <w:rsid w:val="00B843A9"/>
    <w:rsid w:val="00B846AF"/>
    <w:rsid w:val="00B84CCF"/>
    <w:rsid w:val="00B84E85"/>
    <w:rsid w:val="00B84FF0"/>
    <w:rsid w:val="00B8534C"/>
    <w:rsid w:val="00B85AB3"/>
    <w:rsid w:val="00B85EB6"/>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746"/>
    <w:rsid w:val="00B87FC8"/>
    <w:rsid w:val="00B90069"/>
    <w:rsid w:val="00B90175"/>
    <w:rsid w:val="00B902AE"/>
    <w:rsid w:val="00B90724"/>
    <w:rsid w:val="00B90AC1"/>
    <w:rsid w:val="00B90E13"/>
    <w:rsid w:val="00B90E65"/>
    <w:rsid w:val="00B9112D"/>
    <w:rsid w:val="00B91437"/>
    <w:rsid w:val="00B915C5"/>
    <w:rsid w:val="00B91A3F"/>
    <w:rsid w:val="00B91DCB"/>
    <w:rsid w:val="00B91E77"/>
    <w:rsid w:val="00B9254A"/>
    <w:rsid w:val="00B92E6C"/>
    <w:rsid w:val="00B93021"/>
    <w:rsid w:val="00B93120"/>
    <w:rsid w:val="00B9348D"/>
    <w:rsid w:val="00B93597"/>
    <w:rsid w:val="00B93B04"/>
    <w:rsid w:val="00B941EC"/>
    <w:rsid w:val="00B9463E"/>
    <w:rsid w:val="00B94EE0"/>
    <w:rsid w:val="00B9514C"/>
    <w:rsid w:val="00B9529F"/>
    <w:rsid w:val="00B95904"/>
    <w:rsid w:val="00B95AEB"/>
    <w:rsid w:val="00B95B93"/>
    <w:rsid w:val="00B960C1"/>
    <w:rsid w:val="00B96789"/>
    <w:rsid w:val="00B96A14"/>
    <w:rsid w:val="00B96EBF"/>
    <w:rsid w:val="00B97207"/>
    <w:rsid w:val="00B972C5"/>
    <w:rsid w:val="00B976A7"/>
    <w:rsid w:val="00B978EE"/>
    <w:rsid w:val="00B979AD"/>
    <w:rsid w:val="00B97B30"/>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E7"/>
    <w:rsid w:val="00BA534D"/>
    <w:rsid w:val="00BA5741"/>
    <w:rsid w:val="00BA5D24"/>
    <w:rsid w:val="00BA5F68"/>
    <w:rsid w:val="00BA622D"/>
    <w:rsid w:val="00BA626A"/>
    <w:rsid w:val="00BA66BB"/>
    <w:rsid w:val="00BA66CC"/>
    <w:rsid w:val="00BA69AC"/>
    <w:rsid w:val="00BA708F"/>
    <w:rsid w:val="00BA7207"/>
    <w:rsid w:val="00BA767B"/>
    <w:rsid w:val="00BA76DA"/>
    <w:rsid w:val="00BA7891"/>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655"/>
    <w:rsid w:val="00BB4B93"/>
    <w:rsid w:val="00BB4E8D"/>
    <w:rsid w:val="00BB5048"/>
    <w:rsid w:val="00BB51F2"/>
    <w:rsid w:val="00BB5275"/>
    <w:rsid w:val="00BB56C2"/>
    <w:rsid w:val="00BB581B"/>
    <w:rsid w:val="00BB582A"/>
    <w:rsid w:val="00BB59A0"/>
    <w:rsid w:val="00BB5B67"/>
    <w:rsid w:val="00BB5C96"/>
    <w:rsid w:val="00BB6177"/>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B59"/>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4D0A"/>
    <w:rsid w:val="00BC5109"/>
    <w:rsid w:val="00BC540D"/>
    <w:rsid w:val="00BC5545"/>
    <w:rsid w:val="00BC5685"/>
    <w:rsid w:val="00BC59E6"/>
    <w:rsid w:val="00BC5C57"/>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527"/>
    <w:rsid w:val="00BE22B0"/>
    <w:rsid w:val="00BE27EF"/>
    <w:rsid w:val="00BE2ED3"/>
    <w:rsid w:val="00BE31C9"/>
    <w:rsid w:val="00BE32D8"/>
    <w:rsid w:val="00BE3A37"/>
    <w:rsid w:val="00BE3E90"/>
    <w:rsid w:val="00BE3EDC"/>
    <w:rsid w:val="00BE4515"/>
    <w:rsid w:val="00BE4665"/>
    <w:rsid w:val="00BE48D1"/>
    <w:rsid w:val="00BE4EBE"/>
    <w:rsid w:val="00BE5640"/>
    <w:rsid w:val="00BE574C"/>
    <w:rsid w:val="00BE57EE"/>
    <w:rsid w:val="00BE5BBD"/>
    <w:rsid w:val="00BE5DB6"/>
    <w:rsid w:val="00BE6206"/>
    <w:rsid w:val="00BE655C"/>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10B22"/>
    <w:rsid w:val="00C1104D"/>
    <w:rsid w:val="00C111E2"/>
    <w:rsid w:val="00C1120F"/>
    <w:rsid w:val="00C114A7"/>
    <w:rsid w:val="00C117A0"/>
    <w:rsid w:val="00C11AF5"/>
    <w:rsid w:val="00C11F6B"/>
    <w:rsid w:val="00C1210C"/>
    <w:rsid w:val="00C123D4"/>
    <w:rsid w:val="00C12521"/>
    <w:rsid w:val="00C1276D"/>
    <w:rsid w:val="00C1286A"/>
    <w:rsid w:val="00C12918"/>
    <w:rsid w:val="00C1292E"/>
    <w:rsid w:val="00C13027"/>
    <w:rsid w:val="00C13179"/>
    <w:rsid w:val="00C137C5"/>
    <w:rsid w:val="00C13988"/>
    <w:rsid w:val="00C141B0"/>
    <w:rsid w:val="00C1475A"/>
    <w:rsid w:val="00C1484A"/>
    <w:rsid w:val="00C14A9B"/>
    <w:rsid w:val="00C14AE3"/>
    <w:rsid w:val="00C14D53"/>
    <w:rsid w:val="00C14DB1"/>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DB7"/>
    <w:rsid w:val="00C22059"/>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705"/>
    <w:rsid w:val="00C41D30"/>
    <w:rsid w:val="00C41E2B"/>
    <w:rsid w:val="00C42112"/>
    <w:rsid w:val="00C42340"/>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525B"/>
    <w:rsid w:val="00C552D5"/>
    <w:rsid w:val="00C5547C"/>
    <w:rsid w:val="00C556AE"/>
    <w:rsid w:val="00C55AD9"/>
    <w:rsid w:val="00C55DC5"/>
    <w:rsid w:val="00C55FE9"/>
    <w:rsid w:val="00C560C3"/>
    <w:rsid w:val="00C56154"/>
    <w:rsid w:val="00C563B0"/>
    <w:rsid w:val="00C563E4"/>
    <w:rsid w:val="00C564E6"/>
    <w:rsid w:val="00C5675E"/>
    <w:rsid w:val="00C5684D"/>
    <w:rsid w:val="00C57084"/>
    <w:rsid w:val="00C57361"/>
    <w:rsid w:val="00C57518"/>
    <w:rsid w:val="00C57F96"/>
    <w:rsid w:val="00C6015C"/>
    <w:rsid w:val="00C607D6"/>
    <w:rsid w:val="00C60B82"/>
    <w:rsid w:val="00C60C8E"/>
    <w:rsid w:val="00C60F4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AE"/>
    <w:rsid w:val="00C70EDB"/>
    <w:rsid w:val="00C716FC"/>
    <w:rsid w:val="00C719D0"/>
    <w:rsid w:val="00C72389"/>
    <w:rsid w:val="00C723B4"/>
    <w:rsid w:val="00C7259F"/>
    <w:rsid w:val="00C72628"/>
    <w:rsid w:val="00C7267B"/>
    <w:rsid w:val="00C7271D"/>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8D"/>
    <w:rsid w:val="00C766DB"/>
    <w:rsid w:val="00C766F7"/>
    <w:rsid w:val="00C76B8C"/>
    <w:rsid w:val="00C772F9"/>
    <w:rsid w:val="00C7742A"/>
    <w:rsid w:val="00C7753F"/>
    <w:rsid w:val="00C7798E"/>
    <w:rsid w:val="00C77CE8"/>
    <w:rsid w:val="00C80047"/>
    <w:rsid w:val="00C80484"/>
    <w:rsid w:val="00C804FD"/>
    <w:rsid w:val="00C80C55"/>
    <w:rsid w:val="00C80E31"/>
    <w:rsid w:val="00C81072"/>
    <w:rsid w:val="00C81299"/>
    <w:rsid w:val="00C816B4"/>
    <w:rsid w:val="00C81A92"/>
    <w:rsid w:val="00C81C3D"/>
    <w:rsid w:val="00C81F4F"/>
    <w:rsid w:val="00C82148"/>
    <w:rsid w:val="00C8237A"/>
    <w:rsid w:val="00C829BE"/>
    <w:rsid w:val="00C82E5C"/>
    <w:rsid w:val="00C82EC3"/>
    <w:rsid w:val="00C83019"/>
    <w:rsid w:val="00C8302A"/>
    <w:rsid w:val="00C832AC"/>
    <w:rsid w:val="00C8341A"/>
    <w:rsid w:val="00C834C9"/>
    <w:rsid w:val="00C83626"/>
    <w:rsid w:val="00C838BF"/>
    <w:rsid w:val="00C83B07"/>
    <w:rsid w:val="00C843FC"/>
    <w:rsid w:val="00C8458B"/>
    <w:rsid w:val="00C84F87"/>
    <w:rsid w:val="00C856E1"/>
    <w:rsid w:val="00C85A8E"/>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3A0"/>
    <w:rsid w:val="00CA0AB7"/>
    <w:rsid w:val="00CA17CA"/>
    <w:rsid w:val="00CA185D"/>
    <w:rsid w:val="00CA1B4E"/>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6FF3"/>
    <w:rsid w:val="00CA705C"/>
    <w:rsid w:val="00CA70BD"/>
    <w:rsid w:val="00CA72C0"/>
    <w:rsid w:val="00CA72E8"/>
    <w:rsid w:val="00CA7487"/>
    <w:rsid w:val="00CA78A0"/>
    <w:rsid w:val="00CA7DEE"/>
    <w:rsid w:val="00CB03D5"/>
    <w:rsid w:val="00CB051F"/>
    <w:rsid w:val="00CB08CA"/>
    <w:rsid w:val="00CB0CA0"/>
    <w:rsid w:val="00CB0DE3"/>
    <w:rsid w:val="00CB0DF8"/>
    <w:rsid w:val="00CB11CF"/>
    <w:rsid w:val="00CB12C8"/>
    <w:rsid w:val="00CB1353"/>
    <w:rsid w:val="00CB13E4"/>
    <w:rsid w:val="00CB1555"/>
    <w:rsid w:val="00CB1A83"/>
    <w:rsid w:val="00CB2339"/>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07"/>
    <w:rsid w:val="00CB58AD"/>
    <w:rsid w:val="00CB593E"/>
    <w:rsid w:val="00CB5F8F"/>
    <w:rsid w:val="00CB61A0"/>
    <w:rsid w:val="00CB61DD"/>
    <w:rsid w:val="00CB688E"/>
    <w:rsid w:val="00CB7364"/>
    <w:rsid w:val="00CB74B0"/>
    <w:rsid w:val="00CB7C62"/>
    <w:rsid w:val="00CC019F"/>
    <w:rsid w:val="00CC07A1"/>
    <w:rsid w:val="00CC0BC4"/>
    <w:rsid w:val="00CC0CA8"/>
    <w:rsid w:val="00CC1777"/>
    <w:rsid w:val="00CC18C3"/>
    <w:rsid w:val="00CC19ED"/>
    <w:rsid w:val="00CC1D0C"/>
    <w:rsid w:val="00CC1D48"/>
    <w:rsid w:val="00CC1E75"/>
    <w:rsid w:val="00CC22B8"/>
    <w:rsid w:val="00CC22D5"/>
    <w:rsid w:val="00CC245C"/>
    <w:rsid w:val="00CC287C"/>
    <w:rsid w:val="00CC2A9B"/>
    <w:rsid w:val="00CC2A9D"/>
    <w:rsid w:val="00CC343D"/>
    <w:rsid w:val="00CC34BA"/>
    <w:rsid w:val="00CC34C2"/>
    <w:rsid w:val="00CC36FF"/>
    <w:rsid w:val="00CC46D9"/>
    <w:rsid w:val="00CC4778"/>
    <w:rsid w:val="00CC4AA5"/>
    <w:rsid w:val="00CC4CF1"/>
    <w:rsid w:val="00CC4D0A"/>
    <w:rsid w:val="00CC4D64"/>
    <w:rsid w:val="00CC4FA8"/>
    <w:rsid w:val="00CC5007"/>
    <w:rsid w:val="00CC503D"/>
    <w:rsid w:val="00CC519E"/>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0FC6"/>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4DF"/>
    <w:rsid w:val="00CD4745"/>
    <w:rsid w:val="00CD4A38"/>
    <w:rsid w:val="00CD4D5F"/>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BF1"/>
    <w:rsid w:val="00CE0D84"/>
    <w:rsid w:val="00CE0F1E"/>
    <w:rsid w:val="00CE1314"/>
    <w:rsid w:val="00CE15C2"/>
    <w:rsid w:val="00CE19BC"/>
    <w:rsid w:val="00CE1AB8"/>
    <w:rsid w:val="00CE1F14"/>
    <w:rsid w:val="00CE2971"/>
    <w:rsid w:val="00CE2B36"/>
    <w:rsid w:val="00CE3097"/>
    <w:rsid w:val="00CE359F"/>
    <w:rsid w:val="00CE35C2"/>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63BF"/>
    <w:rsid w:val="00CE6558"/>
    <w:rsid w:val="00CE66B7"/>
    <w:rsid w:val="00CE73F2"/>
    <w:rsid w:val="00CE78B0"/>
    <w:rsid w:val="00CE7910"/>
    <w:rsid w:val="00CE7DE7"/>
    <w:rsid w:val="00CE7F49"/>
    <w:rsid w:val="00CF0826"/>
    <w:rsid w:val="00CF0A5E"/>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CAE"/>
    <w:rsid w:val="00D17E3F"/>
    <w:rsid w:val="00D17E85"/>
    <w:rsid w:val="00D20063"/>
    <w:rsid w:val="00D204EB"/>
    <w:rsid w:val="00D20A6E"/>
    <w:rsid w:val="00D21300"/>
    <w:rsid w:val="00D21313"/>
    <w:rsid w:val="00D217F2"/>
    <w:rsid w:val="00D218A4"/>
    <w:rsid w:val="00D218FA"/>
    <w:rsid w:val="00D2260C"/>
    <w:rsid w:val="00D229FA"/>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D64"/>
    <w:rsid w:val="00D27ED8"/>
    <w:rsid w:val="00D30007"/>
    <w:rsid w:val="00D30816"/>
    <w:rsid w:val="00D30A6C"/>
    <w:rsid w:val="00D30B8D"/>
    <w:rsid w:val="00D30C24"/>
    <w:rsid w:val="00D30D18"/>
    <w:rsid w:val="00D3101F"/>
    <w:rsid w:val="00D31067"/>
    <w:rsid w:val="00D311A6"/>
    <w:rsid w:val="00D31751"/>
    <w:rsid w:val="00D317C7"/>
    <w:rsid w:val="00D3183A"/>
    <w:rsid w:val="00D31CC7"/>
    <w:rsid w:val="00D3224D"/>
    <w:rsid w:val="00D32633"/>
    <w:rsid w:val="00D32754"/>
    <w:rsid w:val="00D327DA"/>
    <w:rsid w:val="00D32C7C"/>
    <w:rsid w:val="00D32CAB"/>
    <w:rsid w:val="00D32DD5"/>
    <w:rsid w:val="00D338F9"/>
    <w:rsid w:val="00D33E6F"/>
    <w:rsid w:val="00D34034"/>
    <w:rsid w:val="00D346A2"/>
    <w:rsid w:val="00D34AD6"/>
    <w:rsid w:val="00D35B08"/>
    <w:rsid w:val="00D35E19"/>
    <w:rsid w:val="00D362CE"/>
    <w:rsid w:val="00D3635D"/>
    <w:rsid w:val="00D3640A"/>
    <w:rsid w:val="00D36A43"/>
    <w:rsid w:val="00D36C41"/>
    <w:rsid w:val="00D36E3D"/>
    <w:rsid w:val="00D36F16"/>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9F5"/>
    <w:rsid w:val="00D47AD1"/>
    <w:rsid w:val="00D47B87"/>
    <w:rsid w:val="00D47BD8"/>
    <w:rsid w:val="00D47C7D"/>
    <w:rsid w:val="00D47EA3"/>
    <w:rsid w:val="00D50091"/>
    <w:rsid w:val="00D504D0"/>
    <w:rsid w:val="00D50C81"/>
    <w:rsid w:val="00D50F3A"/>
    <w:rsid w:val="00D510B6"/>
    <w:rsid w:val="00D51B48"/>
    <w:rsid w:val="00D51D9F"/>
    <w:rsid w:val="00D520C1"/>
    <w:rsid w:val="00D520E6"/>
    <w:rsid w:val="00D52141"/>
    <w:rsid w:val="00D521DD"/>
    <w:rsid w:val="00D523DA"/>
    <w:rsid w:val="00D5281F"/>
    <w:rsid w:val="00D52A2A"/>
    <w:rsid w:val="00D52CA3"/>
    <w:rsid w:val="00D53858"/>
    <w:rsid w:val="00D53ABF"/>
    <w:rsid w:val="00D53F26"/>
    <w:rsid w:val="00D54194"/>
    <w:rsid w:val="00D544CD"/>
    <w:rsid w:val="00D545D4"/>
    <w:rsid w:val="00D549BD"/>
    <w:rsid w:val="00D54ADD"/>
    <w:rsid w:val="00D54E80"/>
    <w:rsid w:val="00D55256"/>
    <w:rsid w:val="00D5598F"/>
    <w:rsid w:val="00D55BFF"/>
    <w:rsid w:val="00D55CF9"/>
    <w:rsid w:val="00D55D7C"/>
    <w:rsid w:val="00D565A8"/>
    <w:rsid w:val="00D56737"/>
    <w:rsid w:val="00D5679B"/>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2D9"/>
    <w:rsid w:val="00D703AC"/>
    <w:rsid w:val="00D70444"/>
    <w:rsid w:val="00D7053B"/>
    <w:rsid w:val="00D7059A"/>
    <w:rsid w:val="00D70F8F"/>
    <w:rsid w:val="00D71106"/>
    <w:rsid w:val="00D7125A"/>
    <w:rsid w:val="00D713DC"/>
    <w:rsid w:val="00D715AF"/>
    <w:rsid w:val="00D71750"/>
    <w:rsid w:val="00D717AC"/>
    <w:rsid w:val="00D71C34"/>
    <w:rsid w:val="00D71FB4"/>
    <w:rsid w:val="00D71FD4"/>
    <w:rsid w:val="00D7202F"/>
    <w:rsid w:val="00D72310"/>
    <w:rsid w:val="00D72403"/>
    <w:rsid w:val="00D72662"/>
    <w:rsid w:val="00D7307C"/>
    <w:rsid w:val="00D733F4"/>
    <w:rsid w:val="00D7356C"/>
    <w:rsid w:val="00D737EB"/>
    <w:rsid w:val="00D73BB8"/>
    <w:rsid w:val="00D73EBB"/>
    <w:rsid w:val="00D73FF9"/>
    <w:rsid w:val="00D74F45"/>
    <w:rsid w:val="00D7516B"/>
    <w:rsid w:val="00D7516E"/>
    <w:rsid w:val="00D75C07"/>
    <w:rsid w:val="00D75D66"/>
    <w:rsid w:val="00D75EA1"/>
    <w:rsid w:val="00D75ED5"/>
    <w:rsid w:val="00D765E3"/>
    <w:rsid w:val="00D76B00"/>
    <w:rsid w:val="00D76D74"/>
    <w:rsid w:val="00D76E37"/>
    <w:rsid w:val="00D76FEF"/>
    <w:rsid w:val="00D77069"/>
    <w:rsid w:val="00D7717A"/>
    <w:rsid w:val="00D775E3"/>
    <w:rsid w:val="00D77FC1"/>
    <w:rsid w:val="00D8004F"/>
    <w:rsid w:val="00D80439"/>
    <w:rsid w:val="00D8057D"/>
    <w:rsid w:val="00D80E85"/>
    <w:rsid w:val="00D8141F"/>
    <w:rsid w:val="00D817BD"/>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E0A"/>
    <w:rsid w:val="00D93F22"/>
    <w:rsid w:val="00D93FF8"/>
    <w:rsid w:val="00D94966"/>
    <w:rsid w:val="00D94BC0"/>
    <w:rsid w:val="00D952F3"/>
    <w:rsid w:val="00D9565E"/>
    <w:rsid w:val="00D95A6D"/>
    <w:rsid w:val="00D95B3B"/>
    <w:rsid w:val="00D95E75"/>
    <w:rsid w:val="00D9619D"/>
    <w:rsid w:val="00D9643B"/>
    <w:rsid w:val="00D96F4B"/>
    <w:rsid w:val="00D9747A"/>
    <w:rsid w:val="00D976D0"/>
    <w:rsid w:val="00D97ADF"/>
    <w:rsid w:val="00D97B0B"/>
    <w:rsid w:val="00D97C58"/>
    <w:rsid w:val="00D97DD8"/>
    <w:rsid w:val="00D97E10"/>
    <w:rsid w:val="00DA011B"/>
    <w:rsid w:val="00DA041D"/>
    <w:rsid w:val="00DA04A5"/>
    <w:rsid w:val="00DA069E"/>
    <w:rsid w:val="00DA06B3"/>
    <w:rsid w:val="00DA0937"/>
    <w:rsid w:val="00DA1357"/>
    <w:rsid w:val="00DA1A7E"/>
    <w:rsid w:val="00DA1D8E"/>
    <w:rsid w:val="00DA205D"/>
    <w:rsid w:val="00DA263E"/>
    <w:rsid w:val="00DA2C1A"/>
    <w:rsid w:val="00DA2D12"/>
    <w:rsid w:val="00DA2D79"/>
    <w:rsid w:val="00DA3151"/>
    <w:rsid w:val="00DA33F4"/>
    <w:rsid w:val="00DA38C5"/>
    <w:rsid w:val="00DA3A14"/>
    <w:rsid w:val="00DA3C69"/>
    <w:rsid w:val="00DA40DB"/>
    <w:rsid w:val="00DA42DB"/>
    <w:rsid w:val="00DA44E6"/>
    <w:rsid w:val="00DA45FC"/>
    <w:rsid w:val="00DA46A5"/>
    <w:rsid w:val="00DA49E3"/>
    <w:rsid w:val="00DA4A5C"/>
    <w:rsid w:val="00DA4C85"/>
    <w:rsid w:val="00DA5195"/>
    <w:rsid w:val="00DA53F9"/>
    <w:rsid w:val="00DA585F"/>
    <w:rsid w:val="00DA5EBA"/>
    <w:rsid w:val="00DA600C"/>
    <w:rsid w:val="00DA61C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316F"/>
    <w:rsid w:val="00DB336B"/>
    <w:rsid w:val="00DB3387"/>
    <w:rsid w:val="00DB338F"/>
    <w:rsid w:val="00DB35ED"/>
    <w:rsid w:val="00DB3776"/>
    <w:rsid w:val="00DB38B4"/>
    <w:rsid w:val="00DB38E5"/>
    <w:rsid w:val="00DB3CAD"/>
    <w:rsid w:val="00DB3F18"/>
    <w:rsid w:val="00DB405F"/>
    <w:rsid w:val="00DB42AC"/>
    <w:rsid w:val="00DB4302"/>
    <w:rsid w:val="00DB43E1"/>
    <w:rsid w:val="00DB4525"/>
    <w:rsid w:val="00DB4607"/>
    <w:rsid w:val="00DB4717"/>
    <w:rsid w:val="00DB486E"/>
    <w:rsid w:val="00DB4AA5"/>
    <w:rsid w:val="00DB575A"/>
    <w:rsid w:val="00DB62ED"/>
    <w:rsid w:val="00DB6626"/>
    <w:rsid w:val="00DB6962"/>
    <w:rsid w:val="00DB69A9"/>
    <w:rsid w:val="00DB6CFC"/>
    <w:rsid w:val="00DB6D07"/>
    <w:rsid w:val="00DB7312"/>
    <w:rsid w:val="00DB742E"/>
    <w:rsid w:val="00DB7780"/>
    <w:rsid w:val="00DB7944"/>
    <w:rsid w:val="00DB7B6D"/>
    <w:rsid w:val="00DC026E"/>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2A9"/>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7F1"/>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813"/>
    <w:rsid w:val="00DD789B"/>
    <w:rsid w:val="00DD7A1D"/>
    <w:rsid w:val="00DE0825"/>
    <w:rsid w:val="00DE0897"/>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FF"/>
    <w:rsid w:val="00DE5E71"/>
    <w:rsid w:val="00DE6163"/>
    <w:rsid w:val="00DE6885"/>
    <w:rsid w:val="00DE6A0B"/>
    <w:rsid w:val="00DE6C9A"/>
    <w:rsid w:val="00DE6FBF"/>
    <w:rsid w:val="00DE6FFB"/>
    <w:rsid w:val="00DE70D8"/>
    <w:rsid w:val="00DE71CC"/>
    <w:rsid w:val="00DF002B"/>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1A54"/>
    <w:rsid w:val="00DF2279"/>
    <w:rsid w:val="00DF25ED"/>
    <w:rsid w:val="00DF26D7"/>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365"/>
    <w:rsid w:val="00DF6429"/>
    <w:rsid w:val="00DF6802"/>
    <w:rsid w:val="00DF6AAB"/>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FF"/>
    <w:rsid w:val="00E12D43"/>
    <w:rsid w:val="00E12F5C"/>
    <w:rsid w:val="00E1308B"/>
    <w:rsid w:val="00E130DE"/>
    <w:rsid w:val="00E13124"/>
    <w:rsid w:val="00E13305"/>
    <w:rsid w:val="00E134EC"/>
    <w:rsid w:val="00E135EB"/>
    <w:rsid w:val="00E13745"/>
    <w:rsid w:val="00E139C3"/>
    <w:rsid w:val="00E14140"/>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7CF"/>
    <w:rsid w:val="00E23FD1"/>
    <w:rsid w:val="00E240F3"/>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B36"/>
    <w:rsid w:val="00E27DBA"/>
    <w:rsid w:val="00E30783"/>
    <w:rsid w:val="00E30C3B"/>
    <w:rsid w:val="00E310C4"/>
    <w:rsid w:val="00E310E0"/>
    <w:rsid w:val="00E3112D"/>
    <w:rsid w:val="00E31396"/>
    <w:rsid w:val="00E319D5"/>
    <w:rsid w:val="00E31B12"/>
    <w:rsid w:val="00E31DB2"/>
    <w:rsid w:val="00E32421"/>
    <w:rsid w:val="00E32492"/>
    <w:rsid w:val="00E324D3"/>
    <w:rsid w:val="00E32903"/>
    <w:rsid w:val="00E32D49"/>
    <w:rsid w:val="00E32E2E"/>
    <w:rsid w:val="00E332B6"/>
    <w:rsid w:val="00E33643"/>
    <w:rsid w:val="00E339CB"/>
    <w:rsid w:val="00E3427E"/>
    <w:rsid w:val="00E34375"/>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065"/>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A91"/>
    <w:rsid w:val="00E51B16"/>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774"/>
    <w:rsid w:val="00E5561C"/>
    <w:rsid w:val="00E55638"/>
    <w:rsid w:val="00E557E9"/>
    <w:rsid w:val="00E55BF7"/>
    <w:rsid w:val="00E5610F"/>
    <w:rsid w:val="00E5616D"/>
    <w:rsid w:val="00E56261"/>
    <w:rsid w:val="00E5627C"/>
    <w:rsid w:val="00E56292"/>
    <w:rsid w:val="00E569D1"/>
    <w:rsid w:val="00E56AE0"/>
    <w:rsid w:val="00E56BA0"/>
    <w:rsid w:val="00E56DE3"/>
    <w:rsid w:val="00E57675"/>
    <w:rsid w:val="00E57AAD"/>
    <w:rsid w:val="00E57B74"/>
    <w:rsid w:val="00E57D6F"/>
    <w:rsid w:val="00E60CBE"/>
    <w:rsid w:val="00E60D1E"/>
    <w:rsid w:val="00E60F00"/>
    <w:rsid w:val="00E61353"/>
    <w:rsid w:val="00E6171E"/>
    <w:rsid w:val="00E61966"/>
    <w:rsid w:val="00E61BB3"/>
    <w:rsid w:val="00E61FEA"/>
    <w:rsid w:val="00E62909"/>
    <w:rsid w:val="00E62ABC"/>
    <w:rsid w:val="00E62D2D"/>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60DB"/>
    <w:rsid w:val="00E66326"/>
    <w:rsid w:val="00E6655A"/>
    <w:rsid w:val="00E66655"/>
    <w:rsid w:val="00E66E25"/>
    <w:rsid w:val="00E66E48"/>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799"/>
    <w:rsid w:val="00E71969"/>
    <w:rsid w:val="00E71DEB"/>
    <w:rsid w:val="00E71E05"/>
    <w:rsid w:val="00E7200C"/>
    <w:rsid w:val="00E72386"/>
    <w:rsid w:val="00E727C7"/>
    <w:rsid w:val="00E727E7"/>
    <w:rsid w:val="00E72842"/>
    <w:rsid w:val="00E72A38"/>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23B"/>
    <w:rsid w:val="00E776B2"/>
    <w:rsid w:val="00E77750"/>
    <w:rsid w:val="00E77DFC"/>
    <w:rsid w:val="00E77FA5"/>
    <w:rsid w:val="00E77FF6"/>
    <w:rsid w:val="00E80039"/>
    <w:rsid w:val="00E8003F"/>
    <w:rsid w:val="00E80152"/>
    <w:rsid w:val="00E80944"/>
    <w:rsid w:val="00E80A60"/>
    <w:rsid w:val="00E80B9D"/>
    <w:rsid w:val="00E80DFA"/>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1365"/>
    <w:rsid w:val="00E91994"/>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854"/>
    <w:rsid w:val="00EA3AB1"/>
    <w:rsid w:val="00EA3E76"/>
    <w:rsid w:val="00EA3F3B"/>
    <w:rsid w:val="00EA402A"/>
    <w:rsid w:val="00EA4122"/>
    <w:rsid w:val="00EA4732"/>
    <w:rsid w:val="00EA47A9"/>
    <w:rsid w:val="00EA47E8"/>
    <w:rsid w:val="00EA4A58"/>
    <w:rsid w:val="00EA4F2C"/>
    <w:rsid w:val="00EA5237"/>
    <w:rsid w:val="00EA52C9"/>
    <w:rsid w:val="00EA54C1"/>
    <w:rsid w:val="00EA5763"/>
    <w:rsid w:val="00EA59C8"/>
    <w:rsid w:val="00EA5FC3"/>
    <w:rsid w:val="00EA5FF9"/>
    <w:rsid w:val="00EA6374"/>
    <w:rsid w:val="00EA662C"/>
    <w:rsid w:val="00EA684B"/>
    <w:rsid w:val="00EA7021"/>
    <w:rsid w:val="00EA715E"/>
    <w:rsid w:val="00EA7421"/>
    <w:rsid w:val="00EA7526"/>
    <w:rsid w:val="00EA7667"/>
    <w:rsid w:val="00EA77DE"/>
    <w:rsid w:val="00EA7BBB"/>
    <w:rsid w:val="00EB0148"/>
    <w:rsid w:val="00EB0A62"/>
    <w:rsid w:val="00EB0D3F"/>
    <w:rsid w:val="00EB0DFA"/>
    <w:rsid w:val="00EB1390"/>
    <w:rsid w:val="00EB172C"/>
    <w:rsid w:val="00EB1743"/>
    <w:rsid w:val="00EB1A39"/>
    <w:rsid w:val="00EB1F35"/>
    <w:rsid w:val="00EB2478"/>
    <w:rsid w:val="00EB25F5"/>
    <w:rsid w:val="00EB303E"/>
    <w:rsid w:val="00EB32E6"/>
    <w:rsid w:val="00EB3356"/>
    <w:rsid w:val="00EB3A51"/>
    <w:rsid w:val="00EB3CFA"/>
    <w:rsid w:val="00EB4076"/>
    <w:rsid w:val="00EB421C"/>
    <w:rsid w:val="00EB440A"/>
    <w:rsid w:val="00EB44B4"/>
    <w:rsid w:val="00EB4660"/>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C1"/>
    <w:rsid w:val="00EC523C"/>
    <w:rsid w:val="00EC535E"/>
    <w:rsid w:val="00EC5D51"/>
    <w:rsid w:val="00EC60A4"/>
    <w:rsid w:val="00EC654E"/>
    <w:rsid w:val="00EC6E51"/>
    <w:rsid w:val="00EC6EF2"/>
    <w:rsid w:val="00EC716C"/>
    <w:rsid w:val="00EC71AE"/>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2F02"/>
    <w:rsid w:val="00ED3772"/>
    <w:rsid w:val="00ED3919"/>
    <w:rsid w:val="00ED39D2"/>
    <w:rsid w:val="00ED3B44"/>
    <w:rsid w:val="00ED3CED"/>
    <w:rsid w:val="00ED41C4"/>
    <w:rsid w:val="00ED4798"/>
    <w:rsid w:val="00ED495C"/>
    <w:rsid w:val="00ED4D34"/>
    <w:rsid w:val="00ED4E21"/>
    <w:rsid w:val="00ED4FB8"/>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20DD"/>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7A3"/>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7407"/>
    <w:rsid w:val="00F0741A"/>
    <w:rsid w:val="00F07778"/>
    <w:rsid w:val="00F07B88"/>
    <w:rsid w:val="00F07C38"/>
    <w:rsid w:val="00F07F99"/>
    <w:rsid w:val="00F108EA"/>
    <w:rsid w:val="00F109A4"/>
    <w:rsid w:val="00F1115B"/>
    <w:rsid w:val="00F112EE"/>
    <w:rsid w:val="00F11446"/>
    <w:rsid w:val="00F11483"/>
    <w:rsid w:val="00F115BC"/>
    <w:rsid w:val="00F11906"/>
    <w:rsid w:val="00F119FF"/>
    <w:rsid w:val="00F11ACF"/>
    <w:rsid w:val="00F11BCA"/>
    <w:rsid w:val="00F11CFA"/>
    <w:rsid w:val="00F121E3"/>
    <w:rsid w:val="00F125A2"/>
    <w:rsid w:val="00F12AEF"/>
    <w:rsid w:val="00F12BB2"/>
    <w:rsid w:val="00F12C7A"/>
    <w:rsid w:val="00F12C7D"/>
    <w:rsid w:val="00F12E1F"/>
    <w:rsid w:val="00F12EFB"/>
    <w:rsid w:val="00F13320"/>
    <w:rsid w:val="00F134DD"/>
    <w:rsid w:val="00F13801"/>
    <w:rsid w:val="00F138DB"/>
    <w:rsid w:val="00F13DAE"/>
    <w:rsid w:val="00F13DD5"/>
    <w:rsid w:val="00F1403C"/>
    <w:rsid w:val="00F1418C"/>
    <w:rsid w:val="00F1446F"/>
    <w:rsid w:val="00F14A67"/>
    <w:rsid w:val="00F14F5C"/>
    <w:rsid w:val="00F14F9D"/>
    <w:rsid w:val="00F158CC"/>
    <w:rsid w:val="00F158F7"/>
    <w:rsid w:val="00F1604B"/>
    <w:rsid w:val="00F16112"/>
    <w:rsid w:val="00F16430"/>
    <w:rsid w:val="00F16717"/>
    <w:rsid w:val="00F169ED"/>
    <w:rsid w:val="00F16E67"/>
    <w:rsid w:val="00F16E7F"/>
    <w:rsid w:val="00F170CB"/>
    <w:rsid w:val="00F17171"/>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39A"/>
    <w:rsid w:val="00F224F8"/>
    <w:rsid w:val="00F226E6"/>
    <w:rsid w:val="00F22A5C"/>
    <w:rsid w:val="00F22C1C"/>
    <w:rsid w:val="00F22C23"/>
    <w:rsid w:val="00F22C3D"/>
    <w:rsid w:val="00F22D88"/>
    <w:rsid w:val="00F22EC1"/>
    <w:rsid w:val="00F22EE5"/>
    <w:rsid w:val="00F22EEB"/>
    <w:rsid w:val="00F22F0D"/>
    <w:rsid w:val="00F23779"/>
    <w:rsid w:val="00F23933"/>
    <w:rsid w:val="00F23B20"/>
    <w:rsid w:val="00F23D90"/>
    <w:rsid w:val="00F23F21"/>
    <w:rsid w:val="00F2410A"/>
    <w:rsid w:val="00F242B8"/>
    <w:rsid w:val="00F24346"/>
    <w:rsid w:val="00F2473C"/>
    <w:rsid w:val="00F249BB"/>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CAE"/>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EE0"/>
    <w:rsid w:val="00F33FCC"/>
    <w:rsid w:val="00F34EC6"/>
    <w:rsid w:val="00F35240"/>
    <w:rsid w:val="00F35639"/>
    <w:rsid w:val="00F358F3"/>
    <w:rsid w:val="00F35FF0"/>
    <w:rsid w:val="00F36235"/>
    <w:rsid w:val="00F3634D"/>
    <w:rsid w:val="00F3649C"/>
    <w:rsid w:val="00F368B5"/>
    <w:rsid w:val="00F36D81"/>
    <w:rsid w:val="00F37475"/>
    <w:rsid w:val="00F374EF"/>
    <w:rsid w:val="00F37663"/>
    <w:rsid w:val="00F376A6"/>
    <w:rsid w:val="00F37930"/>
    <w:rsid w:val="00F401B1"/>
    <w:rsid w:val="00F401C9"/>
    <w:rsid w:val="00F40571"/>
    <w:rsid w:val="00F40774"/>
    <w:rsid w:val="00F4078B"/>
    <w:rsid w:val="00F40D71"/>
    <w:rsid w:val="00F4107F"/>
    <w:rsid w:val="00F4109F"/>
    <w:rsid w:val="00F412E3"/>
    <w:rsid w:val="00F41657"/>
    <w:rsid w:val="00F41DEB"/>
    <w:rsid w:val="00F42344"/>
    <w:rsid w:val="00F42576"/>
    <w:rsid w:val="00F42577"/>
    <w:rsid w:val="00F426BF"/>
    <w:rsid w:val="00F4292B"/>
    <w:rsid w:val="00F42A1C"/>
    <w:rsid w:val="00F42C64"/>
    <w:rsid w:val="00F42E8B"/>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21D6"/>
    <w:rsid w:val="00F522E1"/>
    <w:rsid w:val="00F52A90"/>
    <w:rsid w:val="00F52B2F"/>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E2"/>
    <w:rsid w:val="00F57485"/>
    <w:rsid w:val="00F57530"/>
    <w:rsid w:val="00F57730"/>
    <w:rsid w:val="00F5788F"/>
    <w:rsid w:val="00F57E71"/>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341A"/>
    <w:rsid w:val="00F6362C"/>
    <w:rsid w:val="00F64167"/>
    <w:rsid w:val="00F641C1"/>
    <w:rsid w:val="00F64589"/>
    <w:rsid w:val="00F645BB"/>
    <w:rsid w:val="00F646A6"/>
    <w:rsid w:val="00F64863"/>
    <w:rsid w:val="00F6488C"/>
    <w:rsid w:val="00F64C76"/>
    <w:rsid w:val="00F64CB3"/>
    <w:rsid w:val="00F64DAB"/>
    <w:rsid w:val="00F64F52"/>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2A1"/>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2F92"/>
    <w:rsid w:val="00F7306A"/>
    <w:rsid w:val="00F73164"/>
    <w:rsid w:val="00F73901"/>
    <w:rsid w:val="00F73B2F"/>
    <w:rsid w:val="00F73E31"/>
    <w:rsid w:val="00F74C66"/>
    <w:rsid w:val="00F74D54"/>
    <w:rsid w:val="00F74DE9"/>
    <w:rsid w:val="00F74F3B"/>
    <w:rsid w:val="00F751D8"/>
    <w:rsid w:val="00F7520E"/>
    <w:rsid w:val="00F75934"/>
    <w:rsid w:val="00F75DF2"/>
    <w:rsid w:val="00F764FE"/>
    <w:rsid w:val="00F7650A"/>
    <w:rsid w:val="00F767C9"/>
    <w:rsid w:val="00F76AC9"/>
    <w:rsid w:val="00F76B51"/>
    <w:rsid w:val="00F76B54"/>
    <w:rsid w:val="00F7706E"/>
    <w:rsid w:val="00F77258"/>
    <w:rsid w:val="00F77495"/>
    <w:rsid w:val="00F774DA"/>
    <w:rsid w:val="00F77C37"/>
    <w:rsid w:val="00F77C9D"/>
    <w:rsid w:val="00F77F4C"/>
    <w:rsid w:val="00F801C4"/>
    <w:rsid w:val="00F804E1"/>
    <w:rsid w:val="00F80729"/>
    <w:rsid w:val="00F80745"/>
    <w:rsid w:val="00F81079"/>
    <w:rsid w:val="00F81356"/>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C3"/>
    <w:rsid w:val="00F84AA0"/>
    <w:rsid w:val="00F84B46"/>
    <w:rsid w:val="00F851DC"/>
    <w:rsid w:val="00F8578C"/>
    <w:rsid w:val="00F857AE"/>
    <w:rsid w:val="00F85DA0"/>
    <w:rsid w:val="00F863DD"/>
    <w:rsid w:val="00F8656E"/>
    <w:rsid w:val="00F86662"/>
    <w:rsid w:val="00F8671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501E"/>
    <w:rsid w:val="00F954F1"/>
    <w:rsid w:val="00F95502"/>
    <w:rsid w:val="00F9585A"/>
    <w:rsid w:val="00F95918"/>
    <w:rsid w:val="00F95E4E"/>
    <w:rsid w:val="00F95FAF"/>
    <w:rsid w:val="00F95FC1"/>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196D"/>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4AA4"/>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12"/>
    <w:rsid w:val="00FB32A3"/>
    <w:rsid w:val="00FB340D"/>
    <w:rsid w:val="00FB3555"/>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25D3"/>
    <w:rsid w:val="00FC2D2A"/>
    <w:rsid w:val="00FC2EB0"/>
    <w:rsid w:val="00FC32F2"/>
    <w:rsid w:val="00FC3829"/>
    <w:rsid w:val="00FC38F6"/>
    <w:rsid w:val="00FC3AE3"/>
    <w:rsid w:val="00FC3B08"/>
    <w:rsid w:val="00FC3D05"/>
    <w:rsid w:val="00FC3D4C"/>
    <w:rsid w:val="00FC4025"/>
    <w:rsid w:val="00FC4345"/>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287B"/>
    <w:rsid w:val="00FD30A0"/>
    <w:rsid w:val="00FD3E52"/>
    <w:rsid w:val="00FD3E9F"/>
    <w:rsid w:val="00FD3FE7"/>
    <w:rsid w:val="00FD4500"/>
    <w:rsid w:val="00FD4927"/>
    <w:rsid w:val="00FD4EC1"/>
    <w:rsid w:val="00FD4ED1"/>
    <w:rsid w:val="00FD4F01"/>
    <w:rsid w:val="00FD5044"/>
    <w:rsid w:val="00FD5C68"/>
    <w:rsid w:val="00FD5CD6"/>
    <w:rsid w:val="00FD5EB4"/>
    <w:rsid w:val="00FD5F08"/>
    <w:rsid w:val="00FD6061"/>
    <w:rsid w:val="00FD6092"/>
    <w:rsid w:val="00FD6117"/>
    <w:rsid w:val="00FD6823"/>
    <w:rsid w:val="00FD6868"/>
    <w:rsid w:val="00FD68FA"/>
    <w:rsid w:val="00FD6CD6"/>
    <w:rsid w:val="00FD6E45"/>
    <w:rsid w:val="00FD7103"/>
    <w:rsid w:val="00FD754B"/>
    <w:rsid w:val="00FD76DA"/>
    <w:rsid w:val="00FD7C04"/>
    <w:rsid w:val="00FD7F60"/>
    <w:rsid w:val="00FD7FF1"/>
    <w:rsid w:val="00FE0902"/>
    <w:rsid w:val="00FE0AAC"/>
    <w:rsid w:val="00FE0BC3"/>
    <w:rsid w:val="00FE0EDC"/>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827"/>
    <w:rsid w:val="00FF0981"/>
    <w:rsid w:val="00FF0DE0"/>
    <w:rsid w:val="00FF1747"/>
    <w:rsid w:val="00FF1A23"/>
    <w:rsid w:val="00FF1D1C"/>
    <w:rsid w:val="00FF2066"/>
    <w:rsid w:val="00FF2101"/>
    <w:rsid w:val="00FF2750"/>
    <w:rsid w:val="00FF2BBE"/>
    <w:rsid w:val="00FF2D98"/>
    <w:rsid w:val="00FF2F0C"/>
    <w:rsid w:val="00FF30B3"/>
    <w:rsid w:val="00FF314C"/>
    <w:rsid w:val="00FF3277"/>
    <w:rsid w:val="00FF34E5"/>
    <w:rsid w:val="00FF35B6"/>
    <w:rsid w:val="00FF3705"/>
    <w:rsid w:val="00FF370C"/>
    <w:rsid w:val="00FF447F"/>
    <w:rsid w:val="00FF4A92"/>
    <w:rsid w:val="00FF4B99"/>
    <w:rsid w:val="00FF54F5"/>
    <w:rsid w:val="00FF5B6D"/>
    <w:rsid w:val="00FF5C98"/>
    <w:rsid w:val="00FF5D15"/>
    <w:rsid w:val="00FF63CF"/>
    <w:rsid w:val="00FF6D96"/>
    <w:rsid w:val="00FF74F8"/>
    <w:rsid w:val="00FF7713"/>
    <w:rsid w:val="00FF799D"/>
    <w:rsid w:val="00FF7F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3C3A"/>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6723</TotalTime>
  <Pages>10</Pages>
  <Words>2854</Words>
  <Characters>16268</Characters>
  <Application>Microsoft Office Word</Application>
  <DocSecurity>0</DocSecurity>
  <Lines>135</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19084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Yoshimura, Tomoki</cp:lastModifiedBy>
  <cp:revision>211</cp:revision>
  <cp:lastPrinted>2019-03-18T06:48:00Z</cp:lastPrinted>
  <dcterms:created xsi:type="dcterms:W3CDTF">2022-04-16T00:53:00Z</dcterms:created>
  <dcterms:modified xsi:type="dcterms:W3CDTF">2022-11-07T03:55:00Z</dcterms:modified>
</cp:coreProperties>
</file>