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CB8D65" w14:textId="5AAD3574" w:rsidR="00CD4E47" w:rsidRDefault="00CD4E47" w:rsidP="00CD4E47">
      <w:pPr>
        <w:tabs>
          <w:tab w:val="right" w:pos="9630"/>
        </w:tabs>
        <w:snapToGrid w:val="0"/>
        <w:spacing w:after="0"/>
        <w:jc w:val="both"/>
        <w:rPr>
          <w:rFonts w:ascii="Arial" w:hAnsi="Arial" w:cs="Arial"/>
        </w:rPr>
      </w:pPr>
      <w:r>
        <w:rPr>
          <w:rFonts w:ascii="Arial" w:hAnsi="Arial" w:cs="Arial"/>
          <w:b/>
        </w:rPr>
        <w:t>3GPPTSG RAN WG1 #</w:t>
      </w:r>
      <w:r w:rsidR="00B04143">
        <w:rPr>
          <w:rFonts w:ascii="Arial" w:eastAsia="Batang" w:hAnsi="Arial" w:cs="Arial"/>
          <w:b/>
          <w:bCs/>
          <w:sz w:val="28"/>
          <w:szCs w:val="24"/>
        </w:rPr>
        <w:t>111</w:t>
      </w:r>
      <w:r>
        <w:rPr>
          <w:rFonts w:ascii="Arial" w:hAnsi="Arial" w:cs="Arial"/>
          <w:b/>
        </w:rPr>
        <w:t xml:space="preserve">                                      R1-</w:t>
      </w:r>
      <w:r w:rsidR="00B04143">
        <w:rPr>
          <w:rFonts w:ascii="Arial" w:hAnsi="Arial" w:cs="Arial"/>
          <w:b/>
        </w:rPr>
        <w:t>2211100</w:t>
      </w:r>
    </w:p>
    <w:p w14:paraId="19147A4A" w14:textId="30507F28" w:rsidR="00CD4E47" w:rsidRDefault="00B04143" w:rsidP="00CD4E47">
      <w:pPr>
        <w:tabs>
          <w:tab w:val="center" w:pos="4536"/>
          <w:tab w:val="right" w:pos="8280"/>
          <w:tab w:val="right" w:pos="9639"/>
        </w:tabs>
        <w:snapToGrid w:val="0"/>
        <w:spacing w:after="0" w:line="240" w:lineRule="auto"/>
        <w:ind w:right="2"/>
        <w:jc w:val="both"/>
        <w:rPr>
          <w:rFonts w:ascii="Arial" w:hAnsi="Arial" w:cs="Arial"/>
          <w:b/>
        </w:rPr>
      </w:pPr>
      <w:r w:rsidRPr="00B04143">
        <w:rPr>
          <w:rFonts w:ascii="Arial" w:hAnsi="Arial" w:cs="Arial"/>
          <w:b/>
        </w:rPr>
        <w:t>Toulouse, France, November 14th – 18th, 2022</w:t>
      </w:r>
    </w:p>
    <w:p w14:paraId="1B2AFD79" w14:textId="77777777" w:rsidR="00B04143" w:rsidRPr="00B04143" w:rsidRDefault="00B04143" w:rsidP="00CD4E47">
      <w:pPr>
        <w:tabs>
          <w:tab w:val="center" w:pos="4536"/>
          <w:tab w:val="right" w:pos="8280"/>
          <w:tab w:val="right" w:pos="9639"/>
        </w:tabs>
        <w:snapToGrid w:val="0"/>
        <w:spacing w:after="0" w:line="240" w:lineRule="auto"/>
        <w:ind w:right="2"/>
        <w:jc w:val="both"/>
        <w:rPr>
          <w:rFonts w:ascii="Arial" w:eastAsia="宋体" w:hAnsi="Arial" w:cs="Arial"/>
          <w:b/>
        </w:rPr>
      </w:pPr>
    </w:p>
    <w:p w14:paraId="41A421E7" w14:textId="5A6414FC" w:rsidR="00CD4E47" w:rsidRDefault="00CD4E47" w:rsidP="00CD4E47">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Source:         BUPT</w:t>
      </w:r>
    </w:p>
    <w:p w14:paraId="50B57D86" w14:textId="553DACB6" w:rsidR="00CD4E47" w:rsidRPr="006D2C21" w:rsidRDefault="00CD4E47" w:rsidP="00CD4E47">
      <w:pPr>
        <w:tabs>
          <w:tab w:val="center" w:pos="4536"/>
          <w:tab w:val="right" w:pos="8280"/>
          <w:tab w:val="right" w:pos="9639"/>
        </w:tabs>
        <w:snapToGrid w:val="0"/>
        <w:spacing w:after="0" w:line="240" w:lineRule="auto"/>
        <w:ind w:left="1988" w:right="2" w:hangingChars="900" w:hanging="1988"/>
        <w:jc w:val="both"/>
        <w:rPr>
          <w:rFonts w:ascii="Arial" w:eastAsia="宋体" w:hAnsi="Arial" w:cs="Arial"/>
          <w:b/>
        </w:rPr>
      </w:pPr>
      <w:r>
        <w:rPr>
          <w:rFonts w:ascii="Arial" w:eastAsia="宋体" w:hAnsi="Arial" w:cs="Arial"/>
          <w:b/>
        </w:rPr>
        <w:t xml:space="preserve">Title:           </w:t>
      </w:r>
      <w:r>
        <w:rPr>
          <w:rFonts w:ascii="Arial" w:eastAsia="宋体" w:hAnsi="Arial" w:cs="Arial" w:hint="eastAsia"/>
          <w:b/>
        </w:rPr>
        <w:t xml:space="preserve"> </w:t>
      </w:r>
      <w:r w:rsidR="006D2C21" w:rsidRPr="006D2C21">
        <w:rPr>
          <w:rFonts w:ascii="Arial" w:eastAsia="宋体" w:hAnsi="Arial" w:cs="Arial"/>
          <w:b/>
        </w:rPr>
        <w:t>High precision positioning of dual frequency carrier phase</w:t>
      </w:r>
    </w:p>
    <w:p w14:paraId="5D9D5904" w14:textId="55FAC6A2" w:rsidR="00CD4E47" w:rsidRDefault="00CD4E47" w:rsidP="00CD4E47">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Agenda item:    9.</w:t>
      </w:r>
      <w:r>
        <w:rPr>
          <w:rFonts w:ascii="Arial" w:eastAsia="宋体" w:hAnsi="Arial" w:cs="Arial" w:hint="eastAsia"/>
          <w:b/>
        </w:rPr>
        <w:t>5</w:t>
      </w:r>
      <w:r>
        <w:rPr>
          <w:rFonts w:ascii="Arial" w:eastAsia="宋体" w:hAnsi="Arial" w:cs="Arial"/>
          <w:b/>
        </w:rPr>
        <w:t>.</w:t>
      </w:r>
      <w:r>
        <w:rPr>
          <w:rFonts w:ascii="Arial" w:eastAsia="宋体" w:hAnsi="Arial" w:cs="Arial" w:hint="eastAsia"/>
          <w:b/>
        </w:rPr>
        <w:t>2.</w:t>
      </w:r>
      <w:r w:rsidR="006D2C21">
        <w:rPr>
          <w:rFonts w:ascii="Arial" w:eastAsia="宋体" w:hAnsi="Arial" w:cs="Arial"/>
          <w:b/>
        </w:rPr>
        <w:t>2</w:t>
      </w:r>
    </w:p>
    <w:p w14:paraId="786CD866" w14:textId="5457F974" w:rsidR="00CD4E47" w:rsidRDefault="00CD4E47" w:rsidP="00CD4E47">
      <w:pPr>
        <w:pBdr>
          <w:bottom w:val="single" w:sz="6" w:space="1" w:color="auto"/>
        </w:pBdr>
        <w:snapToGrid w:val="0"/>
        <w:spacing w:after="0" w:line="240" w:lineRule="auto"/>
        <w:ind w:left="1797" w:hanging="1797"/>
        <w:jc w:val="both"/>
        <w:rPr>
          <w:rFonts w:ascii="Arial" w:eastAsia="宋体" w:hAnsi="Arial" w:cs="Arial"/>
          <w:b/>
        </w:rPr>
      </w:pPr>
      <w:r>
        <w:rPr>
          <w:rFonts w:ascii="Arial" w:hAnsi="Arial" w:cs="Arial"/>
          <w:b/>
        </w:rPr>
        <w:t>Document for:</w:t>
      </w:r>
      <w:r>
        <w:rPr>
          <w:rFonts w:ascii="Arial" w:hAnsi="Arial" w:cs="Arial"/>
          <w:b/>
          <w:lang w:eastAsia="ja-JP"/>
        </w:rPr>
        <w:tab/>
        <w:t>Discussion</w:t>
      </w:r>
    </w:p>
    <w:p w14:paraId="02B6BB1E" w14:textId="77777777" w:rsidR="00CD4E47" w:rsidRDefault="00CD4E47" w:rsidP="00CD4E47">
      <w:pPr>
        <w:pStyle w:val="1"/>
        <w:snapToGrid w:val="0"/>
        <w:spacing w:beforeLines="50" w:before="156" w:afterLines="50" w:after="156"/>
        <w:ind w:left="431" w:hanging="431"/>
        <w:jc w:val="both"/>
        <w:rPr>
          <w:sz w:val="28"/>
          <w:lang w:val="en-US"/>
        </w:rPr>
      </w:pPr>
      <w:r>
        <w:rPr>
          <w:sz w:val="28"/>
          <w:lang w:val="en-US"/>
        </w:rPr>
        <w:t>Introduction</w:t>
      </w:r>
    </w:p>
    <w:p w14:paraId="52ABA091" w14:textId="719A1331" w:rsidR="007D7D08" w:rsidRPr="000A0FB7" w:rsidRDefault="00F032AD" w:rsidP="007D7D08">
      <w:pPr>
        <w:spacing w:before="240"/>
      </w:pPr>
      <w:r w:rsidRPr="00F032AD">
        <w:t>Some problems about NR carrier phase enhanced positioning were discussed in RAN # 110 meeting. Some consensus has been reached and summarized as follows [1]:</w:t>
      </w:r>
    </w:p>
    <w:tbl>
      <w:tblPr>
        <w:tblStyle w:val="a3"/>
        <w:tblW w:w="0" w:type="auto"/>
        <w:tblLook w:val="04A0" w:firstRow="1" w:lastRow="0" w:firstColumn="1" w:lastColumn="0" w:noHBand="0" w:noVBand="1"/>
      </w:tblPr>
      <w:tblGrid>
        <w:gridCol w:w="8296"/>
      </w:tblGrid>
      <w:tr w:rsidR="007D7D08" w14:paraId="2BF08EF4" w14:textId="77777777" w:rsidTr="00F032AD">
        <w:trPr>
          <w:trHeight w:val="1821"/>
        </w:trPr>
        <w:tc>
          <w:tcPr>
            <w:tcW w:w="8296" w:type="dxa"/>
          </w:tcPr>
          <w:p w14:paraId="37284062" w14:textId="77777777" w:rsidR="007D7D08" w:rsidRPr="003D05D8" w:rsidRDefault="007D7D08" w:rsidP="003D05D8">
            <w:pPr>
              <w:spacing w:after="0"/>
              <w:rPr>
                <w:rFonts w:ascii="Times New Roman" w:hAnsi="Times New Roman"/>
                <w:b/>
                <w:i/>
                <w:iCs/>
                <w:sz w:val="20"/>
                <w:lang w:val="en-CA"/>
              </w:rPr>
            </w:pPr>
            <w:r w:rsidRPr="003D05D8">
              <w:rPr>
                <w:rFonts w:ascii="Times New Roman" w:hAnsi="Times New Roman"/>
                <w:b/>
                <w:i/>
                <w:iCs/>
                <w:sz w:val="20"/>
                <w:highlight w:val="green"/>
                <w:lang w:val="en-CA"/>
              </w:rPr>
              <w:t>Agreement</w:t>
            </w:r>
          </w:p>
          <w:p w14:paraId="6A990822" w14:textId="77777777" w:rsidR="00F032AD" w:rsidRDefault="00F032AD" w:rsidP="00F032AD">
            <w:pPr>
              <w:pStyle w:val="a4"/>
              <w:spacing w:line="256" w:lineRule="auto"/>
              <w:ind w:leftChars="0" w:left="0"/>
              <w:contextualSpacing/>
              <w:jc w:val="both"/>
            </w:pPr>
            <w:r>
              <w:t xml:space="preserve">The existing DL PRS and UL SRS for positioning can be re-used as the reference signals </w:t>
            </w:r>
            <w:r>
              <w:rPr>
                <w:bCs/>
              </w:rPr>
              <w:t xml:space="preserve">to enable positioning based on NR carrier phase measurements for both UE-based and UE-assisted positioning. </w:t>
            </w:r>
          </w:p>
          <w:p w14:paraId="0BDA007C" w14:textId="77777777" w:rsidR="00F032AD" w:rsidRDefault="00F032AD" w:rsidP="00F032AD">
            <w:pPr>
              <w:pStyle w:val="a4"/>
              <w:numPr>
                <w:ilvl w:val="0"/>
                <w:numId w:val="9"/>
              </w:numPr>
              <w:spacing w:line="256" w:lineRule="auto"/>
              <w:ind w:leftChars="0"/>
              <w:contextualSpacing/>
              <w:jc w:val="both"/>
            </w:pPr>
            <w:r>
              <w:t xml:space="preserve">FFS: Whether to consider enhancements of the existing DL PRS and UL SRS for better </w:t>
            </w:r>
            <w:r>
              <w:rPr>
                <w:bCs/>
              </w:rPr>
              <w:t>positioning performance</w:t>
            </w:r>
          </w:p>
          <w:p w14:paraId="179C64D4" w14:textId="77777777" w:rsidR="007D7D08" w:rsidRPr="003D05D8" w:rsidRDefault="007D7D08" w:rsidP="003D05D8">
            <w:pPr>
              <w:spacing w:after="0"/>
              <w:rPr>
                <w:rFonts w:ascii="Times New Roman" w:hAnsi="Times New Roman"/>
                <w:b/>
                <w:i/>
                <w:iCs/>
                <w:sz w:val="20"/>
                <w:lang w:val="en-CA"/>
              </w:rPr>
            </w:pPr>
            <w:r w:rsidRPr="003D05D8">
              <w:rPr>
                <w:rFonts w:ascii="Times New Roman" w:hAnsi="Times New Roman"/>
                <w:b/>
                <w:i/>
                <w:iCs/>
                <w:sz w:val="20"/>
                <w:highlight w:val="green"/>
                <w:lang w:val="en-CA"/>
              </w:rPr>
              <w:t>Agreement</w:t>
            </w:r>
          </w:p>
          <w:p w14:paraId="55C3E5C6" w14:textId="77777777" w:rsidR="00F032AD" w:rsidRDefault="00F032AD" w:rsidP="00F032AD">
            <w:pPr>
              <w:pStyle w:val="a4"/>
              <w:spacing w:line="256" w:lineRule="auto"/>
              <w:ind w:leftChars="0" w:left="0"/>
              <w:contextualSpacing/>
              <w:jc w:val="both"/>
            </w:pPr>
            <w:r>
              <w:t xml:space="preserve">For UE-assisted NR carrier phase positioning, at least consider the following options </w:t>
            </w:r>
          </w:p>
          <w:p w14:paraId="5752D111" w14:textId="77777777" w:rsidR="00F032AD" w:rsidRDefault="00F032AD" w:rsidP="00F032AD">
            <w:pPr>
              <w:pStyle w:val="a4"/>
              <w:numPr>
                <w:ilvl w:val="0"/>
                <w:numId w:val="10"/>
              </w:numPr>
              <w:spacing w:line="256" w:lineRule="auto"/>
              <w:ind w:leftChars="0"/>
              <w:contextualSpacing/>
              <w:jc w:val="both"/>
            </w:pPr>
            <w:r>
              <w:t>the difference between the carrier phase measured from the DL PRS signal(s) of the target TRP and the carrier phase measured from the DL PRS signal(s) of the reference TRP.</w:t>
            </w:r>
          </w:p>
          <w:p w14:paraId="1F2B67D9" w14:textId="77777777" w:rsidR="00F032AD" w:rsidRDefault="00F032AD" w:rsidP="00F032AD">
            <w:pPr>
              <w:pStyle w:val="a4"/>
              <w:numPr>
                <w:ilvl w:val="0"/>
                <w:numId w:val="10"/>
              </w:numPr>
              <w:spacing w:line="256" w:lineRule="auto"/>
              <w:ind w:leftChars="0"/>
              <w:contextualSpacing/>
              <w:jc w:val="both"/>
            </w:pPr>
            <w:r>
              <w:t>the carrier phase measured from the DL PRS signal(s) of a TRP</w:t>
            </w:r>
          </w:p>
          <w:p w14:paraId="40C09C12" w14:textId="77777777" w:rsidR="007D7D08" w:rsidRPr="003D05D8" w:rsidRDefault="007D7D08" w:rsidP="003D05D8">
            <w:pPr>
              <w:spacing w:after="0"/>
              <w:rPr>
                <w:rFonts w:ascii="Times New Roman" w:hAnsi="Times New Roman"/>
                <w:b/>
                <w:bCs/>
                <w:i/>
                <w:iCs/>
                <w:sz w:val="20"/>
                <w:lang w:val="en-CA"/>
              </w:rPr>
            </w:pPr>
            <w:r w:rsidRPr="003D05D8">
              <w:rPr>
                <w:rFonts w:ascii="Times New Roman" w:hAnsi="Times New Roman"/>
                <w:b/>
                <w:bCs/>
                <w:i/>
                <w:iCs/>
                <w:sz w:val="20"/>
                <w:highlight w:val="green"/>
                <w:lang w:val="en-CA"/>
              </w:rPr>
              <w:t>Agreement</w:t>
            </w:r>
          </w:p>
          <w:p w14:paraId="28874CD4" w14:textId="77777777" w:rsidR="00F032AD" w:rsidRDefault="00F032AD" w:rsidP="00F032AD">
            <w:pPr>
              <w:jc w:val="both"/>
              <w:rPr>
                <w:rFonts w:ascii="Times" w:eastAsia="等线" w:hAnsi="Times"/>
                <w:iCs/>
                <w:color w:val="000000"/>
                <w:sz w:val="20"/>
              </w:rPr>
            </w:pPr>
            <w:r>
              <w:rPr>
                <w:rFonts w:eastAsia="等线"/>
                <w:iCs/>
                <w:color w:val="000000"/>
              </w:rPr>
              <w:t>For UL UE-assisted NR carrier phase positioning, at least consider the carrier phase measured from the UL SRS for positioning purpose.</w:t>
            </w:r>
          </w:p>
          <w:p w14:paraId="699B3AB4" w14:textId="77777777" w:rsidR="00F032AD" w:rsidRDefault="00F032AD" w:rsidP="00F032AD">
            <w:pPr>
              <w:pStyle w:val="a4"/>
              <w:numPr>
                <w:ilvl w:val="0"/>
                <w:numId w:val="11"/>
              </w:numPr>
              <w:ind w:leftChars="0"/>
              <w:contextualSpacing/>
              <w:jc w:val="both"/>
              <w:rPr>
                <w:rFonts w:eastAsia="等线"/>
                <w:iCs/>
                <w:color w:val="000000"/>
                <w:szCs w:val="20"/>
              </w:rPr>
            </w:pPr>
            <w:r>
              <w:rPr>
                <w:rFonts w:eastAsia="等线"/>
                <w:iCs/>
                <w:color w:val="000000"/>
                <w:szCs w:val="20"/>
              </w:rPr>
              <w:t>Note: The use of MIMO SRS for positioning purpose is transparent to UE.</w:t>
            </w:r>
          </w:p>
          <w:p w14:paraId="3BC7C0D3" w14:textId="77777777" w:rsidR="00F032AD" w:rsidRDefault="00F032AD" w:rsidP="00F032AD">
            <w:pPr>
              <w:pStyle w:val="0Maintext"/>
              <w:rPr>
                <w:b/>
                <w:sz w:val="20"/>
                <w:highlight w:val="green"/>
                <w:u w:val="single"/>
              </w:rPr>
            </w:pPr>
            <w:r>
              <w:rPr>
                <w:b/>
                <w:highlight w:val="green"/>
                <w:u w:val="single"/>
              </w:rPr>
              <w:t>Agreement</w:t>
            </w:r>
          </w:p>
          <w:p w14:paraId="793D3A10" w14:textId="77777777" w:rsidR="00F032AD" w:rsidRDefault="00F032AD" w:rsidP="00F032AD">
            <w:pPr>
              <w:jc w:val="both"/>
              <w:rPr>
                <w:rFonts w:eastAsia="等线"/>
                <w:iCs/>
                <w:color w:val="000000"/>
              </w:rPr>
            </w:pPr>
            <w:r>
              <w:rPr>
                <w:rFonts w:eastAsia="等线"/>
                <w:iCs/>
                <w:color w:val="000000"/>
              </w:rPr>
              <w:t>Add the following note to the previous agreement on error modelling of the initial phase:</w:t>
            </w:r>
          </w:p>
          <w:p w14:paraId="2D1223B5" w14:textId="35B73594" w:rsidR="007D7D08" w:rsidRPr="00F032AD" w:rsidRDefault="00F032AD" w:rsidP="00F032AD">
            <w:pPr>
              <w:pStyle w:val="a4"/>
              <w:numPr>
                <w:ilvl w:val="0"/>
                <w:numId w:val="11"/>
              </w:numPr>
              <w:ind w:leftChars="0"/>
              <w:contextualSpacing/>
              <w:jc w:val="both"/>
              <w:rPr>
                <w:rFonts w:eastAsia="等线"/>
                <w:iCs/>
                <w:color w:val="000000"/>
                <w:szCs w:val="20"/>
              </w:rPr>
            </w:pPr>
            <w:r>
              <w:rPr>
                <w:rFonts w:eastAsia="等线"/>
                <w:iCs/>
                <w:color w:val="000000"/>
                <w:szCs w:val="20"/>
              </w:rPr>
              <w:t>Note: The initial phases of a transmitter for different carriers can be assumed to be independent of each other. Similarly, the initial phases of a receiver for different carriers can be assumed to be independent of each other.</w:t>
            </w:r>
          </w:p>
        </w:tc>
      </w:tr>
    </w:tbl>
    <w:p w14:paraId="58205F50" w14:textId="2C723AFE" w:rsidR="000A0FB7" w:rsidRDefault="00F032AD" w:rsidP="00F032AD">
      <w:pPr>
        <w:spacing w:before="240"/>
      </w:pPr>
      <w:r w:rsidRPr="00F032AD">
        <w:t>In this paper, we will propose our own views on error elimination and integer ambiguity resolution in NR carrier phase positioning.</w:t>
      </w:r>
    </w:p>
    <w:p w14:paraId="451DF445" w14:textId="01792BBC" w:rsidR="006D2C21" w:rsidRPr="00E93E18" w:rsidRDefault="00514CE6" w:rsidP="006D2C21">
      <w:pPr>
        <w:pStyle w:val="1"/>
        <w:snapToGrid w:val="0"/>
        <w:spacing w:beforeLines="50" w:before="156" w:afterLines="50" w:after="156"/>
        <w:ind w:left="431" w:hanging="431"/>
        <w:jc w:val="both"/>
        <w:rPr>
          <w:sz w:val="28"/>
          <w:lang w:val="en-US"/>
        </w:rPr>
      </w:pPr>
      <w:r w:rsidRPr="00514CE6">
        <w:rPr>
          <w:sz w:val="28"/>
          <w:lang w:val="en-US"/>
        </w:rPr>
        <w:t>Dual frequency carrier phase differential positioning</w:t>
      </w:r>
    </w:p>
    <w:p w14:paraId="33507390" w14:textId="6814E49F" w:rsidR="004E678B" w:rsidRDefault="00514CE6" w:rsidP="004E678B">
      <w:pPr>
        <w:pStyle w:val="1"/>
        <w:numPr>
          <w:ilvl w:val="1"/>
          <w:numId w:val="1"/>
        </w:numPr>
        <w:snapToGrid w:val="0"/>
        <w:spacing w:beforeLines="50" w:before="156" w:afterLines="50" w:after="156"/>
        <w:jc w:val="both"/>
        <w:rPr>
          <w:sz w:val="24"/>
          <w:szCs w:val="24"/>
          <w:lang w:val="en-US"/>
        </w:rPr>
      </w:pPr>
      <w:r w:rsidRPr="00514CE6">
        <w:rPr>
          <w:sz w:val="24"/>
          <w:szCs w:val="24"/>
          <w:lang w:val="en-US"/>
        </w:rPr>
        <w:t>Dual frequency band selection</w:t>
      </w:r>
    </w:p>
    <w:p w14:paraId="5AE27812" w14:textId="77777777" w:rsidR="00BF2549" w:rsidRDefault="00BF2549" w:rsidP="00F032AD">
      <w:pPr>
        <w:spacing w:before="240"/>
      </w:pPr>
      <w:r w:rsidRPr="00BF2549">
        <w:t xml:space="preserve">5G signal can realize large bandwidth communication, up to 100M. Based on this, select two </w:t>
      </w:r>
      <w:proofErr w:type="spellStart"/>
      <w:proofErr w:type="gramStart"/>
      <w:r w:rsidRPr="00BF2549">
        <w:t>non overlapping</w:t>
      </w:r>
      <w:proofErr w:type="spellEnd"/>
      <w:proofErr w:type="gramEnd"/>
      <w:r w:rsidRPr="00BF2549">
        <w:t xml:space="preserve"> segments within 100M bandwidth as positioning resources, and receive dual frequency signals. The location resource allocation diagram is as follows:</w:t>
      </w:r>
    </w:p>
    <w:p w14:paraId="0862DCC5" w14:textId="17816A94" w:rsidR="004B3D6B" w:rsidRDefault="004B3D6B" w:rsidP="00BF2549">
      <w:pPr>
        <w:spacing w:before="240"/>
        <w:jc w:val="center"/>
      </w:pPr>
      <w:r w:rsidRPr="004B3D6B">
        <w:rPr>
          <w:noProof/>
        </w:rPr>
        <w:lastRenderedPageBreak/>
        <w:drawing>
          <wp:inline distT="0" distB="0" distL="0" distR="0" wp14:anchorId="5C8BBFDE" wp14:editId="5E16E2E0">
            <wp:extent cx="3118757" cy="2877322"/>
            <wp:effectExtent l="0" t="0" r="0" b="0"/>
            <wp:docPr id="54" name="图片 53">
              <a:extLst xmlns:a="http://schemas.openxmlformats.org/drawingml/2006/main">
                <a:ext uri="{FF2B5EF4-FFF2-40B4-BE49-F238E27FC236}">
                  <a16:creationId xmlns:a16="http://schemas.microsoft.com/office/drawing/2014/main" id="{46935974-8D55-40B4-BADB-040FD0D210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3">
                      <a:extLst>
                        <a:ext uri="{FF2B5EF4-FFF2-40B4-BE49-F238E27FC236}">
                          <a16:creationId xmlns:a16="http://schemas.microsoft.com/office/drawing/2014/main" id="{46935974-8D55-40B4-BADB-040FD0D21044}"/>
                        </a:ext>
                      </a:extLst>
                    </pic:cNvPr>
                    <pic:cNvPicPr>
                      <a:picLocks noChangeAspect="1"/>
                    </pic:cNvPicPr>
                  </pic:nvPicPr>
                  <pic:blipFill>
                    <a:blip r:embed="rId8"/>
                    <a:stretch>
                      <a:fillRect/>
                    </a:stretch>
                  </pic:blipFill>
                  <pic:spPr>
                    <a:xfrm>
                      <a:off x="0" y="0"/>
                      <a:ext cx="3122856" cy="2881104"/>
                    </a:xfrm>
                    <a:prstGeom prst="rect">
                      <a:avLst/>
                    </a:prstGeom>
                  </pic:spPr>
                </pic:pic>
              </a:graphicData>
            </a:graphic>
          </wp:inline>
        </w:drawing>
      </w:r>
    </w:p>
    <w:p w14:paraId="0C6882FD" w14:textId="77777777" w:rsidR="00DD25EC" w:rsidRDefault="00BF2549" w:rsidP="00F032AD">
      <w:pPr>
        <w:spacing w:before="240"/>
      </w:pPr>
      <w:r w:rsidRPr="00BF2549">
        <w:t xml:space="preserve">As shown in the figure above, in the </w:t>
      </w:r>
      <w:proofErr w:type="gramStart"/>
      <w:r w:rsidRPr="00BF2549">
        <w:t>100 megabyte</w:t>
      </w:r>
      <w:proofErr w:type="gramEnd"/>
      <w:r w:rsidRPr="00BF2549">
        <w:t xml:space="preserve"> bandwidth communication signal, two frequency domain continuous time-frequency resources are selected for positioning, wherein </w:t>
      </w:r>
      <w:proofErr w:type="spellStart"/>
      <w:r w:rsidRPr="00BF2549">
        <w:t>RB</w:t>
      </w:r>
      <w:r w:rsidRPr="00DD25EC">
        <w:rPr>
          <w:vertAlign w:val="subscript"/>
        </w:rPr>
        <w:t>i</w:t>
      </w:r>
      <w:proofErr w:type="spellEnd"/>
      <w:r w:rsidRPr="00BF2549">
        <w:t xml:space="preserve"> </w:t>
      </w:r>
      <w:r>
        <w:t>-</w:t>
      </w:r>
      <w:r w:rsidRPr="00BF2549">
        <w:t>RB</w:t>
      </w:r>
      <w:r w:rsidRPr="00DD25EC">
        <w:rPr>
          <w:vertAlign w:val="subscript"/>
        </w:rPr>
        <w:t>i+k1</w:t>
      </w:r>
      <w:r w:rsidRPr="00BF2549">
        <w:t xml:space="preserve"> is the positioning resource corresponding to frequency band f</w:t>
      </w:r>
      <w:r w:rsidRPr="00DD25EC">
        <w:rPr>
          <w:vertAlign w:val="subscript"/>
        </w:rPr>
        <w:t>1</w:t>
      </w:r>
      <w:r w:rsidRPr="00BF2549">
        <w:t>, f</w:t>
      </w:r>
      <w:r w:rsidRPr="00DD25EC">
        <w:rPr>
          <w:vertAlign w:val="subscript"/>
        </w:rPr>
        <w:t>1</w:t>
      </w:r>
      <w:r w:rsidRPr="00BF2549">
        <w:t xml:space="preserve"> is the starting frequency corresponding to </w:t>
      </w:r>
      <w:proofErr w:type="spellStart"/>
      <w:r w:rsidRPr="00BF2549">
        <w:t>RB</w:t>
      </w:r>
      <w:r w:rsidRPr="00DD25EC">
        <w:rPr>
          <w:vertAlign w:val="subscript"/>
        </w:rPr>
        <w:t>i</w:t>
      </w:r>
      <w:proofErr w:type="spellEnd"/>
      <w:r w:rsidRPr="00BF2549">
        <w:t xml:space="preserve">, </w:t>
      </w:r>
      <w:proofErr w:type="spellStart"/>
      <w:r w:rsidRPr="00BF2549">
        <w:t>RB</w:t>
      </w:r>
      <w:r w:rsidRPr="00DD25EC">
        <w:rPr>
          <w:vertAlign w:val="subscript"/>
        </w:rPr>
        <w:t>j</w:t>
      </w:r>
      <w:proofErr w:type="spellEnd"/>
      <w:r w:rsidRPr="00BF2549">
        <w:t xml:space="preserve"> </w:t>
      </w:r>
      <w:r>
        <w:t>-</w:t>
      </w:r>
      <w:r w:rsidRPr="00BF2549">
        <w:t>RB</w:t>
      </w:r>
      <w:r w:rsidRPr="00DD25EC">
        <w:rPr>
          <w:vertAlign w:val="subscript"/>
        </w:rPr>
        <w:t>j+k2</w:t>
      </w:r>
      <w:r w:rsidRPr="00BF2549">
        <w:t xml:space="preserve"> is the positioning resource corresponding to frequency band f</w:t>
      </w:r>
      <w:r w:rsidRPr="00DD25EC">
        <w:rPr>
          <w:vertAlign w:val="subscript"/>
        </w:rPr>
        <w:t>2</w:t>
      </w:r>
      <w:r w:rsidRPr="00BF2549">
        <w:t>, and f</w:t>
      </w:r>
      <w:r w:rsidRPr="00DD25EC">
        <w:rPr>
          <w:vertAlign w:val="subscript"/>
        </w:rPr>
        <w:t>2</w:t>
      </w:r>
      <w:r w:rsidRPr="00BF2549">
        <w:t xml:space="preserve"> is the starting frequency corresponding to </w:t>
      </w:r>
      <w:proofErr w:type="spellStart"/>
      <w:r w:rsidRPr="00BF2549">
        <w:t>RB</w:t>
      </w:r>
      <w:r w:rsidRPr="00DD25EC">
        <w:rPr>
          <w:vertAlign w:val="subscript"/>
        </w:rPr>
        <w:t>i</w:t>
      </w:r>
      <w:proofErr w:type="spellEnd"/>
      <w:r w:rsidRPr="00BF2549">
        <w:t>.</w:t>
      </w:r>
      <w:r w:rsidR="00DD25EC" w:rsidRPr="00BF2549">
        <w:t xml:space="preserve"> </w:t>
      </w:r>
    </w:p>
    <w:p w14:paraId="15ED7C64" w14:textId="7740CF95" w:rsidR="00BF2549" w:rsidRPr="00DD25EC" w:rsidRDefault="00BF2549" w:rsidP="00F032AD">
      <w:pPr>
        <w:spacing w:before="240"/>
        <w:rPr>
          <w:b/>
          <w:i/>
        </w:rPr>
      </w:pPr>
      <w:r w:rsidRPr="00DD25EC">
        <w:rPr>
          <w:b/>
          <w:i/>
        </w:rPr>
        <w:t xml:space="preserve">Observation 1: 5G signal can realize high bandwidth transmission, so two discontinuous time-frequency resources in frequency domain can be selected from the </w:t>
      </w:r>
      <w:proofErr w:type="gramStart"/>
      <w:r w:rsidRPr="00DD25EC">
        <w:rPr>
          <w:b/>
          <w:i/>
        </w:rPr>
        <w:t>100 megabyte</w:t>
      </w:r>
      <w:proofErr w:type="gramEnd"/>
      <w:r w:rsidRPr="00DD25EC">
        <w:rPr>
          <w:b/>
          <w:i/>
        </w:rPr>
        <w:t xml:space="preserve"> bandwidth for the broadcast of positioning signal to achieve dual frequency carrier phase differential positioning and obtain higher positioning accuracy.</w:t>
      </w:r>
    </w:p>
    <w:p w14:paraId="12E4858C" w14:textId="6C661A45" w:rsidR="00BF2549" w:rsidRPr="00DD25EC" w:rsidRDefault="00BF2549" w:rsidP="00F032AD">
      <w:pPr>
        <w:spacing w:before="240"/>
        <w:rPr>
          <w:b/>
          <w:i/>
        </w:rPr>
      </w:pPr>
      <w:r w:rsidRPr="00DD25EC">
        <w:rPr>
          <w:b/>
          <w:i/>
        </w:rPr>
        <w:t xml:space="preserve">Proposal 1: </w:t>
      </w:r>
      <w:r w:rsidR="00976055" w:rsidRPr="00DD25EC">
        <w:rPr>
          <w:b/>
          <w:i/>
        </w:rPr>
        <w:t xml:space="preserve">Selecting two </w:t>
      </w:r>
      <w:proofErr w:type="spellStart"/>
      <w:proofErr w:type="gramStart"/>
      <w:r w:rsidR="00976055" w:rsidRPr="00DD25EC">
        <w:rPr>
          <w:b/>
          <w:i/>
        </w:rPr>
        <w:t>non overlapping</w:t>
      </w:r>
      <w:proofErr w:type="spellEnd"/>
      <w:proofErr w:type="gramEnd"/>
      <w:r w:rsidR="00976055" w:rsidRPr="00DD25EC">
        <w:rPr>
          <w:b/>
          <w:i/>
        </w:rPr>
        <w:t xml:space="preserve"> continuous subcarriers in the frequency domain for positioning resource allocation can realize carrier phase dual frequency broadcasting</w:t>
      </w:r>
      <w:r w:rsidRPr="00DD25EC">
        <w:rPr>
          <w:b/>
          <w:i/>
        </w:rPr>
        <w:t>.</w:t>
      </w:r>
    </w:p>
    <w:p w14:paraId="305E2CF9" w14:textId="4DC23A31" w:rsidR="00BD577A" w:rsidRDefault="00BF2549" w:rsidP="00BD577A">
      <w:pPr>
        <w:pStyle w:val="1"/>
        <w:numPr>
          <w:ilvl w:val="1"/>
          <w:numId w:val="1"/>
        </w:numPr>
        <w:snapToGrid w:val="0"/>
        <w:spacing w:beforeLines="50" w:before="156" w:afterLines="50" w:after="156"/>
        <w:jc w:val="both"/>
        <w:rPr>
          <w:sz w:val="24"/>
          <w:szCs w:val="24"/>
          <w:lang w:val="en-US"/>
        </w:rPr>
      </w:pPr>
      <w:r w:rsidRPr="00BF2549">
        <w:rPr>
          <w:sz w:val="24"/>
          <w:szCs w:val="24"/>
          <w:lang w:val="en-US"/>
        </w:rPr>
        <w:t>Double difference</w:t>
      </w:r>
    </w:p>
    <w:p w14:paraId="73A9EEAB" w14:textId="407DF178" w:rsidR="00BD577A" w:rsidRPr="00BD577A" w:rsidRDefault="00BF2549" w:rsidP="00F032AD">
      <w:pPr>
        <w:spacing w:before="240"/>
      </w:pPr>
      <w:r w:rsidRPr="00BF2549">
        <w:t>In the process of TRP and UE transmitting and receiving signals, there is a certain degree of timing error at the transmitter and receiver. This timing error is unknown to the equipment and will cause positioning deviation. Therefore, the dual frequency and dual difference model can be used to eliminate the clock difference of the base station and the receiver and achieve high-precision carrier phase positioning.</w:t>
      </w:r>
    </w:p>
    <w:p w14:paraId="4213A439" w14:textId="12F79A1B" w:rsidR="000B6EFE" w:rsidRDefault="00514CE6" w:rsidP="000B6EFE">
      <w:pPr>
        <w:jc w:val="center"/>
      </w:pPr>
      <w:r w:rsidRPr="00514CE6">
        <w:rPr>
          <w:noProof/>
        </w:rPr>
        <w:lastRenderedPageBreak/>
        <w:drawing>
          <wp:inline distT="0" distB="0" distL="0" distR="0" wp14:anchorId="3FDFC358" wp14:editId="171E2B3E">
            <wp:extent cx="3699745" cy="2188845"/>
            <wp:effectExtent l="0" t="0" r="0" b="0"/>
            <wp:docPr id="2" name="图片 1">
              <a:extLst xmlns:a="http://schemas.openxmlformats.org/drawingml/2006/main">
                <a:ext uri="{FF2B5EF4-FFF2-40B4-BE49-F238E27FC236}">
                  <a16:creationId xmlns:a16="http://schemas.microsoft.com/office/drawing/2014/main" id="{F6B4C5B1-B87E-48C8-B2D1-25505BE95D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F6B4C5B1-B87E-48C8-B2D1-25505BE95D3A}"/>
                        </a:ext>
                      </a:extLst>
                    </pic:cNvPr>
                    <pic:cNvPicPr>
                      <a:picLocks noChangeAspect="1"/>
                    </pic:cNvPicPr>
                  </pic:nvPicPr>
                  <pic:blipFill>
                    <a:blip r:embed="rId9"/>
                    <a:stretch>
                      <a:fillRect/>
                    </a:stretch>
                  </pic:blipFill>
                  <pic:spPr>
                    <a:xfrm>
                      <a:off x="0" y="0"/>
                      <a:ext cx="3709037" cy="2194342"/>
                    </a:xfrm>
                    <a:prstGeom prst="rect">
                      <a:avLst/>
                    </a:prstGeom>
                  </pic:spPr>
                </pic:pic>
              </a:graphicData>
            </a:graphic>
          </wp:inline>
        </w:drawing>
      </w:r>
    </w:p>
    <w:p w14:paraId="5DE338F9" w14:textId="597C44DF" w:rsidR="00514CE6" w:rsidRPr="00DD25EC" w:rsidRDefault="00BF2549" w:rsidP="00F032AD">
      <w:pPr>
        <w:spacing w:before="240"/>
        <w:rPr>
          <w:b/>
          <w:i/>
        </w:rPr>
      </w:pPr>
      <w:r w:rsidRPr="00DD25EC">
        <w:rPr>
          <w:b/>
          <w:i/>
        </w:rPr>
        <w:t>Observation</w:t>
      </w:r>
      <w:r w:rsidRPr="00DD25EC">
        <w:rPr>
          <w:rFonts w:hint="eastAsia"/>
          <w:b/>
          <w:i/>
        </w:rPr>
        <w:t xml:space="preserve"> </w:t>
      </w:r>
      <w:r w:rsidR="00514CE6" w:rsidRPr="00DD25EC">
        <w:rPr>
          <w:rFonts w:hint="eastAsia"/>
          <w:b/>
          <w:i/>
        </w:rPr>
        <w:t>2</w:t>
      </w:r>
      <w:r w:rsidR="00514CE6" w:rsidRPr="00DD25EC">
        <w:rPr>
          <w:rFonts w:hint="eastAsia"/>
          <w:b/>
          <w:i/>
        </w:rPr>
        <w:t>：</w:t>
      </w:r>
      <w:r w:rsidRPr="00DD25EC">
        <w:rPr>
          <w:b/>
          <w:i/>
        </w:rPr>
        <w:t>In the process of using carrier phase to locate, the clock difference between the base station and the receiver will seriously affect the location performance.</w:t>
      </w:r>
    </w:p>
    <w:p w14:paraId="4459832E" w14:textId="4CA23359" w:rsidR="000B6EFE" w:rsidRPr="00DD25EC" w:rsidRDefault="00BF2549" w:rsidP="00F032AD">
      <w:pPr>
        <w:spacing w:before="240"/>
        <w:rPr>
          <w:b/>
          <w:i/>
        </w:rPr>
      </w:pPr>
      <w:r w:rsidRPr="00DD25EC">
        <w:rPr>
          <w:b/>
          <w:i/>
        </w:rPr>
        <w:t>Proposal</w:t>
      </w:r>
      <w:r w:rsidRPr="00DD25EC">
        <w:rPr>
          <w:rFonts w:hint="eastAsia"/>
          <w:b/>
          <w:i/>
        </w:rPr>
        <w:t xml:space="preserve"> </w:t>
      </w:r>
      <w:r w:rsidR="000B6EFE" w:rsidRPr="00DD25EC">
        <w:rPr>
          <w:rFonts w:hint="eastAsia"/>
          <w:b/>
          <w:i/>
        </w:rPr>
        <w:t>2</w:t>
      </w:r>
      <w:r w:rsidR="000B6EFE" w:rsidRPr="00DD25EC">
        <w:rPr>
          <w:rFonts w:hint="eastAsia"/>
          <w:b/>
          <w:i/>
        </w:rPr>
        <w:t>：</w:t>
      </w:r>
      <w:r w:rsidRPr="00DD25EC">
        <w:rPr>
          <w:b/>
          <w:i/>
        </w:rPr>
        <w:t>The base station can be set to broadcast differential information to realize double frequency and double difference carrier phase positioning.</w:t>
      </w:r>
    </w:p>
    <w:p w14:paraId="697C661D" w14:textId="1FD6906F" w:rsidR="00125C5C" w:rsidRPr="00125C5C" w:rsidRDefault="00BF2549" w:rsidP="00125C5C">
      <w:pPr>
        <w:pStyle w:val="1"/>
        <w:numPr>
          <w:ilvl w:val="1"/>
          <w:numId w:val="1"/>
        </w:numPr>
        <w:snapToGrid w:val="0"/>
        <w:spacing w:beforeLines="50" w:before="156" w:afterLines="50" w:after="156"/>
        <w:jc w:val="both"/>
        <w:rPr>
          <w:sz w:val="24"/>
          <w:szCs w:val="24"/>
          <w:lang w:val="en-US"/>
        </w:rPr>
      </w:pPr>
      <w:r w:rsidRPr="00BF2549">
        <w:rPr>
          <w:sz w:val="24"/>
          <w:szCs w:val="24"/>
          <w:lang w:val="en-US"/>
        </w:rPr>
        <w:t>Ambiguity degree of wide and narrow roadway combination</w:t>
      </w:r>
    </w:p>
    <w:p w14:paraId="10A94209" w14:textId="1429D35C" w:rsidR="00125C5C" w:rsidRDefault="00BF2549" w:rsidP="00F032AD">
      <w:pPr>
        <w:spacing w:before="240"/>
      </w:pPr>
      <w:r w:rsidRPr="00BF2549">
        <w:t xml:space="preserve">The 5G signal can obtain accurate carrier phase difference information after double frequency and double difference processing, but there is still integer ambiguity, which makes the positioning result inaccurate. Therefore, the method of wide lane and narrow lane combination can be adopted, </w:t>
      </w:r>
      <w:r>
        <w:rPr>
          <w:rFonts w:hint="eastAsia"/>
        </w:rPr>
        <w:t>a</w:t>
      </w:r>
      <w:r w:rsidRPr="00BF2549">
        <w:t>mong them, wide roadway combination is:</w:t>
      </w:r>
    </w:p>
    <w:p w14:paraId="6BB7DAC0" w14:textId="77777777" w:rsidR="00514CE6" w:rsidRPr="00F9358B" w:rsidRDefault="00BB0942" w:rsidP="00514CE6">
      <m:oMathPara>
        <m:oMath>
          <m:sSub>
            <m:sSubPr>
              <m:ctrlPr>
                <w:rPr>
                  <w:rFonts w:ascii="Cambria Math" w:hAnsi="Cambria Math"/>
                </w:rPr>
              </m:ctrlPr>
            </m:sSubPr>
            <m:e>
              <m:r>
                <w:rPr>
                  <w:rFonts w:ascii="Cambria Math" w:hAnsi="Cambria Math"/>
                </w:rPr>
                <m:t>ϕ</m:t>
              </m:r>
            </m:e>
            <m:sub>
              <m:r>
                <w:rPr>
                  <w:rFonts w:ascii="Cambria Math" w:hAnsi="Cambria Math" w:hint="eastAsia"/>
                </w:rPr>
                <m:t>w</m:t>
              </m:r>
            </m:sub>
          </m:sSub>
          <m:r>
            <w:rPr>
              <w:rFonts w:ascii="Cambria Math" w:hAnsi="Cambria Math"/>
            </w:rPr>
            <m:t>=</m:t>
          </m:r>
          <m:sSubSup>
            <m:sSubSupPr>
              <m:ctrlPr>
                <w:rPr>
                  <w:rFonts w:ascii="Cambria Math" w:hAnsi="Cambria Math"/>
                </w:rPr>
              </m:ctrlPr>
            </m:sSubSupPr>
            <m:e>
              <m:r>
                <w:rPr>
                  <w:rFonts w:ascii="Cambria Math" w:hAnsi="Cambria Math"/>
                  <w:noProof/>
                </w:rPr>
                <m:t>λ</m:t>
              </m:r>
            </m:e>
            <m:sub>
              <m:r>
                <w:rPr>
                  <w:rFonts w:ascii="Cambria Math" w:hAnsi="Cambria Math" w:hint="eastAsia"/>
                </w:rPr>
                <m:t>w</m:t>
              </m:r>
            </m:sub>
            <m:sup>
              <m:r>
                <w:rPr>
                  <w:rFonts w:ascii="Cambria Math" w:hAnsi="Cambria Math"/>
                </w:rPr>
                <m:t>-1</m:t>
              </m:r>
            </m:sup>
          </m:sSubSup>
          <m:r>
            <w:rPr>
              <w:rFonts w:ascii="Cambria Math" w:hAnsi="Cambria Math"/>
            </w:rPr>
            <m:t>(r+g+T)+</m:t>
          </m:r>
          <m:sSub>
            <m:sSubPr>
              <m:ctrlPr>
                <w:rPr>
                  <w:rFonts w:ascii="Cambria Math" w:hAnsi="Cambria Math"/>
                </w:rPr>
              </m:ctrlPr>
            </m:sSubPr>
            <m:e>
              <m:r>
                <w:rPr>
                  <w:rFonts w:ascii="Cambria Math" w:hAnsi="Cambria Math"/>
                </w:rPr>
                <m:t>ε</m:t>
              </m:r>
            </m:e>
            <m:sub>
              <m:r>
                <w:rPr>
                  <w:rFonts w:ascii="Cambria Math" w:hAnsi="Cambria Math"/>
                </w:rPr>
                <m:t>ϕ,w</m:t>
              </m:r>
            </m:sub>
          </m:sSub>
        </m:oMath>
      </m:oMathPara>
    </w:p>
    <w:p w14:paraId="0108DDC4" w14:textId="77777777" w:rsidR="00514CE6" w:rsidRPr="00F9358B" w:rsidRDefault="00BB0942" w:rsidP="00514CE6">
      <m:oMathPara>
        <m:oMath>
          <m:eqArr>
            <m:eqArrPr>
              <m:ctrlPr>
                <w:rPr>
                  <w:rFonts w:ascii="Cambria Math" w:hAnsi="Cambria Math"/>
                </w:rPr>
              </m:ctrlPr>
            </m:eqArrPr>
            <m:e>
              <m:sSub>
                <m:sSubPr>
                  <m:ctrlPr>
                    <w:rPr>
                      <w:rFonts w:ascii="Cambria Math" w:hAnsi="Cambria Math"/>
                    </w:rPr>
                  </m:ctrlPr>
                </m:sSubPr>
                <m:e>
                  <m:r>
                    <w:rPr>
                      <w:rFonts w:ascii="Cambria Math" w:hAnsi="Cambria Math"/>
                    </w:rPr>
                    <m:t>λ</m:t>
                  </m:r>
                </m:e>
                <m:sub>
                  <m:r>
                    <w:rPr>
                      <w:rFonts w:ascii="Cambria Math" w:hAnsi="Cambria Math"/>
                    </w:rPr>
                    <m:t>w</m:t>
                  </m:r>
                </m:sub>
              </m:sSub>
              <m:r>
                <w:rPr>
                  <w:rFonts w:ascii="Cambria Math" w:hAnsi="Cambria Math"/>
                </w:rPr>
                <m:t>=</m:t>
              </m:r>
              <m:sSup>
                <m:sSupPr>
                  <m:ctrlPr>
                    <w:rPr>
                      <w:rFonts w:ascii="Cambria Math" w:hAnsi="Cambria Math"/>
                    </w:rPr>
                  </m:ctrlPr>
                </m:sSupPr>
                <m:e>
                  <m:r>
                    <w:rPr>
                      <w:rFonts w:ascii="Cambria Math" w:hAnsi="Cambria Math"/>
                    </w:rPr>
                    <m:t>(</m:t>
                  </m:r>
                  <m:sSubSup>
                    <m:sSubSupPr>
                      <m:ctrlPr>
                        <w:rPr>
                          <w:rFonts w:ascii="Cambria Math" w:hAnsi="Cambria Math"/>
                        </w:rPr>
                      </m:ctrlPr>
                    </m:sSubSupPr>
                    <m:e>
                      <m:r>
                        <w:rPr>
                          <w:rFonts w:ascii="Cambria Math" w:hAnsi="Cambria Math"/>
                        </w:rPr>
                        <m:t>λ</m:t>
                      </m:r>
                    </m:e>
                    <m:sub>
                      <m:r>
                        <w:rPr>
                          <w:rFonts w:ascii="Cambria Math" w:hAnsi="Cambria Math"/>
                        </w:rPr>
                        <m:t>1</m:t>
                      </m:r>
                    </m:sub>
                    <m:sup>
                      <m:r>
                        <w:rPr>
                          <w:rFonts w:ascii="Cambria Math" w:hAnsi="Cambria Math"/>
                        </w:rPr>
                        <m:t>-1</m:t>
                      </m:r>
                    </m:sup>
                  </m:sSubSup>
                  <m:r>
                    <w:rPr>
                      <w:rFonts w:ascii="Cambria Math" w:hAnsi="Cambria Math"/>
                    </w:rPr>
                    <m:t>-</m:t>
                  </m:r>
                  <m:sSubSup>
                    <m:sSubSupPr>
                      <m:ctrlPr>
                        <w:rPr>
                          <w:rFonts w:ascii="Cambria Math" w:hAnsi="Cambria Math"/>
                        </w:rPr>
                      </m:ctrlPr>
                    </m:sSubSupPr>
                    <m:e>
                      <m:r>
                        <w:rPr>
                          <w:rFonts w:ascii="Cambria Math" w:hAnsi="Cambria Math"/>
                        </w:rPr>
                        <m:t>λ</m:t>
                      </m:r>
                    </m:e>
                    <m:sub>
                      <m:r>
                        <w:rPr>
                          <w:rFonts w:ascii="Cambria Math" w:hAnsi="Cambria Math"/>
                        </w:rPr>
                        <m:t>2</m:t>
                      </m:r>
                    </m:sub>
                    <m:sup>
                      <m:r>
                        <w:rPr>
                          <w:rFonts w:ascii="Cambria Math" w:hAnsi="Cambria Math"/>
                        </w:rPr>
                        <m:t>-1</m:t>
                      </m:r>
                    </m:sup>
                  </m:sSubSup>
                  <m:r>
                    <w:rPr>
                      <w:rFonts w:ascii="Cambria Math" w:hAnsi="Cambria Math"/>
                    </w:rPr>
                    <m:t>)</m:t>
                  </m:r>
                </m:e>
                <m:sup>
                  <m:r>
                    <w:rPr>
                      <w:rFonts w:ascii="Cambria Math" w:hAnsi="Cambria Math"/>
                    </w:rPr>
                    <m:t>-1</m:t>
                  </m:r>
                </m:sup>
              </m:sSup>
              <m:r>
                <w:rPr>
                  <w:rFonts w:ascii="Cambria Math" w:hAnsi="Cambria Math"/>
                </w:rPr>
                <m:t>=</m:t>
              </m:r>
              <m:f>
                <m:fPr>
                  <m:ctrlPr>
                    <w:rPr>
                      <w:rFonts w:ascii="Cambria Math" w:hAnsi="Cambria Math"/>
                    </w:rPr>
                  </m:ctrlPr>
                </m:fPr>
                <m:num>
                  <m:r>
                    <w:rPr>
                      <w:rFonts w:ascii="Cambria Math" w:hAnsi="Cambria Math"/>
                    </w:rPr>
                    <m:t>c</m:t>
                  </m:r>
                </m:num>
                <m:den>
                  <m:sSub>
                    <m:sSubPr>
                      <m:ctrlPr>
                        <w:rPr>
                          <w:rFonts w:ascii="Cambria Math" w:hAnsi="Cambria Math"/>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2</m:t>
                      </m:r>
                    </m:sub>
                  </m:sSub>
                </m:den>
              </m:f>
            </m:e>
            <m:e>
              <m:sSub>
                <m:sSubPr>
                  <m:ctrlPr>
                    <w:rPr>
                      <w:rFonts w:ascii="Cambria Math" w:hAnsi="Cambria Math"/>
                    </w:rPr>
                  </m:ctrlPr>
                </m:sSubPr>
                <m:e>
                  <m:r>
                    <w:rPr>
                      <w:rFonts w:ascii="Cambria Math" w:hAnsi="Cambria Math"/>
                    </w:rPr>
                    <m:t>f</m:t>
                  </m:r>
                </m:e>
                <m:sub>
                  <m:r>
                    <w:rPr>
                      <w:rFonts w:ascii="Cambria Math" w:hAnsi="Cambria Math"/>
                    </w:rPr>
                    <m:t>w</m:t>
                  </m:r>
                </m:sub>
              </m:sSub>
              <m:r>
                <w:rPr>
                  <w:rFonts w:ascii="Cambria Math" w:hAnsi="Cambria Math"/>
                </w:rPr>
                <m:t>=</m:t>
              </m:r>
              <m:f>
                <m:fPr>
                  <m:ctrlPr>
                    <w:rPr>
                      <w:rFonts w:ascii="Cambria Math" w:hAnsi="Cambria Math"/>
                    </w:rPr>
                  </m:ctrlPr>
                </m:fPr>
                <m:num>
                  <m:r>
                    <w:rPr>
                      <w:rFonts w:ascii="Cambria Math" w:hAnsi="Cambria Math"/>
                    </w:rPr>
                    <m:t>c</m:t>
                  </m:r>
                </m:num>
                <m:den>
                  <m:sSub>
                    <m:sSubPr>
                      <m:ctrlPr>
                        <w:rPr>
                          <w:rFonts w:ascii="Cambria Math" w:hAnsi="Cambria Math"/>
                        </w:rPr>
                      </m:ctrlPr>
                    </m:sSubPr>
                    <m:e>
                      <m:r>
                        <w:rPr>
                          <w:rFonts w:ascii="Cambria Math" w:hAnsi="Cambria Math"/>
                        </w:rPr>
                        <m:t>λ</m:t>
                      </m:r>
                    </m:e>
                    <m:sub>
                      <m:r>
                        <w:rPr>
                          <w:rFonts w:ascii="Cambria Math" w:hAnsi="Cambria Math"/>
                        </w:rPr>
                        <m:t>w</m:t>
                      </m:r>
                    </m:sub>
                  </m:sSub>
                </m:den>
              </m:f>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2</m:t>
                  </m:r>
                </m:sub>
              </m:sSub>
            </m:e>
            <m:e>
              <m:sSub>
                <m:sSubPr>
                  <m:ctrlPr>
                    <w:rPr>
                      <w:rFonts w:ascii="Cambria Math" w:hAnsi="Cambria Math"/>
                    </w:rPr>
                  </m:ctrlPr>
                </m:sSubPr>
                <m:e>
                  <m:r>
                    <w:rPr>
                      <w:rFonts w:ascii="Cambria Math" w:hAnsi="Cambria Math"/>
                    </w:rPr>
                    <m:t>N</m:t>
                  </m:r>
                </m:e>
                <m:sub>
                  <m:r>
                    <w:rPr>
                      <w:rFonts w:ascii="Cambria Math" w:hAnsi="Cambria Math"/>
                    </w:rPr>
                    <m:t>w</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2</m:t>
                  </m:r>
                </m:sub>
              </m:sSub>
            </m:e>
          </m:eqArr>
        </m:oMath>
      </m:oMathPara>
    </w:p>
    <w:p w14:paraId="0D75F371" w14:textId="434BB813" w:rsidR="00514CE6" w:rsidRDefault="00BF2549" w:rsidP="00F032AD">
      <w:pPr>
        <w:spacing w:before="240"/>
      </w:pPr>
      <w:r w:rsidRPr="00BF2549">
        <w:t>Narrow roadway combination:</w:t>
      </w:r>
    </w:p>
    <w:p w14:paraId="322E37DD" w14:textId="77777777" w:rsidR="00514CE6" w:rsidRPr="00F9358B" w:rsidRDefault="00BB0942" w:rsidP="00514CE6">
      <m:oMathPara>
        <m:oMath>
          <m:sSub>
            <m:sSubPr>
              <m:ctrlPr>
                <w:rPr>
                  <w:rFonts w:ascii="Cambria Math" w:hAnsi="Cambria Math"/>
                </w:rPr>
              </m:ctrlPr>
            </m:sSubPr>
            <m:e>
              <m:r>
                <w:rPr>
                  <w:rFonts w:ascii="Cambria Math" w:hAnsi="Cambria Math"/>
                </w:rPr>
                <m:t>ϕ</m:t>
              </m:r>
            </m:e>
            <m:sub>
              <m:r>
                <w:rPr>
                  <w:rFonts w:ascii="Cambria Math" w:hAnsi="Cambria Math" w:hint="eastAsia"/>
                </w:rPr>
                <m:t>n</m:t>
              </m:r>
            </m:sub>
          </m:sSub>
          <m:r>
            <w:rPr>
              <w:rFonts w:ascii="Cambria Math" w:hAnsi="Cambria Math"/>
            </w:rPr>
            <m:t>=</m:t>
          </m:r>
          <m:sSubSup>
            <m:sSubSupPr>
              <m:ctrlPr>
                <w:rPr>
                  <w:rFonts w:ascii="Cambria Math" w:hAnsi="Cambria Math"/>
                </w:rPr>
              </m:ctrlPr>
            </m:sSubSupPr>
            <m:e>
              <m:r>
                <w:rPr>
                  <w:rFonts w:ascii="Cambria Math" w:hAnsi="Cambria Math"/>
                  <w:noProof/>
                </w:rPr>
                <m:t>λ</m:t>
              </m:r>
            </m:e>
            <m:sub>
              <m:r>
                <w:rPr>
                  <w:rFonts w:ascii="Cambria Math" w:hAnsi="Cambria Math" w:hint="eastAsia"/>
                </w:rPr>
                <m:t>n</m:t>
              </m:r>
            </m:sub>
            <m:sup>
              <m:r>
                <w:rPr>
                  <w:rFonts w:ascii="Cambria Math" w:hAnsi="Cambria Math"/>
                </w:rPr>
                <m:t>-1</m:t>
              </m:r>
            </m:sup>
          </m:sSubSup>
          <m:r>
            <w:rPr>
              <w:rFonts w:ascii="Cambria Math" w:hAnsi="Cambria Math"/>
            </w:rPr>
            <m:t>(r+g+T)+</m:t>
          </m:r>
          <m:sSub>
            <m:sSubPr>
              <m:ctrlPr>
                <w:rPr>
                  <w:rFonts w:ascii="Cambria Math" w:hAnsi="Cambria Math"/>
                </w:rPr>
              </m:ctrlPr>
            </m:sSubPr>
            <m:e>
              <m:r>
                <w:rPr>
                  <w:rFonts w:ascii="Cambria Math" w:hAnsi="Cambria Math"/>
                </w:rPr>
                <m:t>ε</m:t>
              </m:r>
            </m:e>
            <m:sub>
              <m:r>
                <w:rPr>
                  <w:rFonts w:ascii="Cambria Math" w:hAnsi="Cambria Math"/>
                </w:rPr>
                <m:t>ϕ,</m:t>
              </m:r>
              <m:r>
                <w:rPr>
                  <w:rFonts w:ascii="Cambria Math" w:hAnsi="Cambria Math" w:hint="eastAsia"/>
                </w:rPr>
                <m:t>n</m:t>
              </m:r>
            </m:sub>
          </m:sSub>
        </m:oMath>
      </m:oMathPara>
    </w:p>
    <w:p w14:paraId="1F6D96D3" w14:textId="77777777" w:rsidR="00514CE6" w:rsidRPr="00F9358B" w:rsidRDefault="00BB0942" w:rsidP="00514CE6">
      <m:oMathPara>
        <m:oMath>
          <m:eqArr>
            <m:eqArrPr>
              <m:ctrlPr>
                <w:rPr>
                  <w:rFonts w:ascii="Cambria Math" w:hAnsi="Cambria Math"/>
                </w:rPr>
              </m:ctrlPr>
            </m:eqArrPr>
            <m:e>
              <m:sSub>
                <m:sSubPr>
                  <m:ctrlPr>
                    <w:rPr>
                      <w:rFonts w:ascii="Cambria Math" w:hAnsi="Cambria Math"/>
                    </w:rPr>
                  </m:ctrlPr>
                </m:sSubPr>
                <m:e>
                  <m:r>
                    <w:rPr>
                      <w:rFonts w:ascii="Cambria Math" w:hAnsi="Cambria Math"/>
                    </w:rPr>
                    <m:t>λ</m:t>
                  </m:r>
                </m:e>
                <m:sub>
                  <m:r>
                    <w:rPr>
                      <w:rFonts w:ascii="Cambria Math" w:hAnsi="Cambria Math" w:hint="eastAsia"/>
                    </w:rPr>
                    <m:t>n</m:t>
                  </m:r>
                </m:sub>
              </m:sSub>
              <m:r>
                <w:rPr>
                  <w:rFonts w:ascii="Cambria Math" w:hAnsi="Cambria Math"/>
                </w:rPr>
                <m:t>=</m:t>
              </m:r>
              <m:sSup>
                <m:sSupPr>
                  <m:ctrlPr>
                    <w:rPr>
                      <w:rFonts w:ascii="Cambria Math" w:hAnsi="Cambria Math"/>
                    </w:rPr>
                  </m:ctrlPr>
                </m:sSupPr>
                <m:e>
                  <m:r>
                    <w:rPr>
                      <w:rFonts w:ascii="Cambria Math" w:hAnsi="Cambria Math"/>
                    </w:rPr>
                    <m:t>(</m:t>
                  </m:r>
                  <m:sSubSup>
                    <m:sSubSupPr>
                      <m:ctrlPr>
                        <w:rPr>
                          <w:rFonts w:ascii="Cambria Math" w:hAnsi="Cambria Math"/>
                        </w:rPr>
                      </m:ctrlPr>
                    </m:sSubSupPr>
                    <m:e>
                      <m:r>
                        <w:rPr>
                          <w:rFonts w:ascii="Cambria Math" w:hAnsi="Cambria Math"/>
                        </w:rPr>
                        <m:t>λ</m:t>
                      </m:r>
                    </m:e>
                    <m:sub>
                      <m:r>
                        <w:rPr>
                          <w:rFonts w:ascii="Cambria Math" w:hAnsi="Cambria Math"/>
                        </w:rPr>
                        <m:t>1</m:t>
                      </m:r>
                    </m:sub>
                    <m:sup>
                      <m:r>
                        <w:rPr>
                          <w:rFonts w:ascii="Cambria Math" w:hAnsi="Cambria Math"/>
                        </w:rPr>
                        <m:t>-1</m:t>
                      </m:r>
                    </m:sup>
                  </m:sSubSup>
                  <m:r>
                    <w:rPr>
                      <w:rFonts w:ascii="Cambria Math" w:hAnsi="Cambria Math"/>
                    </w:rPr>
                    <m:t>+</m:t>
                  </m:r>
                  <m:sSubSup>
                    <m:sSubSupPr>
                      <m:ctrlPr>
                        <w:rPr>
                          <w:rFonts w:ascii="Cambria Math" w:hAnsi="Cambria Math"/>
                        </w:rPr>
                      </m:ctrlPr>
                    </m:sSubSupPr>
                    <m:e>
                      <m:r>
                        <w:rPr>
                          <w:rFonts w:ascii="Cambria Math" w:hAnsi="Cambria Math"/>
                        </w:rPr>
                        <m:t>λ</m:t>
                      </m:r>
                    </m:e>
                    <m:sub>
                      <m:r>
                        <w:rPr>
                          <w:rFonts w:ascii="Cambria Math" w:hAnsi="Cambria Math"/>
                        </w:rPr>
                        <m:t>2</m:t>
                      </m:r>
                    </m:sub>
                    <m:sup>
                      <m:r>
                        <w:rPr>
                          <w:rFonts w:ascii="Cambria Math" w:hAnsi="Cambria Math"/>
                        </w:rPr>
                        <m:t>-1</m:t>
                      </m:r>
                    </m:sup>
                  </m:sSubSup>
                  <m:r>
                    <w:rPr>
                      <w:rFonts w:ascii="Cambria Math" w:hAnsi="Cambria Math"/>
                    </w:rPr>
                    <m:t>)</m:t>
                  </m:r>
                </m:e>
                <m:sup>
                  <m:r>
                    <w:rPr>
                      <w:rFonts w:ascii="Cambria Math" w:hAnsi="Cambria Math"/>
                    </w:rPr>
                    <m:t>-1</m:t>
                  </m:r>
                </m:sup>
              </m:sSup>
              <m:r>
                <w:rPr>
                  <w:rFonts w:ascii="Cambria Math" w:hAnsi="Cambria Math"/>
                </w:rPr>
                <m:t>=</m:t>
              </m:r>
              <m:f>
                <m:fPr>
                  <m:ctrlPr>
                    <w:rPr>
                      <w:rFonts w:ascii="Cambria Math" w:hAnsi="Cambria Math"/>
                    </w:rPr>
                  </m:ctrlPr>
                </m:fPr>
                <m:num>
                  <m:r>
                    <w:rPr>
                      <w:rFonts w:ascii="Cambria Math" w:hAnsi="Cambria Math"/>
                    </w:rPr>
                    <m:t>c</m:t>
                  </m:r>
                </m:num>
                <m:den>
                  <m:sSub>
                    <m:sSubPr>
                      <m:ctrlPr>
                        <w:rPr>
                          <w:rFonts w:ascii="Cambria Math" w:hAnsi="Cambria Math"/>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2</m:t>
                      </m:r>
                    </m:sub>
                  </m:sSub>
                </m:den>
              </m:f>
            </m:e>
            <m:e>
              <m:sSub>
                <m:sSubPr>
                  <m:ctrlPr>
                    <w:rPr>
                      <w:rFonts w:ascii="Cambria Math" w:hAnsi="Cambria Math"/>
                    </w:rPr>
                  </m:ctrlPr>
                </m:sSubPr>
                <m:e>
                  <m:r>
                    <w:rPr>
                      <w:rFonts w:ascii="Cambria Math" w:hAnsi="Cambria Math"/>
                    </w:rPr>
                    <m:t>f</m:t>
                  </m:r>
                </m:e>
                <m:sub>
                  <m:r>
                    <w:rPr>
                      <w:rFonts w:ascii="Cambria Math" w:hAnsi="Cambria Math" w:hint="eastAsia"/>
                    </w:rPr>
                    <m:t>n</m:t>
                  </m:r>
                </m:sub>
              </m:sSub>
              <m:r>
                <w:rPr>
                  <w:rFonts w:ascii="Cambria Math" w:hAnsi="Cambria Math"/>
                </w:rPr>
                <m:t>=</m:t>
              </m:r>
              <m:f>
                <m:fPr>
                  <m:ctrlPr>
                    <w:rPr>
                      <w:rFonts w:ascii="Cambria Math" w:hAnsi="Cambria Math"/>
                    </w:rPr>
                  </m:ctrlPr>
                </m:fPr>
                <m:num>
                  <m:r>
                    <w:rPr>
                      <w:rFonts w:ascii="Cambria Math" w:hAnsi="Cambria Math"/>
                    </w:rPr>
                    <m:t>c</m:t>
                  </m:r>
                </m:num>
                <m:den>
                  <m:sSub>
                    <m:sSubPr>
                      <m:ctrlPr>
                        <w:rPr>
                          <w:rFonts w:ascii="Cambria Math" w:hAnsi="Cambria Math"/>
                        </w:rPr>
                      </m:ctrlPr>
                    </m:sSubPr>
                    <m:e>
                      <m:r>
                        <w:rPr>
                          <w:rFonts w:ascii="Cambria Math" w:hAnsi="Cambria Math"/>
                        </w:rPr>
                        <m:t>λ</m:t>
                      </m:r>
                    </m:e>
                    <m:sub>
                      <m:r>
                        <w:rPr>
                          <w:rFonts w:ascii="Cambria Math" w:hAnsi="Cambria Math" w:hint="eastAsia"/>
                        </w:rPr>
                        <m:t>n</m:t>
                      </m:r>
                    </m:sub>
                  </m:sSub>
                </m:den>
              </m:f>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2</m:t>
                  </m:r>
                </m:sub>
              </m:sSub>
            </m:e>
            <m:e>
              <m:sSub>
                <m:sSubPr>
                  <m:ctrlPr>
                    <w:rPr>
                      <w:rFonts w:ascii="Cambria Math" w:hAnsi="Cambria Math"/>
                    </w:rPr>
                  </m:ctrlPr>
                </m:sSubPr>
                <m:e>
                  <m:r>
                    <w:rPr>
                      <w:rFonts w:ascii="Cambria Math" w:hAnsi="Cambria Math"/>
                    </w:rPr>
                    <m:t>N</m:t>
                  </m:r>
                </m:e>
                <m:sub>
                  <m:r>
                    <w:rPr>
                      <w:rFonts w:ascii="Cambria Math" w:hAnsi="Cambria Math" w:hint="eastAsia"/>
                    </w:rPr>
                    <m:t>n</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2</m:t>
                  </m:r>
                </m:sub>
              </m:sSub>
            </m:e>
          </m:eqArr>
        </m:oMath>
      </m:oMathPara>
    </w:p>
    <w:p w14:paraId="0A3756EE" w14:textId="3DFDA8B7" w:rsidR="00514CE6" w:rsidRDefault="00BF2549" w:rsidP="00F032AD">
      <w:pPr>
        <w:spacing w:before="240"/>
      </w:pPr>
      <w:r w:rsidRPr="00BF2549">
        <w:lastRenderedPageBreak/>
        <w:t>It is easier to calculate the integer ambiguity by using the long wavelength of the money combination, and the measurement error is effectively reduced by using the short wavelength of the narrow lane combination.</w:t>
      </w:r>
    </w:p>
    <w:p w14:paraId="3B406382" w14:textId="28A0FD84" w:rsidR="00514CE6" w:rsidRPr="00DD25EC" w:rsidRDefault="00BF2549" w:rsidP="00F032AD">
      <w:pPr>
        <w:spacing w:before="240"/>
        <w:rPr>
          <w:b/>
          <w:i/>
        </w:rPr>
      </w:pPr>
      <w:r w:rsidRPr="00DD25EC">
        <w:rPr>
          <w:b/>
          <w:i/>
        </w:rPr>
        <w:t xml:space="preserve">Observation </w:t>
      </w:r>
      <w:r w:rsidR="00514CE6" w:rsidRPr="00DD25EC">
        <w:rPr>
          <w:b/>
          <w:i/>
        </w:rPr>
        <w:t>3</w:t>
      </w:r>
      <w:r w:rsidR="00514CE6" w:rsidRPr="00DD25EC">
        <w:rPr>
          <w:rFonts w:hint="eastAsia"/>
          <w:b/>
          <w:i/>
        </w:rPr>
        <w:t>：</w:t>
      </w:r>
      <w:r w:rsidRPr="00DD25EC">
        <w:rPr>
          <w:b/>
          <w:i/>
        </w:rPr>
        <w:t>When the carrier phase is linearly combined, the integer ambiguity can be easily calculated with long wavelength, and the measurement error can be reduced with short wavelength.</w:t>
      </w:r>
    </w:p>
    <w:p w14:paraId="129C8911" w14:textId="6A79FE6D" w:rsidR="00514CE6" w:rsidRPr="00DD25EC" w:rsidRDefault="00BF2549" w:rsidP="00F032AD">
      <w:pPr>
        <w:spacing w:before="240"/>
        <w:rPr>
          <w:b/>
          <w:i/>
        </w:rPr>
      </w:pPr>
      <w:r w:rsidRPr="00DD25EC">
        <w:rPr>
          <w:b/>
          <w:i/>
        </w:rPr>
        <w:t>Proposal</w:t>
      </w:r>
      <w:r w:rsidRPr="00DD25EC">
        <w:rPr>
          <w:rFonts w:hint="eastAsia"/>
          <w:b/>
          <w:i/>
        </w:rPr>
        <w:t xml:space="preserve"> </w:t>
      </w:r>
      <w:r w:rsidR="00514CE6" w:rsidRPr="00DD25EC">
        <w:rPr>
          <w:rFonts w:hint="eastAsia"/>
          <w:b/>
          <w:i/>
        </w:rPr>
        <w:t>3</w:t>
      </w:r>
      <w:r w:rsidR="00514CE6" w:rsidRPr="00DD25EC">
        <w:rPr>
          <w:rFonts w:hint="eastAsia"/>
          <w:b/>
          <w:i/>
        </w:rPr>
        <w:t>：</w:t>
      </w:r>
      <w:r w:rsidRPr="00DD25EC">
        <w:rPr>
          <w:b/>
          <w:i/>
        </w:rPr>
        <w:t xml:space="preserve">After the carrier phase is processed with double frequency and double difference, the method of wide lane and narrow lane combination is used to solve the integer ambiguity and obtain </w:t>
      </w:r>
      <w:bookmarkStart w:id="0" w:name="_GoBack"/>
      <w:bookmarkEnd w:id="0"/>
      <w:r w:rsidRPr="00DD25EC">
        <w:rPr>
          <w:b/>
          <w:i/>
        </w:rPr>
        <w:t>more accurate positioning results.</w:t>
      </w:r>
    </w:p>
    <w:p w14:paraId="587396D4" w14:textId="1C13C203" w:rsidR="00D558E6" w:rsidRDefault="00947B7D" w:rsidP="00D558E6">
      <w:pPr>
        <w:pStyle w:val="1"/>
        <w:snapToGrid w:val="0"/>
        <w:spacing w:beforeLines="50" w:before="156" w:afterLines="50" w:after="156"/>
        <w:ind w:left="431" w:hanging="431"/>
        <w:jc w:val="both"/>
        <w:rPr>
          <w:sz w:val="28"/>
          <w:lang w:val="en-US"/>
        </w:rPr>
      </w:pPr>
      <w:r w:rsidRPr="00947B7D">
        <w:rPr>
          <w:sz w:val="28"/>
          <w:lang w:val="en-US"/>
        </w:rPr>
        <w:t>Summary</w:t>
      </w:r>
    </w:p>
    <w:p w14:paraId="6C754E42" w14:textId="77777777" w:rsidR="00BF2549" w:rsidRPr="00DD25EC" w:rsidRDefault="00BF2549" w:rsidP="00F032AD">
      <w:pPr>
        <w:spacing w:before="240"/>
        <w:rPr>
          <w:b/>
          <w:i/>
        </w:rPr>
      </w:pPr>
      <w:r w:rsidRPr="00DD25EC">
        <w:rPr>
          <w:b/>
          <w:i/>
        </w:rPr>
        <w:t xml:space="preserve">Observation 1: 5G signal can realize high bandwidth transmission, so two discontinuous time-frequency resources in frequency domain can be selected from the </w:t>
      </w:r>
      <w:proofErr w:type="gramStart"/>
      <w:r w:rsidRPr="00DD25EC">
        <w:rPr>
          <w:b/>
          <w:i/>
        </w:rPr>
        <w:t>100 megabyte</w:t>
      </w:r>
      <w:proofErr w:type="gramEnd"/>
      <w:r w:rsidRPr="00DD25EC">
        <w:rPr>
          <w:b/>
          <w:i/>
        </w:rPr>
        <w:t xml:space="preserve"> bandwidth for the broadcast of positioning signal to achieve dual frequency carrier phase differential positioning and obtain higher positioning accuracy.</w:t>
      </w:r>
    </w:p>
    <w:p w14:paraId="6B4822F3" w14:textId="386EAF5F" w:rsidR="00BF2549" w:rsidRPr="00DD25EC" w:rsidRDefault="00BF2549" w:rsidP="00F032AD">
      <w:pPr>
        <w:spacing w:before="240"/>
        <w:rPr>
          <w:b/>
          <w:i/>
        </w:rPr>
      </w:pPr>
      <w:r w:rsidRPr="00DD25EC">
        <w:rPr>
          <w:b/>
          <w:i/>
        </w:rPr>
        <w:t xml:space="preserve">Proposal 1: </w:t>
      </w:r>
      <w:r w:rsidR="00F032AD" w:rsidRPr="00DD25EC">
        <w:rPr>
          <w:b/>
          <w:i/>
        </w:rPr>
        <w:t xml:space="preserve">Selecting two </w:t>
      </w:r>
      <w:proofErr w:type="spellStart"/>
      <w:proofErr w:type="gramStart"/>
      <w:r w:rsidR="00F032AD" w:rsidRPr="00DD25EC">
        <w:rPr>
          <w:b/>
          <w:i/>
        </w:rPr>
        <w:t>non overlapping</w:t>
      </w:r>
      <w:proofErr w:type="spellEnd"/>
      <w:proofErr w:type="gramEnd"/>
      <w:r w:rsidR="00F032AD" w:rsidRPr="00DD25EC">
        <w:rPr>
          <w:b/>
          <w:i/>
        </w:rPr>
        <w:t xml:space="preserve"> continuous subcarriers in the frequency domain for positioning resource allocation can realize carrier phase dual frequency broadcasting</w:t>
      </w:r>
      <w:r w:rsidRPr="00DD25EC">
        <w:rPr>
          <w:b/>
          <w:i/>
        </w:rPr>
        <w:t>.</w:t>
      </w:r>
    </w:p>
    <w:p w14:paraId="514FBC2A" w14:textId="77777777" w:rsidR="00BF2549" w:rsidRPr="00DD25EC" w:rsidRDefault="00BF2549" w:rsidP="00F032AD">
      <w:pPr>
        <w:spacing w:before="240"/>
        <w:rPr>
          <w:b/>
          <w:i/>
        </w:rPr>
      </w:pPr>
      <w:r w:rsidRPr="00DD25EC">
        <w:rPr>
          <w:b/>
          <w:i/>
        </w:rPr>
        <w:t>Observation</w:t>
      </w:r>
      <w:r w:rsidRPr="00DD25EC">
        <w:rPr>
          <w:rFonts w:hint="eastAsia"/>
          <w:b/>
          <w:i/>
        </w:rPr>
        <w:t xml:space="preserve"> 2</w:t>
      </w:r>
      <w:r w:rsidRPr="00DD25EC">
        <w:rPr>
          <w:rFonts w:hint="eastAsia"/>
          <w:b/>
          <w:i/>
        </w:rPr>
        <w:t>：</w:t>
      </w:r>
      <w:r w:rsidRPr="00DD25EC">
        <w:rPr>
          <w:b/>
          <w:i/>
        </w:rPr>
        <w:t>In the process of using carrier phase to locate, the clock difference between the base station and the receiver will seriously affect the location performance.</w:t>
      </w:r>
    </w:p>
    <w:p w14:paraId="7AF28121" w14:textId="77777777" w:rsidR="00BF2549" w:rsidRPr="00DD25EC" w:rsidRDefault="00BF2549" w:rsidP="00F032AD">
      <w:pPr>
        <w:spacing w:before="240"/>
        <w:rPr>
          <w:b/>
          <w:i/>
        </w:rPr>
      </w:pPr>
      <w:r w:rsidRPr="00DD25EC">
        <w:rPr>
          <w:b/>
          <w:i/>
        </w:rPr>
        <w:t>Proposal</w:t>
      </w:r>
      <w:r w:rsidRPr="00DD25EC">
        <w:rPr>
          <w:rFonts w:hint="eastAsia"/>
          <w:b/>
          <w:i/>
        </w:rPr>
        <w:t xml:space="preserve"> 2</w:t>
      </w:r>
      <w:r w:rsidRPr="00DD25EC">
        <w:rPr>
          <w:rFonts w:hint="eastAsia"/>
          <w:b/>
          <w:i/>
        </w:rPr>
        <w:t>：</w:t>
      </w:r>
      <w:r w:rsidRPr="00DD25EC">
        <w:rPr>
          <w:b/>
          <w:i/>
        </w:rPr>
        <w:t>The base station can be set to broadcast differential information to realize double frequency and double difference carrier phase positioning.</w:t>
      </w:r>
    </w:p>
    <w:p w14:paraId="4AAB047B" w14:textId="77777777" w:rsidR="00BF2549" w:rsidRPr="00DD25EC" w:rsidRDefault="00BF2549" w:rsidP="00F032AD">
      <w:pPr>
        <w:spacing w:before="240"/>
        <w:rPr>
          <w:b/>
          <w:i/>
        </w:rPr>
      </w:pPr>
      <w:r w:rsidRPr="00DD25EC">
        <w:rPr>
          <w:b/>
          <w:i/>
        </w:rPr>
        <w:t>Observation 3</w:t>
      </w:r>
      <w:r w:rsidRPr="00DD25EC">
        <w:rPr>
          <w:rFonts w:hint="eastAsia"/>
          <w:b/>
          <w:i/>
        </w:rPr>
        <w:t>：</w:t>
      </w:r>
      <w:r w:rsidRPr="00DD25EC">
        <w:rPr>
          <w:b/>
          <w:i/>
        </w:rPr>
        <w:t>When the carrier phase is linearly combined, the integer ambiguity can be easily calculated with long wavelength, and the measurement error can be reduced with short wavelength.</w:t>
      </w:r>
    </w:p>
    <w:p w14:paraId="1DD7BC13" w14:textId="77777777" w:rsidR="00BF2549" w:rsidRDefault="00BF2549" w:rsidP="00F032AD">
      <w:pPr>
        <w:spacing w:before="240"/>
      </w:pPr>
      <w:r w:rsidRPr="00DD25EC">
        <w:rPr>
          <w:b/>
          <w:i/>
        </w:rPr>
        <w:t>Proposal</w:t>
      </w:r>
      <w:r w:rsidRPr="00DD25EC">
        <w:rPr>
          <w:rFonts w:hint="eastAsia"/>
          <w:b/>
          <w:i/>
        </w:rPr>
        <w:t xml:space="preserve"> 3</w:t>
      </w:r>
      <w:r w:rsidRPr="00DD25EC">
        <w:rPr>
          <w:rFonts w:hint="eastAsia"/>
          <w:b/>
          <w:i/>
        </w:rPr>
        <w:t>：</w:t>
      </w:r>
      <w:r w:rsidRPr="00DD25EC">
        <w:rPr>
          <w:b/>
          <w:i/>
        </w:rPr>
        <w:t>After the carrier phase is processed with double frequency and double difference, the method of wide lane and narrow lane combination is used to solve the integer ambiguity and obtain more accurate positioning results</w:t>
      </w:r>
      <w:r w:rsidRPr="00BF2549">
        <w:t>.</w:t>
      </w:r>
    </w:p>
    <w:p w14:paraId="3D05FBA7" w14:textId="71FC7ED8" w:rsidR="000A0FB7" w:rsidRPr="00D558E6" w:rsidRDefault="00D558E6" w:rsidP="00D558E6">
      <w:pPr>
        <w:pStyle w:val="1"/>
        <w:snapToGrid w:val="0"/>
        <w:spacing w:beforeLines="50" w:before="156" w:afterLines="50" w:after="156"/>
        <w:ind w:left="431" w:hanging="431"/>
        <w:jc w:val="both"/>
        <w:rPr>
          <w:sz w:val="28"/>
          <w:lang w:val="en-US"/>
        </w:rPr>
      </w:pPr>
      <w:r>
        <w:rPr>
          <w:rFonts w:hint="eastAsia"/>
          <w:sz w:val="28"/>
          <w:lang w:val="en-US"/>
        </w:rPr>
        <w:t>参考文献</w:t>
      </w:r>
    </w:p>
    <w:p w14:paraId="2E893259" w14:textId="65F3F5D3" w:rsidR="00EA2DB7" w:rsidRDefault="00F032AD" w:rsidP="00EA2DB7">
      <w:pPr>
        <w:numPr>
          <w:ilvl w:val="0"/>
          <w:numId w:val="3"/>
        </w:numPr>
        <w:autoSpaceDE w:val="0"/>
        <w:autoSpaceDN w:val="0"/>
        <w:adjustRightInd w:val="0"/>
        <w:snapToGrid w:val="0"/>
        <w:spacing w:after="0" w:line="240" w:lineRule="auto"/>
        <w:jc w:val="both"/>
        <w:rPr>
          <w:rFonts w:ascii="Times New Roman" w:eastAsia="宋体" w:hAnsi="Times New Roman"/>
          <w:sz w:val="20"/>
          <w:szCs w:val="20"/>
        </w:rPr>
      </w:pPr>
      <w:r>
        <w:rPr>
          <w:lang w:eastAsia="x-none"/>
        </w:rPr>
        <w:t>FL Summary #1 for improved accuracy based on NR carrier phase measurements</w:t>
      </w:r>
      <w:r w:rsidR="000A0FB7">
        <w:rPr>
          <w:rFonts w:ascii="Times New Roman" w:eastAsia="宋体" w:hAnsi="Times New Roman" w:hint="eastAsia"/>
          <w:sz w:val="20"/>
          <w:szCs w:val="20"/>
        </w:rPr>
        <w:t>,</w:t>
      </w:r>
      <w:r w:rsidR="000A0FB7">
        <w:rPr>
          <w:rFonts w:ascii="Times New Roman" w:eastAsia="宋体" w:hAnsi="Times New Roman"/>
          <w:sz w:val="20"/>
          <w:szCs w:val="20"/>
        </w:rPr>
        <w:t xml:space="preserve"> </w:t>
      </w:r>
      <w:r w:rsidR="000A0FB7">
        <w:rPr>
          <w:rFonts w:ascii="Times New Roman" w:eastAsia="宋体" w:hAnsi="Times New Roman" w:hint="eastAsia"/>
          <w:sz w:val="20"/>
          <w:szCs w:val="20"/>
        </w:rPr>
        <w:t>RAN#</w:t>
      </w:r>
      <w:r>
        <w:rPr>
          <w:rFonts w:ascii="Times New Roman" w:eastAsia="宋体" w:hAnsi="Times New Roman"/>
          <w:sz w:val="20"/>
          <w:szCs w:val="20"/>
        </w:rPr>
        <w:t>110</w:t>
      </w:r>
      <w:r w:rsidR="000A0FB7">
        <w:rPr>
          <w:rFonts w:ascii="Times New Roman" w:eastAsia="宋体" w:hAnsi="Times New Roman" w:hint="eastAsia"/>
          <w:sz w:val="20"/>
          <w:szCs w:val="20"/>
        </w:rPr>
        <w:t>e</w:t>
      </w:r>
    </w:p>
    <w:p w14:paraId="2E7A530A" w14:textId="4CC265E1" w:rsidR="000A0FB7" w:rsidRPr="00F032AD" w:rsidRDefault="005F3398" w:rsidP="00D54DFD">
      <w:pPr>
        <w:widowControl w:val="0"/>
        <w:numPr>
          <w:ilvl w:val="0"/>
          <w:numId w:val="3"/>
        </w:numPr>
        <w:spacing w:after="0"/>
        <w:rPr>
          <w:sz w:val="20"/>
          <w:szCs w:val="20"/>
        </w:rPr>
      </w:pPr>
      <w:bookmarkStart w:id="1" w:name="_Ref110332281"/>
      <w:r w:rsidRPr="00F032AD">
        <w:rPr>
          <w:sz w:val="20"/>
          <w:szCs w:val="20"/>
        </w:rPr>
        <w:t xml:space="preserve">Chair’s Notes RAN1#110, </w:t>
      </w:r>
      <w:bookmarkEnd w:id="1"/>
      <w:r w:rsidR="00F032AD" w:rsidRPr="00F032AD">
        <w:rPr>
          <w:sz w:val="20"/>
          <w:szCs w:val="20"/>
        </w:rPr>
        <w:t>October 10th – 19th, 2022</w:t>
      </w:r>
    </w:p>
    <w:sectPr w:rsidR="000A0FB7" w:rsidRPr="00F032A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E39AE" w14:textId="77777777" w:rsidR="00BB0942" w:rsidRDefault="00BB0942" w:rsidP="00B04143">
      <w:pPr>
        <w:spacing w:after="0" w:line="240" w:lineRule="auto"/>
      </w:pPr>
      <w:r>
        <w:separator/>
      </w:r>
    </w:p>
  </w:endnote>
  <w:endnote w:type="continuationSeparator" w:id="0">
    <w:p w14:paraId="718DA9B7" w14:textId="77777777" w:rsidR="00BB0942" w:rsidRDefault="00BB0942" w:rsidP="00B04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F2E23" w14:textId="77777777" w:rsidR="00BB0942" w:rsidRDefault="00BB0942" w:rsidP="00B04143">
      <w:pPr>
        <w:spacing w:after="0" w:line="240" w:lineRule="auto"/>
      </w:pPr>
      <w:r>
        <w:separator/>
      </w:r>
    </w:p>
  </w:footnote>
  <w:footnote w:type="continuationSeparator" w:id="0">
    <w:p w14:paraId="2E2D1E3C" w14:textId="77777777" w:rsidR="00BB0942" w:rsidRDefault="00BB0942" w:rsidP="00B041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AE21539"/>
    <w:multiLevelType w:val="multilevel"/>
    <w:tmpl w:val="7AE215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0"/>
  </w:num>
  <w:num w:numId="4">
    <w:abstractNumId w:val="3"/>
  </w:num>
  <w:num w:numId="5">
    <w:abstractNumId w:val="7"/>
  </w:num>
  <w:num w:numId="6">
    <w:abstractNumId w:val="1"/>
  </w:num>
  <w:num w:numId="7">
    <w:abstractNumId w:val="6"/>
  </w:num>
  <w:num w:numId="8">
    <w:abstractNumId w:val="6"/>
  </w:num>
  <w:num w:numId="9">
    <w:abstractNumId w:val="2"/>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E62"/>
    <w:rsid w:val="00016664"/>
    <w:rsid w:val="0004704E"/>
    <w:rsid w:val="0008211E"/>
    <w:rsid w:val="0008213C"/>
    <w:rsid w:val="000A0FB7"/>
    <w:rsid w:val="000B6EFE"/>
    <w:rsid w:val="00125C5C"/>
    <w:rsid w:val="0019301B"/>
    <w:rsid w:val="001A4522"/>
    <w:rsid w:val="001E313F"/>
    <w:rsid w:val="00276C35"/>
    <w:rsid w:val="002857BD"/>
    <w:rsid w:val="002B06C8"/>
    <w:rsid w:val="002E14B8"/>
    <w:rsid w:val="003A0C81"/>
    <w:rsid w:val="003D05D8"/>
    <w:rsid w:val="004559A8"/>
    <w:rsid w:val="00491571"/>
    <w:rsid w:val="00491ACC"/>
    <w:rsid w:val="004B3D6B"/>
    <w:rsid w:val="004E678B"/>
    <w:rsid w:val="00514CE6"/>
    <w:rsid w:val="0058096A"/>
    <w:rsid w:val="005A5A46"/>
    <w:rsid w:val="005C0725"/>
    <w:rsid w:val="005F3398"/>
    <w:rsid w:val="006934D1"/>
    <w:rsid w:val="006A1FCB"/>
    <w:rsid w:val="006D2C21"/>
    <w:rsid w:val="006E17EC"/>
    <w:rsid w:val="00782325"/>
    <w:rsid w:val="007D7D08"/>
    <w:rsid w:val="008B5C45"/>
    <w:rsid w:val="00912F20"/>
    <w:rsid w:val="00947B7D"/>
    <w:rsid w:val="00954FD3"/>
    <w:rsid w:val="0095621B"/>
    <w:rsid w:val="00976055"/>
    <w:rsid w:val="00A1063C"/>
    <w:rsid w:val="00A72DBF"/>
    <w:rsid w:val="00AA0B2E"/>
    <w:rsid w:val="00AA548E"/>
    <w:rsid w:val="00B04143"/>
    <w:rsid w:val="00B13E62"/>
    <w:rsid w:val="00B36627"/>
    <w:rsid w:val="00B7158B"/>
    <w:rsid w:val="00B9229B"/>
    <w:rsid w:val="00BA5C11"/>
    <w:rsid w:val="00BA6C6B"/>
    <w:rsid w:val="00BB0942"/>
    <w:rsid w:val="00BD0373"/>
    <w:rsid w:val="00BD36BA"/>
    <w:rsid w:val="00BD577A"/>
    <w:rsid w:val="00BD7F0A"/>
    <w:rsid w:val="00BF2549"/>
    <w:rsid w:val="00C0234A"/>
    <w:rsid w:val="00C9282C"/>
    <w:rsid w:val="00CD4E47"/>
    <w:rsid w:val="00CF1838"/>
    <w:rsid w:val="00D558E6"/>
    <w:rsid w:val="00DD25EC"/>
    <w:rsid w:val="00E61062"/>
    <w:rsid w:val="00E93E18"/>
    <w:rsid w:val="00E93F4C"/>
    <w:rsid w:val="00EA2DB7"/>
    <w:rsid w:val="00F032AD"/>
    <w:rsid w:val="00F077A3"/>
    <w:rsid w:val="00F26998"/>
    <w:rsid w:val="00FC5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88FA8"/>
  <w15:chartTrackingRefBased/>
  <w15:docId w15:val="{B11B28EA-97C6-431B-AFBC-3F98DE7B4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D4E47"/>
    <w:pPr>
      <w:spacing w:after="200" w:line="276" w:lineRule="auto"/>
    </w:pPr>
    <w:rPr>
      <w:rFonts w:ascii="Calibri" w:hAnsi="Calibri" w:cs="Times New Roman"/>
      <w:kern w:val="0"/>
      <w:sz w:val="22"/>
    </w:rPr>
  </w:style>
  <w:style w:type="paragraph" w:styleId="1">
    <w:name w:val="heading 1"/>
    <w:basedOn w:val="a"/>
    <w:next w:val="a"/>
    <w:link w:val="10"/>
    <w:qFormat/>
    <w:rsid w:val="00CD4E47"/>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CD4E47"/>
    <w:rPr>
      <w:rFonts w:ascii="Arial" w:eastAsia="黑体" w:hAnsi="Arial" w:cs="Times New Roman"/>
      <w:b/>
      <w:bCs/>
      <w:kern w:val="0"/>
      <w:sz w:val="30"/>
      <w:szCs w:val="30"/>
      <w:lang w:val="zh-CN"/>
    </w:rPr>
  </w:style>
  <w:style w:type="table" w:styleId="a3">
    <w:name w:val="Table Grid"/>
    <w:basedOn w:val="a1"/>
    <w:uiPriority w:val="59"/>
    <w:qFormat/>
    <w:rsid w:val="000A0FB7"/>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numbere"/>
    <w:basedOn w:val="a"/>
    <w:link w:val="a5"/>
    <w:uiPriority w:val="34"/>
    <w:qFormat/>
    <w:rsid w:val="00E93F4C"/>
    <w:pPr>
      <w:spacing w:after="0" w:line="240" w:lineRule="auto"/>
      <w:ind w:leftChars="400" w:left="840"/>
    </w:pPr>
    <w:rPr>
      <w:rFonts w:ascii="Times" w:eastAsia="Batang" w:hAnsi="Times"/>
      <w:sz w:val="20"/>
      <w:szCs w:val="24"/>
      <w:lang w:val="en-GB" w:eastAsia="x-none"/>
    </w:rPr>
  </w:style>
  <w:style w:type="character" w:customStyle="1" w:styleId="a5">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4"/>
    <w:uiPriority w:val="34"/>
    <w:qFormat/>
    <w:rsid w:val="00E93F4C"/>
    <w:rPr>
      <w:rFonts w:ascii="Times" w:eastAsia="Batang" w:hAnsi="Times" w:cs="Times New Roman"/>
      <w:kern w:val="0"/>
      <w:sz w:val="20"/>
      <w:szCs w:val="24"/>
      <w:lang w:val="en-GB" w:eastAsia="x-none"/>
    </w:rPr>
  </w:style>
  <w:style w:type="character" w:styleId="a6">
    <w:name w:val="Hyperlink"/>
    <w:uiPriority w:val="99"/>
    <w:qFormat/>
    <w:rsid w:val="00276C35"/>
    <w:rPr>
      <w:color w:val="0000FF"/>
      <w:u w:val="single"/>
    </w:rPr>
  </w:style>
  <w:style w:type="character" w:customStyle="1" w:styleId="0MaintextChar">
    <w:name w:val="0 Main text Char"/>
    <w:link w:val="0Maintext"/>
    <w:qFormat/>
    <w:locked/>
    <w:rsid w:val="00F032AD"/>
    <w:rPr>
      <w:rFonts w:ascii="Times New Roman" w:hAnsi="Times New Roman" w:cs="Times New Roman"/>
      <w:lang w:val="en-GB" w:eastAsia="en-US"/>
    </w:rPr>
  </w:style>
  <w:style w:type="paragraph" w:customStyle="1" w:styleId="0Maintext">
    <w:name w:val="0 Main text"/>
    <w:basedOn w:val="a"/>
    <w:link w:val="0MaintextChar"/>
    <w:qFormat/>
    <w:rsid w:val="00F032AD"/>
    <w:pPr>
      <w:spacing w:after="0" w:line="240" w:lineRule="auto"/>
      <w:jc w:val="both"/>
    </w:pPr>
    <w:rPr>
      <w:rFonts w:ascii="Times New Roman" w:hAnsi="Times New Roman"/>
      <w:kern w:val="2"/>
      <w:sz w:val="21"/>
      <w:lang w:val="en-GB" w:eastAsia="en-US"/>
    </w:rPr>
  </w:style>
  <w:style w:type="paragraph" w:styleId="a7">
    <w:name w:val="header"/>
    <w:basedOn w:val="a"/>
    <w:link w:val="a8"/>
    <w:uiPriority w:val="99"/>
    <w:unhideWhenUsed/>
    <w:rsid w:val="00B04143"/>
    <w:pPr>
      <w:pBdr>
        <w:bottom w:val="single" w:sz="6" w:space="1" w:color="auto"/>
      </w:pBdr>
      <w:tabs>
        <w:tab w:val="center" w:pos="4153"/>
        <w:tab w:val="right" w:pos="8306"/>
      </w:tabs>
      <w:snapToGrid w:val="0"/>
      <w:spacing w:line="240" w:lineRule="auto"/>
      <w:jc w:val="center"/>
    </w:pPr>
    <w:rPr>
      <w:sz w:val="18"/>
      <w:szCs w:val="18"/>
    </w:rPr>
  </w:style>
  <w:style w:type="character" w:customStyle="1" w:styleId="a8">
    <w:name w:val="页眉 字符"/>
    <w:basedOn w:val="a0"/>
    <w:link w:val="a7"/>
    <w:uiPriority w:val="99"/>
    <w:rsid w:val="00B04143"/>
    <w:rPr>
      <w:rFonts w:ascii="Calibri" w:hAnsi="Calibri" w:cs="Times New Roman"/>
      <w:kern w:val="0"/>
      <w:sz w:val="18"/>
      <w:szCs w:val="18"/>
    </w:rPr>
  </w:style>
  <w:style w:type="paragraph" w:styleId="a9">
    <w:name w:val="footer"/>
    <w:basedOn w:val="a"/>
    <w:link w:val="aa"/>
    <w:uiPriority w:val="99"/>
    <w:unhideWhenUsed/>
    <w:rsid w:val="00B04143"/>
    <w:pPr>
      <w:tabs>
        <w:tab w:val="center" w:pos="4153"/>
        <w:tab w:val="right" w:pos="8306"/>
      </w:tabs>
      <w:snapToGrid w:val="0"/>
      <w:spacing w:line="240" w:lineRule="auto"/>
    </w:pPr>
    <w:rPr>
      <w:sz w:val="18"/>
      <w:szCs w:val="18"/>
    </w:rPr>
  </w:style>
  <w:style w:type="character" w:customStyle="1" w:styleId="aa">
    <w:name w:val="页脚 字符"/>
    <w:basedOn w:val="a0"/>
    <w:link w:val="a9"/>
    <w:uiPriority w:val="99"/>
    <w:rsid w:val="00B04143"/>
    <w:rPr>
      <w:rFonts w:ascii="Calibri" w:hAnsi="Calibri"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201406">
      <w:bodyDiv w:val="1"/>
      <w:marLeft w:val="0"/>
      <w:marRight w:val="0"/>
      <w:marTop w:val="0"/>
      <w:marBottom w:val="0"/>
      <w:divBdr>
        <w:top w:val="none" w:sz="0" w:space="0" w:color="auto"/>
        <w:left w:val="none" w:sz="0" w:space="0" w:color="auto"/>
        <w:bottom w:val="none" w:sz="0" w:space="0" w:color="auto"/>
        <w:right w:val="none" w:sz="0" w:space="0" w:color="auto"/>
      </w:divBdr>
    </w:div>
    <w:div w:id="347368263">
      <w:bodyDiv w:val="1"/>
      <w:marLeft w:val="0"/>
      <w:marRight w:val="0"/>
      <w:marTop w:val="0"/>
      <w:marBottom w:val="0"/>
      <w:divBdr>
        <w:top w:val="none" w:sz="0" w:space="0" w:color="auto"/>
        <w:left w:val="none" w:sz="0" w:space="0" w:color="auto"/>
        <w:bottom w:val="none" w:sz="0" w:space="0" w:color="auto"/>
        <w:right w:val="none" w:sz="0" w:space="0" w:color="auto"/>
      </w:divBdr>
    </w:div>
    <w:div w:id="915094286">
      <w:bodyDiv w:val="1"/>
      <w:marLeft w:val="0"/>
      <w:marRight w:val="0"/>
      <w:marTop w:val="0"/>
      <w:marBottom w:val="0"/>
      <w:divBdr>
        <w:top w:val="none" w:sz="0" w:space="0" w:color="auto"/>
        <w:left w:val="none" w:sz="0" w:space="0" w:color="auto"/>
        <w:bottom w:val="none" w:sz="0" w:space="0" w:color="auto"/>
        <w:right w:val="none" w:sz="0" w:space="0" w:color="auto"/>
      </w:divBdr>
    </w:div>
    <w:div w:id="1051004546">
      <w:bodyDiv w:val="1"/>
      <w:marLeft w:val="0"/>
      <w:marRight w:val="0"/>
      <w:marTop w:val="0"/>
      <w:marBottom w:val="0"/>
      <w:divBdr>
        <w:top w:val="none" w:sz="0" w:space="0" w:color="auto"/>
        <w:left w:val="none" w:sz="0" w:space="0" w:color="auto"/>
        <w:bottom w:val="none" w:sz="0" w:space="0" w:color="auto"/>
        <w:right w:val="none" w:sz="0" w:space="0" w:color="auto"/>
      </w:divBdr>
    </w:div>
    <w:div w:id="1086000841">
      <w:bodyDiv w:val="1"/>
      <w:marLeft w:val="0"/>
      <w:marRight w:val="0"/>
      <w:marTop w:val="0"/>
      <w:marBottom w:val="0"/>
      <w:divBdr>
        <w:top w:val="none" w:sz="0" w:space="0" w:color="auto"/>
        <w:left w:val="none" w:sz="0" w:space="0" w:color="auto"/>
        <w:bottom w:val="none" w:sz="0" w:space="0" w:color="auto"/>
        <w:right w:val="none" w:sz="0" w:space="0" w:color="auto"/>
      </w:divBdr>
      <w:divsChild>
        <w:div w:id="1207333137">
          <w:marLeft w:val="0"/>
          <w:marRight w:val="0"/>
          <w:marTop w:val="0"/>
          <w:marBottom w:val="0"/>
          <w:divBdr>
            <w:top w:val="none" w:sz="0" w:space="0" w:color="auto"/>
            <w:left w:val="none" w:sz="0" w:space="0" w:color="auto"/>
            <w:bottom w:val="none" w:sz="0" w:space="0" w:color="auto"/>
            <w:right w:val="none" w:sz="0" w:space="0" w:color="auto"/>
          </w:divBdr>
        </w:div>
      </w:divsChild>
    </w:div>
    <w:div w:id="1191607012">
      <w:bodyDiv w:val="1"/>
      <w:marLeft w:val="0"/>
      <w:marRight w:val="0"/>
      <w:marTop w:val="0"/>
      <w:marBottom w:val="0"/>
      <w:divBdr>
        <w:top w:val="none" w:sz="0" w:space="0" w:color="auto"/>
        <w:left w:val="none" w:sz="0" w:space="0" w:color="auto"/>
        <w:bottom w:val="none" w:sz="0" w:space="0" w:color="auto"/>
        <w:right w:val="none" w:sz="0" w:space="0" w:color="auto"/>
      </w:divBdr>
    </w:div>
    <w:div w:id="206887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56AC3-7801-4D19-8110-8C8239E19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3530</TotalTime>
  <Pages>4</Pages>
  <Words>980</Words>
  <Characters>5586</Characters>
  <Application>Microsoft Office Word</Application>
  <DocSecurity>0</DocSecurity>
  <Lines>46</Lines>
  <Paragraphs>13</Paragraphs>
  <ScaleCrop>false</ScaleCrop>
  <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任 海龙</dc:creator>
  <cp:keywords/>
  <dc:description/>
  <cp:lastModifiedBy>mzy</cp:lastModifiedBy>
  <cp:revision>72</cp:revision>
  <dcterms:created xsi:type="dcterms:W3CDTF">2022-09-22T08:01:00Z</dcterms:created>
  <dcterms:modified xsi:type="dcterms:W3CDTF">2022-11-06T12:06:00Z</dcterms:modified>
</cp:coreProperties>
</file>