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9E2DE75" w14:textId="71CD67D0" w:rsidR="003C2E1E" w:rsidRDefault="00000000">
      <w:pPr>
        <w:tabs>
          <w:tab w:val="right" w:pos="9216"/>
        </w:tabs>
        <w:spacing w:after="0"/>
        <w:jc w:val="left"/>
        <w:rPr>
          <w:b/>
          <w:bCs/>
        </w:rPr>
      </w:pPr>
      <w:r>
        <w:rPr>
          <w:b/>
          <w:bCs/>
          <w:kern w:val="2"/>
        </w:rPr>
        <w:t>3GPP TSG RAN WG1 Meeting #110bis-e</w:t>
      </w:r>
      <w:r>
        <w:rPr>
          <w:b/>
          <w:kern w:val="2"/>
        </w:rPr>
        <w:tab/>
      </w:r>
      <w:r>
        <w:rPr>
          <w:b/>
          <w:bCs/>
          <w:kern w:val="2"/>
        </w:rPr>
        <w:t>R1-</w:t>
      </w:r>
      <w:r w:rsidR="00D430C8">
        <w:rPr>
          <w:b/>
          <w:bCs/>
          <w:kern w:val="2"/>
        </w:rPr>
        <w:t>2210108</w:t>
      </w:r>
    </w:p>
    <w:p w14:paraId="1F7D19CE" w14:textId="77777777" w:rsidR="003C2E1E" w:rsidRDefault="00000000">
      <w:pPr>
        <w:tabs>
          <w:tab w:val="center" w:pos="4536"/>
          <w:tab w:val="right" w:pos="9072"/>
        </w:tabs>
        <w:jc w:val="left"/>
        <w:rPr>
          <w:b/>
          <w:bCs/>
          <w:kern w:val="2"/>
        </w:rPr>
      </w:pPr>
      <w:r>
        <w:rPr>
          <w:b/>
          <w:bCs/>
          <w:kern w:val="2"/>
        </w:rPr>
        <w:t>e-Meeting, October 10</w:t>
      </w:r>
      <w:r>
        <w:rPr>
          <w:b/>
          <w:bCs/>
          <w:kern w:val="2"/>
          <w:vertAlign w:val="superscript"/>
        </w:rPr>
        <w:t>th</w:t>
      </w:r>
      <w:r>
        <w:rPr>
          <w:b/>
          <w:bCs/>
          <w:kern w:val="2"/>
        </w:rPr>
        <w:t xml:space="preserve"> – 19</w:t>
      </w:r>
      <w:r>
        <w:rPr>
          <w:b/>
          <w:bCs/>
          <w:kern w:val="2"/>
          <w:vertAlign w:val="superscript"/>
        </w:rPr>
        <w:t>th</w:t>
      </w:r>
      <w:r>
        <w:rPr>
          <w:b/>
          <w:bCs/>
          <w:kern w:val="2"/>
        </w:rPr>
        <w:t>, 2022</w:t>
      </w:r>
    </w:p>
    <w:p w14:paraId="1D53AB83" w14:textId="77777777" w:rsidR="003C2E1E" w:rsidRDefault="003C2E1E">
      <w:pPr>
        <w:pBdr>
          <w:top w:val="single" w:sz="4" w:space="1" w:color="000000"/>
        </w:pBdr>
        <w:spacing w:after="0"/>
        <w:jc w:val="left"/>
        <w:rPr>
          <w:b/>
          <w:kern w:val="2"/>
          <w:sz w:val="16"/>
          <w:szCs w:val="16"/>
        </w:rPr>
      </w:pPr>
    </w:p>
    <w:p w14:paraId="2DE7727E" w14:textId="77777777" w:rsidR="003C2E1E" w:rsidRDefault="00000000">
      <w:pPr>
        <w:spacing w:after="60"/>
        <w:ind w:left="1555" w:hanging="1555"/>
        <w:jc w:val="left"/>
      </w:pPr>
      <w:r>
        <w:rPr>
          <w:b/>
          <w:kern w:val="2"/>
        </w:rPr>
        <w:t>Agenda Item:</w:t>
      </w:r>
      <w:r>
        <w:rPr>
          <w:b/>
          <w:kern w:val="2"/>
        </w:rPr>
        <w:tab/>
        <w:t>9.3.2</w:t>
      </w:r>
    </w:p>
    <w:p w14:paraId="23202491" w14:textId="77777777" w:rsidR="003C2E1E" w:rsidRDefault="00000000">
      <w:pPr>
        <w:spacing w:after="60"/>
        <w:ind w:left="1555" w:hanging="1555"/>
        <w:jc w:val="left"/>
      </w:pPr>
      <w:r>
        <w:rPr>
          <w:b/>
          <w:kern w:val="2"/>
        </w:rPr>
        <w:t>Source:</w:t>
      </w:r>
      <w:r>
        <w:rPr>
          <w:b/>
          <w:kern w:val="2"/>
        </w:rPr>
        <w:tab/>
        <w:t>CEWiT</w:t>
      </w:r>
    </w:p>
    <w:p w14:paraId="23278B85" w14:textId="77777777" w:rsidR="003C2E1E" w:rsidRDefault="00000000">
      <w:pPr>
        <w:spacing w:after="60"/>
        <w:ind w:left="1555" w:hanging="1555"/>
        <w:jc w:val="left"/>
      </w:pPr>
      <w:r>
        <w:rPr>
          <w:b/>
          <w:bCs/>
          <w:kern w:val="2"/>
        </w:rPr>
        <w:t>Title:</w:t>
      </w:r>
      <w:r>
        <w:rPr>
          <w:b/>
          <w:kern w:val="2"/>
        </w:rPr>
        <w:tab/>
      </w:r>
      <w:r>
        <w:rPr>
          <w:b/>
          <w:bCs/>
          <w:kern w:val="2"/>
        </w:rPr>
        <w:t xml:space="preserve">Discussion on </w:t>
      </w:r>
      <w:proofErr w:type="spellStart"/>
      <w:r>
        <w:rPr>
          <w:b/>
          <w:bCs/>
          <w:kern w:val="2"/>
        </w:rPr>
        <w:t>s</w:t>
      </w:r>
      <w:r>
        <w:rPr>
          <w:rFonts w:eastAsia="Malgun Gothic"/>
          <w:b/>
          <w:bCs/>
          <w:kern w:val="2"/>
          <w:lang w:eastAsia="ko-KR"/>
        </w:rPr>
        <w:t>ubband</w:t>
      </w:r>
      <w:proofErr w:type="spellEnd"/>
      <w:r>
        <w:rPr>
          <w:rFonts w:eastAsia="Malgun Gothic"/>
          <w:b/>
          <w:bCs/>
          <w:kern w:val="2"/>
          <w:lang w:eastAsia="ko-KR"/>
        </w:rPr>
        <w:t xml:space="preserve"> non-overlapping full duplex</w:t>
      </w:r>
    </w:p>
    <w:p w14:paraId="3F2033AD" w14:textId="77777777" w:rsidR="003C2E1E" w:rsidRDefault="00000000">
      <w:pPr>
        <w:spacing w:after="60"/>
        <w:ind w:left="1555" w:hanging="1555"/>
        <w:jc w:val="left"/>
      </w:pPr>
      <w:r>
        <w:rPr>
          <w:b/>
          <w:kern w:val="2"/>
        </w:rPr>
        <w:t>Document for:</w:t>
      </w:r>
      <w:r>
        <w:rPr>
          <w:b/>
          <w:kern w:val="2"/>
        </w:rPr>
        <w:tab/>
        <w:t xml:space="preserve">Discussion </w:t>
      </w:r>
    </w:p>
    <w:p w14:paraId="516B3CD4" w14:textId="77777777" w:rsidR="003C2E1E" w:rsidRDefault="003C2E1E">
      <w:pPr>
        <w:pBdr>
          <w:bottom w:val="single" w:sz="4" w:space="1" w:color="000000"/>
        </w:pBdr>
        <w:spacing w:after="0"/>
        <w:jc w:val="left"/>
        <w:rPr>
          <w:b/>
          <w:kern w:val="2"/>
          <w:sz w:val="16"/>
          <w:szCs w:val="16"/>
        </w:rPr>
      </w:pPr>
    </w:p>
    <w:p w14:paraId="1A0967B6" w14:textId="77777777" w:rsidR="003C2E1E" w:rsidRDefault="00000000">
      <w:pPr>
        <w:pStyle w:val="Heading1"/>
        <w:numPr>
          <w:ilvl w:val="0"/>
          <w:numId w:val="2"/>
        </w:numPr>
      </w:pPr>
      <w:bookmarkStart w:id="0" w:name="_Ref129681862"/>
      <w:bookmarkStart w:id="1" w:name="_Ref124589705"/>
      <w:r>
        <w:t>Introduction</w:t>
      </w:r>
      <w:bookmarkEnd w:id="0"/>
      <w:bookmarkEnd w:id="1"/>
    </w:p>
    <w:p w14:paraId="75DC6AA9" w14:textId="227C0680" w:rsidR="003C2E1E" w:rsidRDefault="00000000">
      <w:r>
        <w:tab/>
        <w:t xml:space="preserve">A new study item on “Study on evolution of NR duplex operation” was approved in RAN#94-e [1]. The discussions started in RAN1#109-e. </w:t>
      </w:r>
      <w:r>
        <w:rPr>
          <w:rFonts w:eastAsia="Times New Roman"/>
          <w:lang w:eastAsia="en-US"/>
        </w:rPr>
        <w:t xml:space="preserve">This contribution discusses the potential areas of study related to </w:t>
      </w:r>
      <w:r>
        <w:rPr>
          <w:rFonts w:eastAsia="Malgun Gothic"/>
          <w:kern w:val="2"/>
          <w:lang w:eastAsia="ko-KR"/>
        </w:rPr>
        <w:t xml:space="preserve">non-overlapping </w:t>
      </w:r>
      <w:proofErr w:type="spellStart"/>
      <w:r>
        <w:rPr>
          <w:rFonts w:eastAsia="Times New Roman"/>
          <w:lang w:eastAsia="en-US"/>
        </w:rPr>
        <w:t>s</w:t>
      </w:r>
      <w:r>
        <w:rPr>
          <w:rFonts w:eastAsia="Malgun Gothic"/>
          <w:kern w:val="2"/>
          <w:lang w:eastAsia="ko-KR"/>
        </w:rPr>
        <w:t>ubband</w:t>
      </w:r>
      <w:proofErr w:type="spellEnd"/>
      <w:r>
        <w:rPr>
          <w:rFonts w:eastAsia="Malgun Gothic"/>
          <w:kern w:val="2"/>
          <w:lang w:eastAsia="ko-KR"/>
        </w:rPr>
        <w:t xml:space="preserve"> full duplex (SBFD). </w:t>
      </w:r>
      <w:bookmarkStart w:id="2" w:name="_Ref129681832"/>
    </w:p>
    <w:p w14:paraId="23F4C26B" w14:textId="77777777" w:rsidR="003C2E1E" w:rsidRDefault="00000000">
      <w:pPr>
        <w:pStyle w:val="Heading1"/>
        <w:numPr>
          <w:ilvl w:val="0"/>
          <w:numId w:val="2"/>
        </w:numPr>
      </w:pPr>
      <w:r>
        <w:t>Implementation of SBFD</w:t>
      </w:r>
    </w:p>
    <w:p w14:paraId="7FD3416F" w14:textId="6D80BD82" w:rsidR="003C2E1E" w:rsidRDefault="00000000">
      <w:r>
        <w:rPr>
          <w:color w:val="000000" w:themeColor="text1"/>
        </w:rPr>
        <w:tab/>
        <w:t xml:space="preserve">A node capable of non-overlapping SBFD, can transmit and receive simultaneously in different </w:t>
      </w:r>
      <w:proofErr w:type="spellStart"/>
      <w:r>
        <w:rPr>
          <w:color w:val="000000" w:themeColor="text1"/>
        </w:rPr>
        <w:t>subbands</w:t>
      </w:r>
      <w:proofErr w:type="spellEnd"/>
      <w:r>
        <w:rPr>
          <w:color w:val="000000" w:themeColor="text1"/>
        </w:rPr>
        <w:t xml:space="preserve"> (SBs) in frequency domain. Thus, a gNB capable of SBFD can perform DL and UL at the same time but different </w:t>
      </w:r>
      <w:proofErr w:type="spellStart"/>
      <w:r>
        <w:rPr>
          <w:color w:val="000000" w:themeColor="text1"/>
        </w:rPr>
        <w:t>subbands</w:t>
      </w:r>
      <w:proofErr w:type="spellEnd"/>
      <w:r>
        <w:rPr>
          <w:color w:val="000000" w:themeColor="text1"/>
        </w:rPr>
        <w:t xml:space="preserve"> within the same carrier. In this contribution, we focus on only SBFD operation within a TDD carrier according to the </w:t>
      </w:r>
      <w:r w:rsidR="008B6E59">
        <w:rPr>
          <w:color w:val="000000" w:themeColor="text1"/>
        </w:rPr>
        <w:t xml:space="preserve">following </w:t>
      </w:r>
      <w:r>
        <w:rPr>
          <w:color w:val="000000" w:themeColor="text1"/>
        </w:rPr>
        <w:t>agreement in RAN1#109-e [2].</w:t>
      </w:r>
    </w:p>
    <w:p w14:paraId="668232DD" w14:textId="77777777" w:rsidR="003C2E1E" w:rsidRDefault="00000000">
      <w:pPr>
        <w:rPr>
          <w:sz w:val="20"/>
          <w:szCs w:val="20"/>
        </w:rPr>
      </w:pPr>
      <w:r>
        <w:rPr>
          <w:i/>
          <w:iCs/>
          <w:sz w:val="20"/>
          <w:szCs w:val="20"/>
          <w:highlight w:val="green"/>
          <w:lang w:eastAsia="ko-KR"/>
        </w:rPr>
        <w:t>Agreement</w:t>
      </w:r>
    </w:p>
    <w:p w14:paraId="2BE625B9" w14:textId="77777777" w:rsidR="003C2E1E" w:rsidRDefault="00000000">
      <w:pPr>
        <w:rPr>
          <w:sz w:val="20"/>
          <w:szCs w:val="20"/>
        </w:rPr>
      </w:pPr>
      <w:r>
        <w:rPr>
          <w:rFonts w:eastAsia="Malgun Gothic"/>
          <w:i/>
          <w:iCs/>
          <w:color w:val="000000" w:themeColor="text1"/>
          <w:sz w:val="20"/>
          <w:szCs w:val="20"/>
        </w:rPr>
        <w:t>At least study SBFD operation within a TDD carrier.</w:t>
      </w:r>
    </w:p>
    <w:p w14:paraId="3741F117" w14:textId="77777777" w:rsidR="003C2E1E" w:rsidRDefault="00000000">
      <w:r>
        <w:rPr>
          <w:color w:val="000000" w:themeColor="text1"/>
          <w:lang w:eastAsia="ko-KR"/>
        </w:rPr>
        <w:t xml:space="preserve">This section discusses the various enhancements related to </w:t>
      </w:r>
      <w:r>
        <w:rPr>
          <w:color w:val="000000" w:themeColor="text1"/>
        </w:rPr>
        <w:t>implementation of SBFD in the network.</w:t>
      </w:r>
    </w:p>
    <w:p w14:paraId="77CAD2BF" w14:textId="7EF3283F" w:rsidR="003C2E1E" w:rsidRDefault="00000000" w:rsidP="008B6E59">
      <w:pPr>
        <w:pStyle w:val="Heading2"/>
      </w:pPr>
      <w:proofErr w:type="spellStart"/>
      <w:r>
        <w:t>Subband</w:t>
      </w:r>
      <w:proofErr w:type="spellEnd"/>
      <w:r>
        <w:t xml:space="preserve"> related enhancement</w:t>
      </w:r>
    </w:p>
    <w:p w14:paraId="3B03EFF5" w14:textId="40D5BB65" w:rsidR="003C2E1E" w:rsidRDefault="00000000">
      <w:r>
        <w:rPr>
          <w:color w:val="000000" w:themeColor="text1"/>
        </w:rPr>
        <w:t xml:space="preserve">The following agreement was made in RAN1#110 [3]. </w:t>
      </w:r>
    </w:p>
    <w:p w14:paraId="21196C89" w14:textId="77777777" w:rsidR="003C2E1E" w:rsidRDefault="00000000">
      <w:pPr>
        <w:rPr>
          <w:i/>
          <w:iCs/>
          <w:sz w:val="20"/>
          <w:szCs w:val="20"/>
        </w:rPr>
      </w:pPr>
      <w:r>
        <w:rPr>
          <w:rFonts w:eastAsia="Malgun Gothic"/>
          <w:b/>
          <w:i/>
          <w:iCs/>
          <w:sz w:val="20"/>
          <w:szCs w:val="20"/>
          <w:highlight w:val="green"/>
        </w:rPr>
        <w:t>Agreement</w:t>
      </w:r>
    </w:p>
    <w:p w14:paraId="67659823" w14:textId="77777777" w:rsidR="003C2E1E" w:rsidRDefault="00000000">
      <w:pPr>
        <w:rPr>
          <w:i/>
          <w:iCs/>
          <w:sz w:val="20"/>
          <w:szCs w:val="20"/>
        </w:rPr>
      </w:pPr>
      <w:r>
        <w:rPr>
          <w:rFonts w:eastAsia="Malgun Gothic"/>
          <w:i/>
          <w:iCs/>
          <w:sz w:val="20"/>
          <w:szCs w:val="20"/>
        </w:rPr>
        <w:t>Study the following alternatives</w:t>
      </w:r>
      <w:r>
        <w:rPr>
          <w:i/>
          <w:iCs/>
          <w:sz w:val="20"/>
          <w:szCs w:val="20"/>
        </w:rPr>
        <w:t xml:space="preserve"> </w:t>
      </w:r>
      <w:r>
        <w:rPr>
          <w:rFonts w:eastAsia="Malgun Gothic"/>
          <w:i/>
          <w:iCs/>
          <w:sz w:val="20"/>
          <w:szCs w:val="20"/>
        </w:rPr>
        <w:t>with Alt 4 prioritized, for SBFD operation at least for RRC_CONNECTED state.</w:t>
      </w:r>
    </w:p>
    <w:p w14:paraId="3F8A64C9" w14:textId="77777777" w:rsidR="003C2E1E" w:rsidRDefault="00000000">
      <w:pPr>
        <w:pStyle w:val="a8"/>
        <w:numPr>
          <w:ilvl w:val="0"/>
          <w:numId w:val="3"/>
        </w:numPr>
        <w:rPr>
          <w:i/>
          <w:iCs/>
          <w:sz w:val="20"/>
          <w:szCs w:val="20"/>
        </w:rPr>
      </w:pPr>
      <w:r>
        <w:rPr>
          <w:rFonts w:eastAsia="Malgun Gothic"/>
          <w:i/>
          <w:iCs/>
          <w:sz w:val="20"/>
          <w:szCs w:val="20"/>
        </w:rPr>
        <w:t>SBFD operation</w:t>
      </w:r>
      <w:r>
        <w:rPr>
          <w:rFonts w:eastAsia="Malgun Gothic"/>
          <w:bCs/>
          <w:i/>
          <w:iCs/>
          <w:sz w:val="20"/>
          <w:szCs w:val="20"/>
        </w:rPr>
        <w:t xml:space="preserve"> Alt 1:</w:t>
      </w:r>
    </w:p>
    <w:p w14:paraId="3B494657" w14:textId="77777777" w:rsidR="003C2E1E" w:rsidRDefault="00000000">
      <w:pPr>
        <w:pStyle w:val="a8"/>
        <w:numPr>
          <w:ilvl w:val="1"/>
          <w:numId w:val="3"/>
        </w:numPr>
        <w:rPr>
          <w:i/>
          <w:iCs/>
          <w:sz w:val="20"/>
          <w:szCs w:val="20"/>
        </w:rPr>
      </w:pPr>
      <w:r>
        <w:rPr>
          <w:rFonts w:eastAsia="Malgun Gothic"/>
          <w:i/>
          <w:iCs/>
          <w:sz w:val="20"/>
          <w:szCs w:val="20"/>
        </w:rPr>
        <w:t xml:space="preserve">Time and frequency locations of </w:t>
      </w:r>
      <w:proofErr w:type="spellStart"/>
      <w:r>
        <w:rPr>
          <w:rFonts w:eastAsia="Malgun Gothic"/>
          <w:i/>
          <w:iCs/>
          <w:sz w:val="20"/>
          <w:szCs w:val="20"/>
        </w:rPr>
        <w:t>subbands</w:t>
      </w:r>
      <w:proofErr w:type="spellEnd"/>
      <w:r>
        <w:rPr>
          <w:rFonts w:eastAsia="Malgun Gothic"/>
          <w:i/>
          <w:iCs/>
          <w:sz w:val="20"/>
          <w:szCs w:val="20"/>
        </w:rPr>
        <w:t xml:space="preserve"> for SBFD operation are not known to UEs. </w:t>
      </w:r>
    </w:p>
    <w:p w14:paraId="051C50D9" w14:textId="77777777" w:rsidR="003C2E1E" w:rsidRDefault="00000000">
      <w:pPr>
        <w:pStyle w:val="a8"/>
        <w:numPr>
          <w:ilvl w:val="1"/>
          <w:numId w:val="3"/>
        </w:numPr>
        <w:rPr>
          <w:i/>
          <w:iCs/>
          <w:sz w:val="20"/>
          <w:szCs w:val="20"/>
        </w:rPr>
      </w:pPr>
      <w:r>
        <w:rPr>
          <w:rFonts w:eastAsia="Malgun Gothic"/>
          <w:i/>
          <w:iCs/>
          <w:sz w:val="20"/>
          <w:szCs w:val="20"/>
        </w:rPr>
        <w:t>UE behaviors follow existing specifications without introducing new UE behaviors for SBFD operation at gNB side.</w:t>
      </w:r>
    </w:p>
    <w:p w14:paraId="2A56551F" w14:textId="77777777" w:rsidR="003C2E1E" w:rsidRDefault="00000000">
      <w:pPr>
        <w:pStyle w:val="a8"/>
        <w:numPr>
          <w:ilvl w:val="0"/>
          <w:numId w:val="3"/>
        </w:numPr>
        <w:rPr>
          <w:i/>
          <w:iCs/>
          <w:sz w:val="20"/>
          <w:szCs w:val="20"/>
        </w:rPr>
      </w:pPr>
      <w:r>
        <w:rPr>
          <w:rFonts w:eastAsia="Malgun Gothic"/>
          <w:i/>
          <w:iCs/>
          <w:sz w:val="20"/>
          <w:szCs w:val="20"/>
        </w:rPr>
        <w:t>SBFD operation Alt 2:</w:t>
      </w:r>
    </w:p>
    <w:p w14:paraId="4D0C5A42" w14:textId="77777777" w:rsidR="003C2E1E" w:rsidRDefault="00000000">
      <w:pPr>
        <w:pStyle w:val="a8"/>
        <w:numPr>
          <w:ilvl w:val="1"/>
          <w:numId w:val="3"/>
        </w:numPr>
        <w:rPr>
          <w:i/>
          <w:iCs/>
          <w:sz w:val="20"/>
          <w:szCs w:val="20"/>
        </w:rPr>
      </w:pPr>
      <w:r>
        <w:rPr>
          <w:rFonts w:eastAsia="Malgun Gothic"/>
          <w:i/>
          <w:iCs/>
          <w:sz w:val="20"/>
          <w:szCs w:val="20"/>
        </w:rPr>
        <w:t xml:space="preserve">Time and frequency locations of </w:t>
      </w:r>
      <w:proofErr w:type="spellStart"/>
      <w:r>
        <w:rPr>
          <w:rFonts w:eastAsia="Malgun Gothic"/>
          <w:i/>
          <w:iCs/>
          <w:sz w:val="20"/>
          <w:szCs w:val="20"/>
        </w:rPr>
        <w:t>subbands</w:t>
      </w:r>
      <w:proofErr w:type="spellEnd"/>
      <w:r>
        <w:rPr>
          <w:rFonts w:eastAsia="Malgun Gothic"/>
          <w:i/>
          <w:iCs/>
          <w:sz w:val="20"/>
          <w:szCs w:val="20"/>
        </w:rPr>
        <w:t xml:space="preserve"> for SBFD operation are not known to UEs. </w:t>
      </w:r>
    </w:p>
    <w:p w14:paraId="6DEF6134" w14:textId="77777777" w:rsidR="003C2E1E" w:rsidRDefault="00000000">
      <w:pPr>
        <w:pStyle w:val="a8"/>
        <w:numPr>
          <w:ilvl w:val="1"/>
          <w:numId w:val="3"/>
        </w:numPr>
        <w:rPr>
          <w:i/>
          <w:iCs/>
          <w:sz w:val="20"/>
          <w:szCs w:val="20"/>
        </w:rPr>
      </w:pPr>
      <w:r>
        <w:rPr>
          <w:rFonts w:eastAsia="Malgun Gothic"/>
          <w:i/>
          <w:iCs/>
          <w:sz w:val="20"/>
          <w:szCs w:val="20"/>
        </w:rPr>
        <w:t>UE behaviors for non-SBFD aware UEs follow existing specifications.</w:t>
      </w:r>
    </w:p>
    <w:p w14:paraId="1370EFD2" w14:textId="77777777" w:rsidR="003C2E1E" w:rsidRDefault="00000000">
      <w:pPr>
        <w:pStyle w:val="a8"/>
        <w:numPr>
          <w:ilvl w:val="1"/>
          <w:numId w:val="3"/>
        </w:numPr>
        <w:rPr>
          <w:i/>
          <w:iCs/>
          <w:sz w:val="20"/>
          <w:szCs w:val="20"/>
        </w:rPr>
      </w:pPr>
      <w:r>
        <w:rPr>
          <w:rFonts w:eastAsia="Malgun Gothic"/>
          <w:i/>
          <w:iCs/>
          <w:sz w:val="20"/>
          <w:szCs w:val="20"/>
        </w:rPr>
        <w:t>From RAN1 perspective, new UE behaviors can be introduced for SBFD aware UEs</w:t>
      </w:r>
    </w:p>
    <w:p w14:paraId="6EACFC5D" w14:textId="77777777" w:rsidR="003C2E1E" w:rsidRDefault="00000000">
      <w:pPr>
        <w:pStyle w:val="a8"/>
        <w:numPr>
          <w:ilvl w:val="0"/>
          <w:numId w:val="3"/>
        </w:numPr>
        <w:rPr>
          <w:i/>
          <w:iCs/>
          <w:sz w:val="20"/>
          <w:szCs w:val="20"/>
        </w:rPr>
      </w:pPr>
      <w:r>
        <w:rPr>
          <w:rFonts w:eastAsia="Malgun Gothic"/>
          <w:i/>
          <w:iCs/>
          <w:sz w:val="20"/>
          <w:szCs w:val="20"/>
        </w:rPr>
        <w:t>SBFD operation Alt 3:</w:t>
      </w:r>
    </w:p>
    <w:p w14:paraId="7D5A7B03" w14:textId="77777777" w:rsidR="003C2E1E" w:rsidRDefault="00000000">
      <w:pPr>
        <w:pStyle w:val="a8"/>
        <w:numPr>
          <w:ilvl w:val="1"/>
          <w:numId w:val="3"/>
        </w:numPr>
        <w:rPr>
          <w:i/>
          <w:iCs/>
          <w:sz w:val="20"/>
          <w:szCs w:val="20"/>
        </w:rPr>
      </w:pPr>
      <w:r>
        <w:rPr>
          <w:rFonts w:eastAsia="Malgun Gothic"/>
          <w:i/>
          <w:iCs/>
          <w:sz w:val="20"/>
          <w:szCs w:val="20"/>
        </w:rPr>
        <w:t xml:space="preserve">Only time location of </w:t>
      </w:r>
      <w:proofErr w:type="spellStart"/>
      <w:r>
        <w:rPr>
          <w:rFonts w:eastAsia="Malgun Gothic"/>
          <w:i/>
          <w:iCs/>
          <w:sz w:val="20"/>
          <w:szCs w:val="20"/>
        </w:rPr>
        <w:t>subbands</w:t>
      </w:r>
      <w:proofErr w:type="spellEnd"/>
      <w:r>
        <w:rPr>
          <w:rFonts w:eastAsia="Malgun Gothic"/>
          <w:i/>
          <w:iCs/>
          <w:sz w:val="20"/>
          <w:szCs w:val="20"/>
        </w:rPr>
        <w:t xml:space="preserve"> for SBFD operation is known to SBFD aware UEs. </w:t>
      </w:r>
    </w:p>
    <w:p w14:paraId="132E0C6B" w14:textId="77777777" w:rsidR="003C2E1E" w:rsidRDefault="00000000">
      <w:pPr>
        <w:pStyle w:val="a8"/>
        <w:numPr>
          <w:ilvl w:val="1"/>
          <w:numId w:val="3"/>
        </w:numPr>
        <w:rPr>
          <w:i/>
          <w:iCs/>
          <w:sz w:val="20"/>
          <w:szCs w:val="20"/>
        </w:rPr>
      </w:pPr>
      <w:r>
        <w:rPr>
          <w:rFonts w:eastAsia="Malgun Gothic"/>
          <w:i/>
          <w:iCs/>
          <w:sz w:val="20"/>
          <w:szCs w:val="20"/>
        </w:rPr>
        <w:t>UE behaviors for non-SBFD aware UEs follow existing specifications.</w:t>
      </w:r>
    </w:p>
    <w:p w14:paraId="689F0EC1" w14:textId="77777777" w:rsidR="003C2E1E" w:rsidRDefault="00000000">
      <w:pPr>
        <w:pStyle w:val="a8"/>
        <w:numPr>
          <w:ilvl w:val="1"/>
          <w:numId w:val="3"/>
        </w:numPr>
        <w:rPr>
          <w:i/>
          <w:iCs/>
          <w:sz w:val="20"/>
          <w:szCs w:val="20"/>
        </w:rPr>
      </w:pPr>
      <w:r>
        <w:rPr>
          <w:rFonts w:eastAsia="Malgun Gothic"/>
          <w:i/>
          <w:iCs/>
          <w:sz w:val="20"/>
          <w:szCs w:val="20"/>
        </w:rPr>
        <w:t xml:space="preserve">From RAN1 perspective, new UE behaviors can be introduced for SBFD aware UEs based on the time location of </w:t>
      </w:r>
      <w:proofErr w:type="spellStart"/>
      <w:r>
        <w:rPr>
          <w:rFonts w:eastAsia="Malgun Gothic"/>
          <w:i/>
          <w:iCs/>
          <w:sz w:val="20"/>
          <w:szCs w:val="20"/>
        </w:rPr>
        <w:t>subbands</w:t>
      </w:r>
      <w:proofErr w:type="spellEnd"/>
      <w:r>
        <w:rPr>
          <w:rFonts w:eastAsia="Malgun Gothic"/>
          <w:i/>
          <w:iCs/>
          <w:sz w:val="20"/>
          <w:szCs w:val="20"/>
        </w:rPr>
        <w:t xml:space="preserve"> for SBFD operation </w:t>
      </w:r>
    </w:p>
    <w:p w14:paraId="3905F08F" w14:textId="77777777" w:rsidR="003C2E1E" w:rsidRDefault="00000000">
      <w:pPr>
        <w:pStyle w:val="a8"/>
        <w:numPr>
          <w:ilvl w:val="0"/>
          <w:numId w:val="3"/>
        </w:numPr>
        <w:rPr>
          <w:i/>
          <w:iCs/>
          <w:sz w:val="20"/>
          <w:szCs w:val="20"/>
        </w:rPr>
      </w:pPr>
      <w:r>
        <w:rPr>
          <w:rFonts w:eastAsia="Malgun Gothic"/>
          <w:i/>
          <w:iCs/>
          <w:sz w:val="20"/>
          <w:szCs w:val="20"/>
        </w:rPr>
        <w:t>SBFD operation Alt 4:</w:t>
      </w:r>
    </w:p>
    <w:p w14:paraId="33EA6DC0" w14:textId="77777777" w:rsidR="003C2E1E" w:rsidRDefault="00000000">
      <w:pPr>
        <w:pStyle w:val="a8"/>
        <w:numPr>
          <w:ilvl w:val="1"/>
          <w:numId w:val="3"/>
        </w:numPr>
        <w:rPr>
          <w:i/>
          <w:iCs/>
          <w:sz w:val="20"/>
          <w:szCs w:val="20"/>
        </w:rPr>
      </w:pPr>
      <w:r>
        <w:rPr>
          <w:rFonts w:eastAsia="Malgun Gothic"/>
          <w:i/>
          <w:iCs/>
          <w:sz w:val="20"/>
          <w:szCs w:val="20"/>
        </w:rPr>
        <w:t xml:space="preserve">Both time and frequency locations of </w:t>
      </w:r>
      <w:proofErr w:type="spellStart"/>
      <w:r>
        <w:rPr>
          <w:rFonts w:eastAsia="Malgun Gothic"/>
          <w:i/>
          <w:iCs/>
          <w:sz w:val="20"/>
          <w:szCs w:val="20"/>
        </w:rPr>
        <w:t>subbands</w:t>
      </w:r>
      <w:proofErr w:type="spellEnd"/>
      <w:r>
        <w:rPr>
          <w:rFonts w:eastAsia="Malgun Gothic"/>
          <w:i/>
          <w:iCs/>
          <w:sz w:val="20"/>
          <w:szCs w:val="20"/>
        </w:rPr>
        <w:t xml:space="preserve"> for SBFD operation are known to SBFD aware UEs. </w:t>
      </w:r>
    </w:p>
    <w:p w14:paraId="43812362" w14:textId="77777777" w:rsidR="003C2E1E" w:rsidRDefault="00000000">
      <w:pPr>
        <w:pStyle w:val="a8"/>
        <w:numPr>
          <w:ilvl w:val="1"/>
          <w:numId w:val="3"/>
        </w:numPr>
        <w:rPr>
          <w:i/>
          <w:iCs/>
          <w:sz w:val="20"/>
          <w:szCs w:val="20"/>
        </w:rPr>
      </w:pPr>
      <w:r>
        <w:rPr>
          <w:rFonts w:eastAsia="Malgun Gothic"/>
          <w:i/>
          <w:iCs/>
          <w:sz w:val="20"/>
          <w:szCs w:val="20"/>
        </w:rPr>
        <w:t>UE behaviors for non-SBFD aware UEs follow existing specifications.</w:t>
      </w:r>
    </w:p>
    <w:p w14:paraId="4C374F20" w14:textId="77777777" w:rsidR="003C2E1E" w:rsidRDefault="00000000">
      <w:pPr>
        <w:pStyle w:val="a8"/>
        <w:numPr>
          <w:ilvl w:val="1"/>
          <w:numId w:val="3"/>
        </w:numPr>
        <w:rPr>
          <w:i/>
          <w:iCs/>
          <w:sz w:val="20"/>
          <w:szCs w:val="20"/>
        </w:rPr>
      </w:pPr>
      <w:r>
        <w:rPr>
          <w:rFonts w:eastAsia="Malgun Gothic"/>
          <w:i/>
          <w:iCs/>
          <w:sz w:val="20"/>
          <w:szCs w:val="20"/>
        </w:rPr>
        <w:t xml:space="preserve">From RAN1 perspective, new UE behaviors can be introduced for SBFD aware UEs based on the time and frequency locations of </w:t>
      </w:r>
      <w:proofErr w:type="spellStart"/>
      <w:r>
        <w:rPr>
          <w:rFonts w:eastAsia="Malgun Gothic"/>
          <w:i/>
          <w:iCs/>
          <w:sz w:val="20"/>
          <w:szCs w:val="20"/>
        </w:rPr>
        <w:t>subbands</w:t>
      </w:r>
      <w:proofErr w:type="spellEnd"/>
      <w:r>
        <w:rPr>
          <w:rFonts w:eastAsia="Malgun Gothic"/>
          <w:i/>
          <w:iCs/>
          <w:sz w:val="20"/>
          <w:szCs w:val="20"/>
        </w:rPr>
        <w:t xml:space="preserve"> for SBFD operation.</w:t>
      </w:r>
    </w:p>
    <w:p w14:paraId="00E36761" w14:textId="77777777" w:rsidR="003C2E1E" w:rsidRDefault="00000000">
      <w:pPr>
        <w:rPr>
          <w:i/>
          <w:iCs/>
          <w:sz w:val="20"/>
          <w:szCs w:val="20"/>
        </w:rPr>
      </w:pPr>
      <w:r>
        <w:rPr>
          <w:i/>
          <w:iCs/>
          <w:color w:val="000000" w:themeColor="text1"/>
          <w:sz w:val="20"/>
          <w:szCs w:val="20"/>
          <w:lang w:eastAsia="ko-KR"/>
        </w:rPr>
        <w:lastRenderedPageBreak/>
        <w:t>UE capability discussion is held in work item phase.</w:t>
      </w:r>
    </w:p>
    <w:p w14:paraId="2F01A52B" w14:textId="77777777" w:rsidR="003C2E1E" w:rsidRDefault="003C2E1E">
      <w:pPr>
        <w:rPr>
          <w:color w:val="000000" w:themeColor="text1"/>
        </w:rPr>
      </w:pPr>
    </w:p>
    <w:p w14:paraId="6D2A2D8C" w14:textId="77777777" w:rsidR="003C2E1E" w:rsidRDefault="00000000">
      <w:pPr>
        <w:ind w:firstLine="720"/>
        <w:jc w:val="center"/>
      </w:pPr>
      <w:r>
        <w:rPr>
          <w:noProof/>
        </w:rPr>
        <w:drawing>
          <wp:anchor distT="0" distB="0" distL="0" distR="0" simplePos="0" relativeHeight="2" behindDoc="0" locked="0" layoutInCell="1" allowOverlap="1" wp14:anchorId="364014C4" wp14:editId="536960CB">
            <wp:simplePos x="0" y="0"/>
            <wp:positionH relativeFrom="column">
              <wp:posOffset>1847850</wp:posOffset>
            </wp:positionH>
            <wp:positionV relativeFrom="paragraph">
              <wp:posOffset>109855</wp:posOffset>
            </wp:positionV>
            <wp:extent cx="2599690" cy="1522095"/>
            <wp:effectExtent l="0" t="0" r="0" b="0"/>
            <wp:wrapTopAndBottom/>
            <wp:docPr id="1"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pic:cNvPicPr>
                      <a:picLocks noChangeAspect="1" noChangeArrowheads="1"/>
                    </pic:cNvPicPr>
                  </pic:nvPicPr>
                  <pic:blipFill>
                    <a:blip r:embed="rId5"/>
                    <a:stretch>
                      <a:fillRect/>
                    </a:stretch>
                  </pic:blipFill>
                  <pic:spPr bwMode="auto">
                    <a:xfrm>
                      <a:off x="0" y="0"/>
                      <a:ext cx="2599690" cy="1522095"/>
                    </a:xfrm>
                    <a:prstGeom prst="rect">
                      <a:avLst/>
                    </a:prstGeom>
                  </pic:spPr>
                </pic:pic>
              </a:graphicData>
            </a:graphic>
          </wp:anchor>
        </w:drawing>
      </w:r>
      <w:r>
        <w:rPr>
          <w:color w:val="000000" w:themeColor="text1"/>
        </w:rPr>
        <w:t>Fig. 1  SBFD  with 1 UL SB between DL SBs</w:t>
      </w:r>
    </w:p>
    <w:p w14:paraId="062251C8" w14:textId="77777777" w:rsidR="003C2E1E" w:rsidRDefault="00000000">
      <w:r>
        <w:rPr>
          <w:color w:val="000000" w:themeColor="text1"/>
        </w:rPr>
        <w:tab/>
        <w:t xml:space="preserve">Considering a scenario for SBFD as illustrated in Fig. 1, an UL SB is defined between DL SBs. BWP 1 is configured to a UE for DL operation. Whenever, gNB is operating in SBFD, the UE is expected to receive DL only in the DL SB within the BWP1, whereas in normal operation of gNB the entire BWP1 is available at UE for DL operation. If the gNB informs the UE about the frequency location of the UL SB and the time instant in which SBFD is active, then the UE can use this information to adjust the size of BWP1 to receive DL. This will be particularly useful in cases of scheduled periodic DL signals like semi persistence scheduling (SPS), monitoring of CORESET etc. </w:t>
      </w:r>
    </w:p>
    <w:p w14:paraId="6DA80F8A" w14:textId="515BFB30" w:rsidR="003C2E1E" w:rsidRDefault="00000000">
      <w:pPr>
        <w:rPr>
          <w:b/>
          <w:bCs/>
        </w:rPr>
      </w:pPr>
      <w:r>
        <w:rPr>
          <w:b/>
          <w:bCs/>
          <w:color w:val="000000" w:themeColor="text1"/>
        </w:rPr>
        <w:t xml:space="preserve">Observation 1: Providing frequency location of </w:t>
      </w:r>
      <w:proofErr w:type="spellStart"/>
      <w:r>
        <w:rPr>
          <w:b/>
          <w:bCs/>
          <w:color w:val="000000" w:themeColor="text1"/>
        </w:rPr>
        <w:t>subband</w:t>
      </w:r>
      <w:proofErr w:type="spellEnd"/>
      <w:r>
        <w:rPr>
          <w:b/>
          <w:bCs/>
          <w:color w:val="000000" w:themeColor="text1"/>
        </w:rPr>
        <w:t xml:space="preserve"> and time instants of SBFD operation to UE will be helpful in scenarios of scheduled periodic signals. </w:t>
      </w:r>
    </w:p>
    <w:p w14:paraId="63690F93" w14:textId="77777777" w:rsidR="003C2E1E" w:rsidRDefault="00000000">
      <w:pPr>
        <w:rPr>
          <w:color w:val="000000" w:themeColor="text1"/>
        </w:rPr>
      </w:pPr>
      <w:r>
        <w:rPr>
          <w:color w:val="000000" w:themeColor="text1"/>
        </w:rPr>
        <w:t>SBFD operation Alt 4 captures this scenario. Based on the observation, the following proposal is made.</w:t>
      </w:r>
    </w:p>
    <w:p w14:paraId="508770B7" w14:textId="50C0357B" w:rsidR="003C2E1E" w:rsidRDefault="00000000">
      <w:pPr>
        <w:jc w:val="left"/>
        <w:rPr>
          <w:b/>
          <w:bCs/>
        </w:rPr>
      </w:pPr>
      <w:r>
        <w:rPr>
          <w:b/>
          <w:bCs/>
          <w:color w:val="000000" w:themeColor="text1"/>
        </w:rPr>
        <w:t xml:space="preserve">Proposal 1: Signaling of frequency location of </w:t>
      </w:r>
      <w:proofErr w:type="spellStart"/>
      <w:r>
        <w:rPr>
          <w:b/>
          <w:bCs/>
          <w:color w:val="000000" w:themeColor="text1"/>
        </w:rPr>
        <w:t>subband</w:t>
      </w:r>
      <w:proofErr w:type="spellEnd"/>
      <w:r>
        <w:rPr>
          <w:b/>
          <w:bCs/>
          <w:color w:val="000000" w:themeColor="text1"/>
        </w:rPr>
        <w:t xml:space="preserve"> and time instants of SBFD operation (SBFD operation alt 4) from gNB to SBFD aware UEs is supported.</w:t>
      </w:r>
    </w:p>
    <w:p w14:paraId="76FBEF0C" w14:textId="28E2B758" w:rsidR="003C2E1E" w:rsidRDefault="00000000">
      <w:r>
        <w:rPr>
          <w:color w:val="000000" w:themeColor="text1"/>
        </w:rPr>
        <w:t xml:space="preserve">Further, for alt 4, the following agreement was proposed in RAN1#110 [3]. </w:t>
      </w:r>
    </w:p>
    <w:p w14:paraId="3A0EA602" w14:textId="077E244C" w:rsidR="003C2E1E" w:rsidRDefault="00000000">
      <w:pPr>
        <w:rPr>
          <w:i/>
          <w:iCs/>
          <w:sz w:val="20"/>
          <w:szCs w:val="20"/>
          <w:highlight w:val="green"/>
        </w:rPr>
      </w:pPr>
      <w:r>
        <w:rPr>
          <w:rFonts w:eastAsia="Malgun Gothic"/>
          <w:b/>
          <w:i/>
          <w:iCs/>
          <w:sz w:val="20"/>
          <w:szCs w:val="20"/>
          <w:highlight w:val="green"/>
        </w:rPr>
        <w:t>Agreement:</w:t>
      </w:r>
    </w:p>
    <w:p w14:paraId="5F035DF0" w14:textId="77777777" w:rsidR="003C2E1E" w:rsidRDefault="00000000">
      <w:pPr>
        <w:rPr>
          <w:i/>
          <w:iCs/>
          <w:sz w:val="20"/>
          <w:szCs w:val="20"/>
        </w:rPr>
      </w:pPr>
      <w:r>
        <w:rPr>
          <w:rFonts w:eastAsia="Malgun Gothic"/>
          <w:i/>
          <w:iCs/>
          <w:sz w:val="20"/>
          <w:szCs w:val="20"/>
        </w:rPr>
        <w:t>For SBFD operation</w:t>
      </w:r>
      <w:r>
        <w:rPr>
          <w:rFonts w:eastAsia="Malgun Gothic"/>
          <w:bCs/>
          <w:i/>
          <w:iCs/>
          <w:sz w:val="20"/>
          <w:szCs w:val="20"/>
        </w:rPr>
        <w:t xml:space="preserve"> Alt 4, for an SBFD aware UE configured with an UL </w:t>
      </w:r>
      <w:proofErr w:type="spellStart"/>
      <w:r>
        <w:rPr>
          <w:rFonts w:eastAsia="Malgun Gothic"/>
          <w:bCs/>
          <w:i/>
          <w:iCs/>
          <w:sz w:val="20"/>
          <w:szCs w:val="20"/>
        </w:rPr>
        <w:t>subband</w:t>
      </w:r>
      <w:proofErr w:type="spellEnd"/>
      <w:r>
        <w:rPr>
          <w:rFonts w:eastAsia="Malgun Gothic"/>
          <w:bCs/>
          <w:i/>
          <w:iCs/>
          <w:sz w:val="20"/>
          <w:szCs w:val="20"/>
        </w:rPr>
        <w:t xml:space="preserve"> in an SBFD symbol, study the following options:</w:t>
      </w:r>
    </w:p>
    <w:p w14:paraId="1F379768" w14:textId="77777777" w:rsidR="003C2E1E" w:rsidRDefault="00000000">
      <w:pPr>
        <w:pStyle w:val="a8"/>
        <w:numPr>
          <w:ilvl w:val="1"/>
          <w:numId w:val="4"/>
        </w:numPr>
        <w:ind w:left="357" w:hanging="357"/>
        <w:rPr>
          <w:i/>
          <w:iCs/>
          <w:sz w:val="20"/>
          <w:szCs w:val="20"/>
        </w:rPr>
      </w:pPr>
      <w:r>
        <w:rPr>
          <w:rFonts w:eastAsia="Malgun Gothic"/>
          <w:i/>
          <w:iCs/>
          <w:sz w:val="20"/>
          <w:szCs w:val="20"/>
        </w:rPr>
        <w:t xml:space="preserve">Option 1: The SBFD aware UE does not expect to be scheduled with UL transmission outside the UL </w:t>
      </w:r>
      <w:proofErr w:type="spellStart"/>
      <w:r>
        <w:rPr>
          <w:rFonts w:eastAsia="Malgun Gothic"/>
          <w:i/>
          <w:iCs/>
          <w:sz w:val="20"/>
          <w:szCs w:val="20"/>
        </w:rPr>
        <w:t>subband</w:t>
      </w:r>
      <w:proofErr w:type="spellEnd"/>
      <w:r>
        <w:rPr>
          <w:rFonts w:eastAsia="Malgun Gothic"/>
          <w:i/>
          <w:iCs/>
          <w:sz w:val="20"/>
          <w:szCs w:val="20"/>
        </w:rPr>
        <w:t xml:space="preserve"> or to be scheduled with DL reception within the UL </w:t>
      </w:r>
      <w:proofErr w:type="spellStart"/>
      <w:r>
        <w:rPr>
          <w:rFonts w:eastAsia="Malgun Gothic"/>
          <w:i/>
          <w:iCs/>
          <w:sz w:val="20"/>
          <w:szCs w:val="20"/>
        </w:rPr>
        <w:t>subband</w:t>
      </w:r>
      <w:proofErr w:type="spellEnd"/>
      <w:r>
        <w:rPr>
          <w:rFonts w:eastAsia="Malgun Gothic"/>
          <w:i/>
          <w:iCs/>
          <w:sz w:val="20"/>
          <w:szCs w:val="20"/>
        </w:rPr>
        <w:t xml:space="preserve"> in the SBFD symbol</w:t>
      </w:r>
    </w:p>
    <w:p w14:paraId="32B834BE" w14:textId="77777777" w:rsidR="003C2E1E" w:rsidRDefault="00000000">
      <w:pPr>
        <w:pStyle w:val="a8"/>
        <w:numPr>
          <w:ilvl w:val="1"/>
          <w:numId w:val="4"/>
        </w:numPr>
        <w:ind w:left="357" w:hanging="357"/>
        <w:rPr>
          <w:i/>
          <w:iCs/>
          <w:sz w:val="20"/>
          <w:szCs w:val="20"/>
        </w:rPr>
      </w:pPr>
      <w:r>
        <w:rPr>
          <w:rFonts w:eastAsia="Malgun Gothic"/>
          <w:i/>
          <w:iCs/>
          <w:sz w:val="20"/>
          <w:szCs w:val="20"/>
        </w:rPr>
        <w:t xml:space="preserve">Option 2: The SBFD aware UE does not expect to be scheduled with UL transmission outside the UL </w:t>
      </w:r>
      <w:proofErr w:type="spellStart"/>
      <w:r>
        <w:rPr>
          <w:rFonts w:eastAsia="Malgun Gothic"/>
          <w:i/>
          <w:iCs/>
          <w:sz w:val="20"/>
          <w:szCs w:val="20"/>
        </w:rPr>
        <w:t>subband</w:t>
      </w:r>
      <w:proofErr w:type="spellEnd"/>
      <w:r>
        <w:rPr>
          <w:rFonts w:eastAsia="Malgun Gothic"/>
          <w:i/>
          <w:iCs/>
          <w:sz w:val="20"/>
          <w:szCs w:val="20"/>
        </w:rPr>
        <w:t xml:space="preserve"> and may be scheduled with DL reception within the UL </w:t>
      </w:r>
      <w:proofErr w:type="spellStart"/>
      <w:r>
        <w:rPr>
          <w:rFonts w:eastAsia="Malgun Gothic"/>
          <w:i/>
          <w:iCs/>
          <w:sz w:val="20"/>
          <w:szCs w:val="20"/>
        </w:rPr>
        <w:t>subband</w:t>
      </w:r>
      <w:proofErr w:type="spellEnd"/>
      <w:r>
        <w:rPr>
          <w:rFonts w:eastAsia="Malgun Gothic"/>
          <w:i/>
          <w:iCs/>
          <w:sz w:val="20"/>
          <w:szCs w:val="20"/>
        </w:rPr>
        <w:t xml:space="preserve"> in the SBFD symbol</w:t>
      </w:r>
    </w:p>
    <w:p w14:paraId="5FCC2D32" w14:textId="77777777" w:rsidR="003C2E1E" w:rsidRDefault="00000000">
      <w:pPr>
        <w:pStyle w:val="a8"/>
        <w:numPr>
          <w:ilvl w:val="1"/>
          <w:numId w:val="4"/>
        </w:numPr>
        <w:ind w:left="357" w:hanging="357"/>
        <w:rPr>
          <w:i/>
          <w:iCs/>
          <w:sz w:val="20"/>
          <w:szCs w:val="20"/>
        </w:rPr>
      </w:pPr>
      <w:r>
        <w:rPr>
          <w:rFonts w:eastAsia="Malgun Gothic"/>
          <w:i/>
          <w:iCs/>
          <w:sz w:val="20"/>
          <w:szCs w:val="20"/>
        </w:rPr>
        <w:t xml:space="preserve">Option 3: The SBFD aware UE does not expect to be scheduled with DL reception within the UL </w:t>
      </w:r>
      <w:proofErr w:type="spellStart"/>
      <w:r>
        <w:rPr>
          <w:rFonts w:eastAsia="Malgun Gothic"/>
          <w:i/>
          <w:iCs/>
          <w:sz w:val="20"/>
          <w:szCs w:val="20"/>
        </w:rPr>
        <w:t>subband</w:t>
      </w:r>
      <w:proofErr w:type="spellEnd"/>
      <w:r>
        <w:rPr>
          <w:rFonts w:eastAsia="Malgun Gothic"/>
          <w:i/>
          <w:iCs/>
          <w:sz w:val="20"/>
          <w:szCs w:val="20"/>
        </w:rPr>
        <w:t xml:space="preserve"> and may be scheduled with UL transmission outside the UL </w:t>
      </w:r>
      <w:proofErr w:type="spellStart"/>
      <w:r>
        <w:rPr>
          <w:rFonts w:eastAsia="Malgun Gothic"/>
          <w:i/>
          <w:iCs/>
          <w:sz w:val="20"/>
          <w:szCs w:val="20"/>
        </w:rPr>
        <w:t>subband</w:t>
      </w:r>
      <w:proofErr w:type="spellEnd"/>
      <w:r>
        <w:rPr>
          <w:rFonts w:eastAsia="Malgun Gothic"/>
          <w:i/>
          <w:iCs/>
          <w:sz w:val="20"/>
          <w:szCs w:val="20"/>
        </w:rPr>
        <w:t xml:space="preserve"> in the SBFD symbol</w:t>
      </w:r>
    </w:p>
    <w:p w14:paraId="36EEBEA4" w14:textId="77777777" w:rsidR="003C2E1E" w:rsidRDefault="00000000">
      <w:pPr>
        <w:pStyle w:val="a8"/>
        <w:numPr>
          <w:ilvl w:val="1"/>
          <w:numId w:val="4"/>
        </w:numPr>
        <w:ind w:left="357" w:hanging="357"/>
        <w:rPr>
          <w:i/>
          <w:iCs/>
          <w:sz w:val="20"/>
          <w:szCs w:val="20"/>
        </w:rPr>
      </w:pPr>
      <w:r>
        <w:rPr>
          <w:rFonts w:eastAsia="Malgun Gothic"/>
          <w:i/>
          <w:iCs/>
          <w:sz w:val="20"/>
          <w:szCs w:val="20"/>
          <w:lang w:eastAsia="ko-KR"/>
        </w:rPr>
        <w:t xml:space="preserve">Option 4: The SBFD aware UE may be scheduled with UL transmission outside the UL </w:t>
      </w:r>
      <w:proofErr w:type="spellStart"/>
      <w:r>
        <w:rPr>
          <w:rFonts w:eastAsia="Malgun Gothic"/>
          <w:i/>
          <w:iCs/>
          <w:sz w:val="20"/>
          <w:szCs w:val="20"/>
          <w:lang w:eastAsia="ko-KR"/>
        </w:rPr>
        <w:t>subband</w:t>
      </w:r>
      <w:proofErr w:type="spellEnd"/>
      <w:r>
        <w:rPr>
          <w:rFonts w:eastAsia="Malgun Gothic"/>
          <w:i/>
          <w:iCs/>
          <w:sz w:val="20"/>
          <w:szCs w:val="20"/>
          <w:lang w:eastAsia="ko-KR"/>
        </w:rPr>
        <w:t xml:space="preserve"> or DL reception within the UL </w:t>
      </w:r>
      <w:proofErr w:type="spellStart"/>
      <w:r>
        <w:rPr>
          <w:rFonts w:eastAsia="Malgun Gothic"/>
          <w:i/>
          <w:iCs/>
          <w:sz w:val="20"/>
          <w:szCs w:val="20"/>
          <w:lang w:eastAsia="ko-KR"/>
        </w:rPr>
        <w:t>subband</w:t>
      </w:r>
      <w:proofErr w:type="spellEnd"/>
      <w:r>
        <w:rPr>
          <w:rFonts w:eastAsia="Malgun Gothic"/>
          <w:i/>
          <w:iCs/>
          <w:sz w:val="20"/>
          <w:szCs w:val="20"/>
          <w:lang w:eastAsia="ko-KR"/>
        </w:rPr>
        <w:t xml:space="preserve"> in the SBFD symbol</w:t>
      </w:r>
    </w:p>
    <w:p w14:paraId="2AB98BC3" w14:textId="7427409D" w:rsidR="003C2E1E" w:rsidRDefault="00000000" w:rsidP="008B6E59">
      <w:r>
        <w:rPr>
          <w:color w:val="000000" w:themeColor="text1"/>
        </w:rPr>
        <w:tab/>
        <w:t xml:space="preserve">A UE in DL is expected to receive periodic CSI-RS. The CSI-RS is a wideband signal that is expected to be received in the whole BWP to enable wideband channel estimation. With reference to Fig. 1, the UE in DL may be configured with periodic CSI-RS reception in whole BWP1. A gNB performing SBFD in that case leads to conflict between CSI-RS and UL SB. In such a case, rate matching can be done in the UL SB to accommodate the CSI-RS as shown in Fig. 2. This will ensure that the CSI-RS resource remains unmodified, thereby enabling wideband channel estimation.  </w:t>
      </w:r>
    </w:p>
    <w:p w14:paraId="7CBFCED9" w14:textId="77777777" w:rsidR="008B6E59" w:rsidRDefault="008B6E59" w:rsidP="008B6E59">
      <w:r>
        <w:rPr>
          <w:b/>
          <w:bCs/>
          <w:color w:val="000000" w:themeColor="text1"/>
          <w:lang w:eastAsia="ko-KR"/>
        </w:rPr>
        <w:t xml:space="preserve">Observation 2: DL </w:t>
      </w:r>
      <w:r>
        <w:rPr>
          <w:rFonts w:eastAsia="Malgun Gothic"/>
          <w:b/>
          <w:bCs/>
          <w:color w:val="000000" w:themeColor="text1"/>
          <w:lang w:eastAsia="ko-KR"/>
        </w:rPr>
        <w:t xml:space="preserve">reception within the UL </w:t>
      </w:r>
      <w:proofErr w:type="spellStart"/>
      <w:r>
        <w:rPr>
          <w:rFonts w:eastAsia="Malgun Gothic"/>
          <w:b/>
          <w:bCs/>
          <w:color w:val="000000" w:themeColor="text1"/>
          <w:lang w:eastAsia="ko-KR"/>
        </w:rPr>
        <w:t>subband</w:t>
      </w:r>
      <w:proofErr w:type="spellEnd"/>
      <w:r>
        <w:rPr>
          <w:rFonts w:eastAsia="Malgun Gothic"/>
          <w:b/>
          <w:bCs/>
          <w:color w:val="000000" w:themeColor="text1"/>
          <w:lang w:eastAsia="ko-KR"/>
        </w:rPr>
        <w:t xml:space="preserve"> in the SBFD symbol will be useful for wideband signals like CSI-RS</w:t>
      </w:r>
      <w:r>
        <w:rPr>
          <w:b/>
          <w:bCs/>
          <w:color w:val="000000" w:themeColor="text1"/>
          <w:lang w:eastAsia="ko-KR"/>
        </w:rPr>
        <w:t xml:space="preserve">. </w:t>
      </w:r>
    </w:p>
    <w:p w14:paraId="656F4514" w14:textId="77777777" w:rsidR="008B6E59" w:rsidRDefault="008B6E59" w:rsidP="008B6E59">
      <w:pPr>
        <w:rPr>
          <w:color w:val="000000" w:themeColor="text1"/>
          <w:lang w:eastAsia="ko-KR"/>
        </w:rPr>
      </w:pPr>
      <w:r>
        <w:rPr>
          <w:b/>
          <w:bCs/>
          <w:color w:val="000000" w:themeColor="text1"/>
          <w:lang w:eastAsia="ko-KR"/>
        </w:rPr>
        <w:t xml:space="preserve">Proposal 2: Support </w:t>
      </w:r>
      <w:r>
        <w:rPr>
          <w:rFonts w:eastAsia="Malgun Gothic"/>
          <w:b/>
          <w:bCs/>
          <w:color w:val="000000" w:themeColor="text1"/>
          <w:lang w:eastAsia="ko-KR"/>
        </w:rPr>
        <w:t xml:space="preserve">Option 2, “The SBFD aware UE does not expect to be scheduled with UL transmission outside the UL </w:t>
      </w:r>
      <w:proofErr w:type="spellStart"/>
      <w:r>
        <w:rPr>
          <w:rFonts w:eastAsia="Malgun Gothic"/>
          <w:b/>
          <w:bCs/>
          <w:color w:val="000000" w:themeColor="text1"/>
          <w:lang w:eastAsia="ko-KR"/>
        </w:rPr>
        <w:t>subband</w:t>
      </w:r>
      <w:proofErr w:type="spellEnd"/>
      <w:r>
        <w:rPr>
          <w:rFonts w:eastAsia="Malgun Gothic"/>
          <w:b/>
          <w:bCs/>
          <w:color w:val="000000" w:themeColor="text1"/>
          <w:lang w:eastAsia="ko-KR"/>
        </w:rPr>
        <w:t xml:space="preserve"> and may be scheduled with DL reception within the UL </w:t>
      </w:r>
      <w:proofErr w:type="spellStart"/>
      <w:r>
        <w:rPr>
          <w:rFonts w:eastAsia="Malgun Gothic"/>
          <w:b/>
          <w:bCs/>
          <w:color w:val="000000" w:themeColor="text1"/>
          <w:lang w:eastAsia="ko-KR"/>
        </w:rPr>
        <w:t>subband</w:t>
      </w:r>
      <w:proofErr w:type="spellEnd"/>
      <w:r>
        <w:rPr>
          <w:rFonts w:eastAsia="Malgun Gothic"/>
          <w:b/>
          <w:bCs/>
          <w:color w:val="000000" w:themeColor="text1"/>
          <w:lang w:eastAsia="ko-KR"/>
        </w:rPr>
        <w:t xml:space="preserve"> in the SBFD symbol”.</w:t>
      </w:r>
    </w:p>
    <w:p w14:paraId="0845E71C" w14:textId="77777777" w:rsidR="008B6E59" w:rsidRDefault="008B6E59" w:rsidP="008B6E59"/>
    <w:p w14:paraId="2B337D87" w14:textId="78B9FFFB" w:rsidR="003C2E1E" w:rsidRDefault="00000000">
      <w:pPr>
        <w:jc w:val="center"/>
      </w:pPr>
      <w:r>
        <w:rPr>
          <w:noProof/>
        </w:rPr>
        <w:drawing>
          <wp:anchor distT="0" distB="0" distL="0" distR="0" simplePos="0" relativeHeight="3" behindDoc="0" locked="0" layoutInCell="1" allowOverlap="1" wp14:anchorId="0CB3316D" wp14:editId="517BE8BB">
            <wp:simplePos x="0" y="0"/>
            <wp:positionH relativeFrom="column">
              <wp:align>center</wp:align>
            </wp:positionH>
            <wp:positionV relativeFrom="paragraph">
              <wp:posOffset>635</wp:posOffset>
            </wp:positionV>
            <wp:extent cx="1377950" cy="1801495"/>
            <wp:effectExtent l="0" t="0" r="0" b="0"/>
            <wp:wrapTopAndBottom/>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6"/>
                    <a:stretch>
                      <a:fillRect/>
                    </a:stretch>
                  </pic:blipFill>
                  <pic:spPr bwMode="auto">
                    <a:xfrm>
                      <a:off x="0" y="0"/>
                      <a:ext cx="1377950" cy="1801495"/>
                    </a:xfrm>
                    <a:prstGeom prst="rect">
                      <a:avLst/>
                    </a:prstGeom>
                  </pic:spPr>
                </pic:pic>
              </a:graphicData>
            </a:graphic>
          </wp:anchor>
        </w:drawing>
      </w:r>
      <w:r>
        <w:rPr>
          <w:color w:val="000000" w:themeColor="text1"/>
        </w:rPr>
        <w:t>Fig. 2</w:t>
      </w:r>
      <w:r w:rsidR="008B6E59">
        <w:rPr>
          <w:color w:val="000000" w:themeColor="text1"/>
        </w:rPr>
        <w:t>:</w:t>
      </w:r>
      <w:r>
        <w:rPr>
          <w:color w:val="000000" w:themeColor="text1"/>
        </w:rPr>
        <w:t xml:space="preserve"> </w:t>
      </w:r>
      <w:r>
        <w:rPr>
          <w:rFonts w:eastAsia="Malgun Gothic"/>
          <w:color w:val="000000" w:themeColor="text1"/>
        </w:rPr>
        <w:t xml:space="preserve">DL reception of CSI-RS within the UL </w:t>
      </w:r>
      <w:proofErr w:type="spellStart"/>
      <w:r>
        <w:rPr>
          <w:rFonts w:eastAsia="Malgun Gothic"/>
          <w:color w:val="000000" w:themeColor="text1"/>
        </w:rPr>
        <w:t>subband</w:t>
      </w:r>
      <w:proofErr w:type="spellEnd"/>
      <w:r>
        <w:rPr>
          <w:rFonts w:eastAsia="Malgun Gothic"/>
          <w:color w:val="000000" w:themeColor="text1"/>
        </w:rPr>
        <w:t xml:space="preserve"> in the SBFD symbol</w:t>
      </w:r>
    </w:p>
    <w:p w14:paraId="214805B5" w14:textId="77777777" w:rsidR="003C2E1E" w:rsidRDefault="003C2E1E">
      <w:pPr>
        <w:rPr>
          <w:b/>
          <w:bCs/>
        </w:rPr>
      </w:pPr>
    </w:p>
    <w:p w14:paraId="630FB623" w14:textId="77777777" w:rsidR="003C2E1E" w:rsidRPr="008B6E59" w:rsidRDefault="00000000" w:rsidP="008B6E59">
      <w:pPr>
        <w:pStyle w:val="Heading2"/>
      </w:pPr>
      <w:r w:rsidRPr="008B6E59">
        <w:t>BWP related enhancement</w:t>
      </w:r>
    </w:p>
    <w:p w14:paraId="6CCB3E32" w14:textId="77777777" w:rsidR="003C2E1E" w:rsidRDefault="00000000">
      <w:pPr>
        <w:pStyle w:val="ListParagraph"/>
        <w:spacing w:after="160" w:line="259" w:lineRule="auto"/>
        <w:ind w:left="0"/>
      </w:pPr>
      <w:r>
        <w:rPr>
          <w:color w:val="000000" w:themeColor="text1"/>
        </w:rPr>
        <w:t xml:space="preserve">Currently in NR, the gNB assigns BWPs to UEs in a UE specific way. Multiple BWPs are assigned to a UE in RRC out of which one BWP remains active for a UE at a given instant of time. The gNB can signal the UE to dynamically switch from one BWP to another BWP from the multiple BWPs assigned to the UE in RRC. If the BWP is switched, the UE follows the same TDD configuration that has been provided to it in RRC. However, for efficient SBFD operation, the gNB might need to dynamically change the TDD configuration at the UE along with the BWP switching. E.g., UE1 has active BWP1 when the gNB is operating in non-SBFD mode. Now, the gNB wants to operate in SBFD mode and for that purpose, it needs to switch the active BWP of UE1 to BWP2 with a new TDD configuration to accommodate other UEs with different TDD configurations within the same band. This new TDD configuration allows the gNB to efficiently operate SBFD in the network. Currently in NR, to do this, the gNB </w:t>
      </w:r>
      <w:proofErr w:type="gramStart"/>
      <w:r>
        <w:rPr>
          <w:color w:val="000000" w:themeColor="text1"/>
        </w:rPr>
        <w:t>has to</w:t>
      </w:r>
      <w:proofErr w:type="gramEnd"/>
      <w:r>
        <w:rPr>
          <w:color w:val="000000" w:themeColor="text1"/>
        </w:rPr>
        <w:t xml:space="preserve"> provide a new TDD configuration using RRC which is semi-static in nature. Instead, the gNB can  provide multiple BWPs to the UE each associated with a different TDD configuration. Whenever, the UE switches the active BWP, the UE uses the TDD configuration associated with the new active BWP. Based on the above justification, the following is proposed.</w:t>
      </w:r>
    </w:p>
    <w:p w14:paraId="4C1DEA11" w14:textId="77777777" w:rsidR="003C2E1E" w:rsidRDefault="003C2E1E">
      <w:pPr>
        <w:pStyle w:val="ListParagraph"/>
        <w:spacing w:after="160" w:line="259" w:lineRule="auto"/>
        <w:ind w:left="0"/>
        <w:rPr>
          <w:color w:val="000000" w:themeColor="text1"/>
        </w:rPr>
      </w:pPr>
    </w:p>
    <w:p w14:paraId="32A96937" w14:textId="77777777" w:rsidR="003C2E1E" w:rsidRDefault="00000000">
      <w:pPr>
        <w:pStyle w:val="ListParagraph"/>
        <w:spacing w:after="160" w:line="259" w:lineRule="auto"/>
        <w:ind w:left="0"/>
        <w:rPr>
          <w:b/>
          <w:bCs/>
        </w:rPr>
      </w:pPr>
      <w:r>
        <w:rPr>
          <w:b/>
          <w:bCs/>
          <w:color w:val="000000" w:themeColor="text1"/>
        </w:rPr>
        <w:t>Proposal 3:  gNB configuring separate TDD configuration for the BWPs of the UE is supported.</w:t>
      </w:r>
    </w:p>
    <w:p w14:paraId="4204CA44" w14:textId="77777777" w:rsidR="003C2E1E" w:rsidRPr="008B6E59" w:rsidRDefault="00000000" w:rsidP="008B6E59">
      <w:pPr>
        <w:pStyle w:val="Heading2"/>
      </w:pPr>
      <w:r w:rsidRPr="008B6E59">
        <w:t>TDD configuration related enhancement</w:t>
      </w:r>
    </w:p>
    <w:p w14:paraId="4CD066EC" w14:textId="77777777" w:rsidR="003C2E1E" w:rsidRDefault="00000000">
      <w:pPr>
        <w:ind w:firstLine="720"/>
        <w:rPr>
          <w:color w:val="000000" w:themeColor="text1"/>
        </w:rPr>
      </w:pPr>
      <w:r>
        <w:rPr>
          <w:color w:val="000000" w:themeColor="text1"/>
        </w:rPr>
        <w:t xml:space="preserve">In NR, a common TDD configuration is given for all the UEs in a cell, and it configures a set of slots of the UEs as either DL/UL. In Fig. 3, UE1, UE2 and UE3 are provided with common DL configuration for few slots in the beginning of the frame and common UL configuration for slots in the end of the frame. Therefore, a gNB cannot configure a UE as DL, another one as UL and perform SBFD operation in the set of slots configured using common TDD configuration. The dedicated TDD configuration provides UE specific configuration, but it overrides only the slots/symbols configured as F by the common TDD configuration. Hence, gNB can perform SBFD only in the slots/symbols configured as F by common TDD configuration. E.g., in Fig. 3, the SBFD operation  is limited to the middle portion of the frame which are configured by dedicated TDD and SFI. To overcome this limitation, introduce provision for dedicated TDD configuration/SFI overriding common TDD configuration. This will provide more flexibility to the gNB and allow SBFD operation in slot/symbol configured as DL/UL/F by the common TDD configuration. </w:t>
      </w:r>
    </w:p>
    <w:p w14:paraId="72094BDD" w14:textId="77777777" w:rsidR="003C2E1E" w:rsidRDefault="00000000">
      <w:pPr>
        <w:rPr>
          <w:color w:val="000000" w:themeColor="text1"/>
        </w:rPr>
      </w:pPr>
      <w:r>
        <w:rPr>
          <w:b/>
          <w:bCs/>
        </w:rPr>
        <w:t xml:space="preserve">Observation 3: </w:t>
      </w:r>
      <w:r>
        <w:rPr>
          <w:b/>
          <w:bCs/>
          <w:color w:val="000000" w:themeColor="text1"/>
        </w:rPr>
        <w:t xml:space="preserve"> SBFD operation at gNB is limited to the slots/symbols configured as flexible by the TDD common configuration</w:t>
      </w:r>
      <w:r>
        <w:rPr>
          <w:b/>
          <w:bCs/>
        </w:rPr>
        <w:t xml:space="preserve">. </w:t>
      </w:r>
    </w:p>
    <w:p w14:paraId="69B05F35" w14:textId="77777777" w:rsidR="003C2E1E" w:rsidRDefault="00000000">
      <w:pPr>
        <w:rPr>
          <w:b/>
          <w:bCs/>
        </w:rPr>
      </w:pPr>
      <w:r>
        <w:rPr>
          <w:b/>
          <w:bCs/>
          <w:color w:val="000000" w:themeColor="text1"/>
        </w:rPr>
        <w:t>Proposal 4: Provision to override common TDD configuration by dedicated TDD configuration/SFI in certain scenarios is supported.</w:t>
      </w:r>
    </w:p>
    <w:p w14:paraId="2E417342" w14:textId="77777777" w:rsidR="003C2E1E" w:rsidRDefault="003C2E1E">
      <w:pPr>
        <w:rPr>
          <w:color w:val="000000" w:themeColor="text1"/>
        </w:rPr>
      </w:pPr>
    </w:p>
    <w:p w14:paraId="1FEF803F" w14:textId="77777777" w:rsidR="003C2E1E" w:rsidRDefault="00000000">
      <w:pPr>
        <w:jc w:val="center"/>
      </w:pPr>
      <w:r>
        <w:rPr>
          <w:noProof/>
        </w:rPr>
        <w:lastRenderedPageBreak/>
        <w:drawing>
          <wp:inline distT="0" distB="0" distL="0" distR="0" wp14:anchorId="199C2860" wp14:editId="16C5A792">
            <wp:extent cx="3357245" cy="2686050"/>
            <wp:effectExtent l="0" t="0" r="0" b="0"/>
            <wp:docPr id="3" name="Picture 1246802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246802236"/>
                    <pic:cNvPicPr>
                      <a:picLocks noChangeAspect="1" noChangeArrowheads="1"/>
                    </pic:cNvPicPr>
                  </pic:nvPicPr>
                  <pic:blipFill>
                    <a:blip r:embed="rId7"/>
                    <a:stretch>
                      <a:fillRect/>
                    </a:stretch>
                  </pic:blipFill>
                  <pic:spPr bwMode="auto">
                    <a:xfrm>
                      <a:off x="0" y="0"/>
                      <a:ext cx="3357245" cy="2686050"/>
                    </a:xfrm>
                    <a:prstGeom prst="rect">
                      <a:avLst/>
                    </a:prstGeom>
                  </pic:spPr>
                </pic:pic>
              </a:graphicData>
            </a:graphic>
          </wp:inline>
        </w:drawing>
      </w:r>
    </w:p>
    <w:p w14:paraId="4217BF7D" w14:textId="156A0B2E" w:rsidR="003C2E1E" w:rsidRDefault="00000000">
      <w:pPr>
        <w:jc w:val="center"/>
      </w:pPr>
      <w:r>
        <w:t>Fig. 3</w:t>
      </w:r>
      <w:r w:rsidR="008B6E59">
        <w:t>:</w:t>
      </w:r>
      <w:r>
        <w:t xml:space="preserve"> An illustration of SBFD operation by a BS scheduling 3 UEs</w:t>
      </w:r>
    </w:p>
    <w:p w14:paraId="2419E6A5" w14:textId="77777777" w:rsidR="003C2E1E" w:rsidRDefault="003C2E1E">
      <w:pPr>
        <w:jc w:val="center"/>
      </w:pPr>
    </w:p>
    <w:p w14:paraId="10B1FF51" w14:textId="77777777" w:rsidR="003C2E1E" w:rsidRDefault="00000000">
      <w:pPr>
        <w:ind w:firstLine="720"/>
        <w:jc w:val="center"/>
      </w:pPr>
      <w:r>
        <w:rPr>
          <w:noProof/>
        </w:rPr>
        <w:drawing>
          <wp:inline distT="0" distB="0" distL="0" distR="0" wp14:anchorId="37BA4476" wp14:editId="7FE13416">
            <wp:extent cx="2743200" cy="1091565"/>
            <wp:effectExtent l="0" t="0" r="0" b="0"/>
            <wp:docPr id="4"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
                    <pic:cNvPicPr>
                      <a:picLocks noChangeAspect="1" noChangeArrowheads="1"/>
                    </pic:cNvPicPr>
                  </pic:nvPicPr>
                  <pic:blipFill>
                    <a:blip r:embed="rId8"/>
                    <a:stretch>
                      <a:fillRect/>
                    </a:stretch>
                  </pic:blipFill>
                  <pic:spPr bwMode="auto">
                    <a:xfrm>
                      <a:off x="0" y="0"/>
                      <a:ext cx="2743200" cy="1091565"/>
                    </a:xfrm>
                    <a:prstGeom prst="rect">
                      <a:avLst/>
                    </a:prstGeom>
                  </pic:spPr>
                </pic:pic>
              </a:graphicData>
            </a:graphic>
          </wp:inline>
        </w:drawing>
      </w:r>
    </w:p>
    <w:p w14:paraId="179C82D2" w14:textId="20E6CA16" w:rsidR="003C2E1E" w:rsidRDefault="00000000">
      <w:pPr>
        <w:ind w:firstLine="720"/>
        <w:jc w:val="center"/>
      </w:pPr>
      <w:r>
        <w:rPr>
          <w:color w:val="000000" w:themeColor="text1"/>
        </w:rPr>
        <w:t>Fig. 4</w:t>
      </w:r>
      <w:r w:rsidR="008B6E59">
        <w:rPr>
          <w:color w:val="000000" w:themeColor="text1"/>
        </w:rPr>
        <w:t>:</w:t>
      </w:r>
      <w:r>
        <w:rPr>
          <w:color w:val="000000" w:themeColor="text1"/>
        </w:rPr>
        <w:t xml:space="preserve">  SBFD in different non-overlapping </w:t>
      </w:r>
      <w:proofErr w:type="spellStart"/>
      <w:r>
        <w:rPr>
          <w:color w:val="000000" w:themeColor="text1"/>
        </w:rPr>
        <w:t>subbands</w:t>
      </w:r>
      <w:proofErr w:type="spellEnd"/>
    </w:p>
    <w:p w14:paraId="6A537533" w14:textId="207733B2" w:rsidR="003C2E1E" w:rsidRDefault="00000000">
      <w:pPr>
        <w:spacing w:after="160" w:line="259" w:lineRule="auto"/>
        <w:ind w:firstLine="720"/>
        <w:contextualSpacing/>
      </w:pPr>
      <w:r>
        <w:rPr>
          <w:color w:val="000000" w:themeColor="text1"/>
        </w:rPr>
        <w:t xml:space="preserve">Further, UE supports TDD configurations and slot formats starting with DL slots/symbols, which again restricts the SBFD operation to certain symbols or certain slot formats. E.g., a dynamic SBFD scenario is illustrated in Fig. 4. The gNB receives UL in </w:t>
      </w:r>
      <w:proofErr w:type="spellStart"/>
      <w:r>
        <w:rPr>
          <w:color w:val="000000" w:themeColor="text1"/>
        </w:rPr>
        <w:t>subband</w:t>
      </w:r>
      <w:proofErr w:type="spellEnd"/>
      <w:r>
        <w:rPr>
          <w:color w:val="000000" w:themeColor="text1"/>
        </w:rPr>
        <w:t xml:space="preserve"> 1 in slot 1 and performs DL in </w:t>
      </w:r>
      <w:proofErr w:type="spellStart"/>
      <w:r>
        <w:rPr>
          <w:color w:val="000000" w:themeColor="text1"/>
        </w:rPr>
        <w:t>subband</w:t>
      </w:r>
      <w:proofErr w:type="spellEnd"/>
      <w:r>
        <w:rPr>
          <w:color w:val="000000" w:themeColor="text1"/>
        </w:rPr>
        <w:t xml:space="preserve"> 2 in the same time resources. Instead of slots, the granularity in time can be symbols/groups of slots/frames as well. To allow such flexibility of scheduling and efficient utilization of available bandwidth for SBFD, TDD configurations and SFI formats starting with UL slots/symbols can be introduced.</w:t>
      </w:r>
    </w:p>
    <w:p w14:paraId="1EC4073C" w14:textId="77777777" w:rsidR="003C2E1E" w:rsidRDefault="003C2E1E">
      <w:pPr>
        <w:spacing w:after="160" w:line="259" w:lineRule="auto"/>
        <w:ind w:firstLine="720"/>
        <w:contextualSpacing/>
        <w:rPr>
          <w:color w:val="000000" w:themeColor="text1"/>
        </w:rPr>
      </w:pPr>
    </w:p>
    <w:p w14:paraId="61565D3D" w14:textId="77777777" w:rsidR="003C2E1E" w:rsidRDefault="00000000">
      <w:pPr>
        <w:spacing w:after="160" w:line="259" w:lineRule="auto"/>
        <w:contextualSpacing/>
      </w:pPr>
      <w:r>
        <w:rPr>
          <w:b/>
          <w:bCs/>
          <w:color w:val="000000" w:themeColor="text1"/>
        </w:rPr>
        <w:t>Proposal 5: TDD configurations starting with UL slots/symbols are supported.</w:t>
      </w:r>
    </w:p>
    <w:p w14:paraId="4943E233" w14:textId="77777777" w:rsidR="003C2E1E" w:rsidRDefault="00000000">
      <w:pPr>
        <w:pStyle w:val="Heading1"/>
        <w:numPr>
          <w:ilvl w:val="0"/>
          <w:numId w:val="2"/>
        </w:numPr>
      </w:pPr>
      <w:r>
        <w:t>Potential enhancements to resource allocation</w:t>
      </w:r>
    </w:p>
    <w:p w14:paraId="4C498DBA" w14:textId="77777777" w:rsidR="003C2E1E" w:rsidRDefault="00000000">
      <w:r>
        <w:rPr>
          <w:color w:val="000000" w:themeColor="text1"/>
        </w:rPr>
        <w:t>The following agreement was made in RAN1#109-e [2].</w:t>
      </w:r>
    </w:p>
    <w:p w14:paraId="3CCEF22F" w14:textId="77777777" w:rsidR="003C2E1E" w:rsidRDefault="00000000">
      <w:pPr>
        <w:rPr>
          <w:sz w:val="20"/>
          <w:szCs w:val="20"/>
        </w:rPr>
      </w:pPr>
      <w:r>
        <w:rPr>
          <w:i/>
          <w:iCs/>
          <w:sz w:val="20"/>
          <w:szCs w:val="20"/>
          <w:highlight w:val="green"/>
          <w:lang w:eastAsia="ko-KR"/>
        </w:rPr>
        <w:t>Agreement</w:t>
      </w:r>
    </w:p>
    <w:p w14:paraId="6A2DD834" w14:textId="77777777" w:rsidR="003C2E1E" w:rsidRDefault="00000000">
      <w:pPr>
        <w:rPr>
          <w:sz w:val="20"/>
          <w:szCs w:val="20"/>
        </w:rPr>
      </w:pPr>
      <w:r>
        <w:rPr>
          <w:i/>
          <w:iCs/>
          <w:color w:val="000000" w:themeColor="text1"/>
          <w:sz w:val="20"/>
          <w:szCs w:val="20"/>
          <w:lang w:eastAsia="ko-KR"/>
        </w:rPr>
        <w:t xml:space="preserve">Study the impact/potential enhancements of resource allocation in symbols with </w:t>
      </w:r>
      <w:proofErr w:type="spellStart"/>
      <w:r>
        <w:rPr>
          <w:i/>
          <w:iCs/>
          <w:color w:val="000000" w:themeColor="text1"/>
          <w:sz w:val="20"/>
          <w:szCs w:val="20"/>
          <w:lang w:eastAsia="ko-KR"/>
        </w:rPr>
        <w:t>subbands</w:t>
      </w:r>
      <w:proofErr w:type="spellEnd"/>
      <w:r>
        <w:rPr>
          <w:i/>
          <w:iCs/>
          <w:color w:val="000000" w:themeColor="text1"/>
          <w:sz w:val="20"/>
          <w:szCs w:val="20"/>
          <w:lang w:eastAsia="ko-KR"/>
        </w:rPr>
        <w:t xml:space="preserve"> that gNB would use for SBFD operation.</w:t>
      </w:r>
    </w:p>
    <w:p w14:paraId="7BCC28A4" w14:textId="77777777" w:rsidR="003C2E1E" w:rsidRDefault="00000000">
      <w:r>
        <w:tab/>
        <w:t xml:space="preserve">SBFD at a gNB has different use cases like reducing latency of data traffic exchange, UL coverage enhancement etc., which will have an impact on various channels. Certain enhancements will be needed in the data, control channels or RS for efficient implementation of the SBFD scheme E.g., UL coverage can be enhanced by repetition of data signals, control signals or reference signals (RS). </w:t>
      </w:r>
    </w:p>
    <w:p w14:paraId="62400F0A" w14:textId="77777777" w:rsidR="003C2E1E" w:rsidRDefault="00000000">
      <w:pPr>
        <w:rPr>
          <w:b/>
          <w:bCs/>
        </w:rPr>
      </w:pPr>
      <w:r>
        <w:rPr>
          <w:b/>
          <w:bCs/>
        </w:rPr>
        <w:t>Observation 4: Different use cases of SBFD will have impacts on the different channels.</w:t>
      </w:r>
    </w:p>
    <w:p w14:paraId="4E8DEF63" w14:textId="77777777" w:rsidR="003C2E1E" w:rsidRDefault="00000000">
      <w:pPr>
        <w:rPr>
          <w:b/>
          <w:bCs/>
        </w:rPr>
      </w:pPr>
      <w:r>
        <w:rPr>
          <w:b/>
          <w:bCs/>
        </w:rPr>
        <w:t>Proposal 6: Study whether enhancements to data channel, control channel and RS are needed to support different use cases of SBFD like latency reduction, coverage enhancement etc.</w:t>
      </w:r>
    </w:p>
    <w:p w14:paraId="3625935D" w14:textId="77777777" w:rsidR="003C2E1E" w:rsidRDefault="00000000">
      <w:pPr>
        <w:pStyle w:val="Heading1"/>
        <w:numPr>
          <w:ilvl w:val="0"/>
          <w:numId w:val="2"/>
        </w:numPr>
      </w:pPr>
      <w:r>
        <w:lastRenderedPageBreak/>
        <w:t>Impact on reciprocity</w:t>
      </w:r>
    </w:p>
    <w:p w14:paraId="5A932DED" w14:textId="1432CABA" w:rsidR="003C2E1E" w:rsidRDefault="00000000">
      <w:pPr>
        <w:ind w:left="90"/>
      </w:pPr>
      <w:r>
        <w:tab/>
        <w:t xml:space="preserve">Implementing SBFD at the gNB results in inter </w:t>
      </w:r>
      <w:proofErr w:type="spellStart"/>
      <w:r>
        <w:t>subband</w:t>
      </w:r>
      <w:proofErr w:type="spellEnd"/>
      <w:r>
        <w:t xml:space="preserve"> interference between UL and DL </w:t>
      </w:r>
      <w:proofErr w:type="spellStart"/>
      <w:r>
        <w:t>subbands</w:t>
      </w:r>
      <w:proofErr w:type="spellEnd"/>
      <w:r>
        <w:t xml:space="preserve">. The amount of interference depends upon the transmit power at the gNB, the guard between the </w:t>
      </w:r>
      <w:proofErr w:type="spellStart"/>
      <w:r>
        <w:t>subbands</w:t>
      </w:r>
      <w:proofErr w:type="spellEnd"/>
      <w:r>
        <w:t xml:space="preserve">, etc. Further, the gNB might be capable of suppressing a certain amount of the interference by activating dedicated circuitry or techniques like beamforming. Another way to reduce the interference is to have separate panels for DL and UL operations at the gNB. The physical separation between the panel will ensure a minimum level of interference. The major bottleneck of this implementation will be its effect on reciprocity. In NR, many procedures assume reciprocity between DL and UL channels. E.g., the UE uses pathloss measured on DL RS for performing power control in UL. Thus, there is a need to study the impacts of using different panels at the gNB for DL and UL on reciprocity assumption of channels. </w:t>
      </w:r>
    </w:p>
    <w:p w14:paraId="5B55C074" w14:textId="77777777" w:rsidR="003C2E1E" w:rsidRDefault="00000000">
      <w:pPr>
        <w:ind w:left="90"/>
        <w:rPr>
          <w:b/>
          <w:bCs/>
        </w:rPr>
      </w:pPr>
      <w:r>
        <w:rPr>
          <w:b/>
          <w:bCs/>
        </w:rPr>
        <w:t>Observation 5: Using different panels at the gNB for DL and UL operation reduces interference but impacts reciprocity assumption between UL and DL channels.</w:t>
      </w:r>
    </w:p>
    <w:p w14:paraId="03C4F670" w14:textId="77777777" w:rsidR="003C2E1E" w:rsidRDefault="00000000">
      <w:pPr>
        <w:ind w:left="90"/>
      </w:pPr>
      <w:r>
        <w:rPr>
          <w:b/>
          <w:bCs/>
        </w:rPr>
        <w:t>Proposal 7: Study the impacts of using different panels at the gNB for DL and UL operations on reciprocity assumption of channels.</w:t>
      </w:r>
    </w:p>
    <w:p w14:paraId="362EE76D" w14:textId="77777777" w:rsidR="003C2E1E" w:rsidRDefault="00000000">
      <w:pPr>
        <w:pStyle w:val="Heading1"/>
        <w:numPr>
          <w:ilvl w:val="0"/>
          <w:numId w:val="2"/>
        </w:numPr>
      </w:pPr>
      <w:r>
        <w:t>Conclusion</w:t>
      </w:r>
    </w:p>
    <w:p w14:paraId="4071180A" w14:textId="77777777" w:rsidR="003C2E1E" w:rsidRDefault="00000000">
      <w:r>
        <w:t>The following observations and proposals are made in this contribution,</w:t>
      </w:r>
    </w:p>
    <w:p w14:paraId="4DB4107F" w14:textId="7B97FA4A" w:rsidR="003C2E1E" w:rsidRDefault="00000000" w:rsidP="00BE2BB0">
      <w:pPr>
        <w:rPr>
          <w:b/>
          <w:bCs/>
        </w:rPr>
      </w:pPr>
      <w:r>
        <w:rPr>
          <w:rStyle w:val="CommentReference"/>
          <w:rFonts w:eastAsia="Calibri" w:cs="Calibri"/>
          <w:b/>
          <w:bCs/>
          <w:color w:val="000000" w:themeColor="text1"/>
          <w:sz w:val="22"/>
          <w:szCs w:val="22"/>
        </w:rPr>
        <w:t xml:space="preserve">Observation 1: Providing frequency location of </w:t>
      </w:r>
      <w:proofErr w:type="spellStart"/>
      <w:r>
        <w:rPr>
          <w:rStyle w:val="CommentReference"/>
          <w:rFonts w:eastAsia="Calibri" w:cs="Calibri"/>
          <w:b/>
          <w:bCs/>
          <w:color w:val="000000" w:themeColor="text1"/>
          <w:sz w:val="22"/>
          <w:szCs w:val="22"/>
        </w:rPr>
        <w:t>subband</w:t>
      </w:r>
      <w:proofErr w:type="spellEnd"/>
      <w:r>
        <w:rPr>
          <w:rStyle w:val="CommentReference"/>
          <w:rFonts w:eastAsia="Calibri" w:cs="Calibri"/>
          <w:b/>
          <w:bCs/>
          <w:color w:val="000000" w:themeColor="text1"/>
          <w:sz w:val="22"/>
          <w:szCs w:val="22"/>
        </w:rPr>
        <w:t xml:space="preserve"> and time instants of SBFD operation to UE will be helpful in scenarios of scheduled periodic signals.</w:t>
      </w:r>
    </w:p>
    <w:p w14:paraId="0FE9C250" w14:textId="77777777" w:rsidR="003C2E1E" w:rsidRDefault="00000000" w:rsidP="00BE2BB0">
      <w:pPr>
        <w:jc w:val="left"/>
        <w:rPr>
          <w:b/>
          <w:bCs/>
        </w:rPr>
      </w:pPr>
      <w:r>
        <w:rPr>
          <w:rStyle w:val="CommentReference"/>
          <w:rFonts w:eastAsia="Calibri" w:cs="Calibri"/>
          <w:b/>
          <w:bCs/>
          <w:color w:val="000000" w:themeColor="text1"/>
          <w:sz w:val="22"/>
          <w:szCs w:val="22"/>
        </w:rPr>
        <w:t>Proposal 1: Signaling of frequency location of sub-band and time instants of SBFD operation (SBFD operation alt 4) from gNB to SBFD aware UEs is supported.</w:t>
      </w:r>
    </w:p>
    <w:p w14:paraId="15D0394D" w14:textId="77777777" w:rsidR="003C2E1E" w:rsidRDefault="00000000" w:rsidP="00BE2BB0">
      <w:r>
        <w:rPr>
          <w:b/>
          <w:bCs/>
          <w:color w:val="000000" w:themeColor="text1"/>
          <w:lang w:eastAsia="ko-KR"/>
        </w:rPr>
        <w:t xml:space="preserve">Observation 2: DL </w:t>
      </w:r>
      <w:r>
        <w:rPr>
          <w:rFonts w:eastAsia="Malgun Gothic"/>
          <w:b/>
          <w:bCs/>
          <w:color w:val="000000" w:themeColor="text1"/>
          <w:lang w:eastAsia="ko-KR"/>
        </w:rPr>
        <w:t xml:space="preserve">reception within the UL </w:t>
      </w:r>
      <w:proofErr w:type="spellStart"/>
      <w:r>
        <w:rPr>
          <w:rFonts w:eastAsia="Malgun Gothic"/>
          <w:b/>
          <w:bCs/>
          <w:color w:val="000000" w:themeColor="text1"/>
          <w:lang w:eastAsia="ko-KR"/>
        </w:rPr>
        <w:t>subband</w:t>
      </w:r>
      <w:proofErr w:type="spellEnd"/>
      <w:r>
        <w:rPr>
          <w:rFonts w:eastAsia="Malgun Gothic"/>
          <w:b/>
          <w:bCs/>
          <w:color w:val="000000" w:themeColor="text1"/>
          <w:lang w:eastAsia="ko-KR"/>
        </w:rPr>
        <w:t xml:space="preserve"> in the SBFD symbol will be useful for wideband signals like CSI-RS</w:t>
      </w:r>
      <w:r>
        <w:rPr>
          <w:b/>
          <w:bCs/>
          <w:color w:val="000000" w:themeColor="text1"/>
          <w:lang w:eastAsia="ko-KR"/>
        </w:rPr>
        <w:t xml:space="preserve">. </w:t>
      </w:r>
    </w:p>
    <w:p w14:paraId="70330853" w14:textId="77777777" w:rsidR="003C2E1E" w:rsidRDefault="00000000" w:rsidP="00BE2BB0">
      <w:pPr>
        <w:jc w:val="left"/>
        <w:rPr>
          <w:color w:val="000000" w:themeColor="text1"/>
          <w:lang w:eastAsia="ko-KR"/>
        </w:rPr>
      </w:pPr>
      <w:r>
        <w:rPr>
          <w:rStyle w:val="CommentReference"/>
          <w:rFonts w:eastAsia="Calibri" w:cs="Calibri"/>
          <w:b/>
          <w:bCs/>
          <w:color w:val="000000" w:themeColor="text1"/>
          <w:sz w:val="22"/>
          <w:szCs w:val="22"/>
          <w:lang w:eastAsia="ko-KR"/>
        </w:rPr>
        <w:t xml:space="preserve">Proposal 2: Support </w:t>
      </w:r>
      <w:r>
        <w:rPr>
          <w:rStyle w:val="CommentReference"/>
          <w:rFonts w:eastAsia="Malgun Gothic" w:cs="Calibri"/>
          <w:b/>
          <w:bCs/>
          <w:color w:val="000000" w:themeColor="text1"/>
          <w:sz w:val="22"/>
          <w:szCs w:val="22"/>
          <w:lang w:eastAsia="ko-KR"/>
        </w:rPr>
        <w:t xml:space="preserve">Option 2, “The SBFD aware UE does not expect to be scheduled with UL transmission outside the UL </w:t>
      </w:r>
      <w:proofErr w:type="spellStart"/>
      <w:r>
        <w:rPr>
          <w:rStyle w:val="CommentReference"/>
          <w:rFonts w:eastAsia="Malgun Gothic" w:cs="Calibri"/>
          <w:b/>
          <w:bCs/>
          <w:color w:val="000000" w:themeColor="text1"/>
          <w:sz w:val="22"/>
          <w:szCs w:val="22"/>
          <w:lang w:eastAsia="ko-KR"/>
        </w:rPr>
        <w:t>subband</w:t>
      </w:r>
      <w:proofErr w:type="spellEnd"/>
      <w:r>
        <w:rPr>
          <w:rStyle w:val="CommentReference"/>
          <w:rFonts w:eastAsia="Malgun Gothic" w:cs="Calibri"/>
          <w:b/>
          <w:bCs/>
          <w:color w:val="000000" w:themeColor="text1"/>
          <w:sz w:val="22"/>
          <w:szCs w:val="22"/>
          <w:lang w:eastAsia="ko-KR"/>
        </w:rPr>
        <w:t xml:space="preserve"> and may be scheduled with DL reception within the UL </w:t>
      </w:r>
      <w:proofErr w:type="spellStart"/>
      <w:r>
        <w:rPr>
          <w:rStyle w:val="CommentReference"/>
          <w:rFonts w:eastAsia="Malgun Gothic" w:cs="Calibri"/>
          <w:b/>
          <w:bCs/>
          <w:color w:val="000000" w:themeColor="text1"/>
          <w:sz w:val="22"/>
          <w:szCs w:val="22"/>
          <w:lang w:eastAsia="ko-KR"/>
        </w:rPr>
        <w:t>subband</w:t>
      </w:r>
      <w:proofErr w:type="spellEnd"/>
      <w:r>
        <w:rPr>
          <w:rStyle w:val="CommentReference"/>
          <w:rFonts w:eastAsia="Malgun Gothic" w:cs="Calibri"/>
          <w:b/>
          <w:bCs/>
          <w:color w:val="000000" w:themeColor="text1"/>
          <w:sz w:val="22"/>
          <w:szCs w:val="22"/>
          <w:lang w:eastAsia="ko-KR"/>
        </w:rPr>
        <w:t xml:space="preserve"> in the SBFD symbol”.</w:t>
      </w:r>
    </w:p>
    <w:p w14:paraId="70D351AF" w14:textId="77777777" w:rsidR="003C2E1E" w:rsidRDefault="00000000" w:rsidP="00BE2BB0">
      <w:pPr>
        <w:pStyle w:val="ListParagraph"/>
        <w:spacing w:after="160"/>
        <w:ind w:left="0"/>
        <w:rPr>
          <w:b/>
          <w:bCs/>
        </w:rPr>
      </w:pPr>
      <w:r>
        <w:rPr>
          <w:rStyle w:val="CommentReference"/>
          <w:rFonts w:eastAsia="Calibri" w:cs="Calibri"/>
          <w:b/>
          <w:bCs/>
          <w:color w:val="000000" w:themeColor="text1"/>
          <w:sz w:val="22"/>
          <w:szCs w:val="22"/>
        </w:rPr>
        <w:t xml:space="preserve">Proposal 3: </w:t>
      </w:r>
      <w:r>
        <w:rPr>
          <w:rStyle w:val="CommentReference"/>
          <w:rFonts w:cs="Calibri"/>
          <w:b/>
          <w:bCs/>
          <w:color w:val="000000" w:themeColor="text1"/>
          <w:sz w:val="22"/>
          <w:szCs w:val="22"/>
        </w:rPr>
        <w:t xml:space="preserve"> gNB configuring separate TDD configuration for the BWPs of the UE is supported</w:t>
      </w:r>
      <w:r>
        <w:rPr>
          <w:rStyle w:val="CommentReference"/>
          <w:rFonts w:eastAsia="Calibri" w:cs="Calibri"/>
          <w:b/>
          <w:bCs/>
          <w:color w:val="000000" w:themeColor="text1"/>
          <w:sz w:val="22"/>
          <w:szCs w:val="22"/>
        </w:rPr>
        <w:t>.</w:t>
      </w:r>
    </w:p>
    <w:p w14:paraId="75F19863" w14:textId="77777777" w:rsidR="003C2E1E" w:rsidRDefault="00000000" w:rsidP="00BE2BB0">
      <w:pPr>
        <w:rPr>
          <w:color w:val="000000" w:themeColor="text1"/>
        </w:rPr>
      </w:pPr>
      <w:r>
        <w:rPr>
          <w:b/>
          <w:bCs/>
        </w:rPr>
        <w:t xml:space="preserve">Observation 3: </w:t>
      </w:r>
      <w:r>
        <w:rPr>
          <w:b/>
          <w:bCs/>
          <w:color w:val="000000" w:themeColor="text1"/>
        </w:rPr>
        <w:t xml:space="preserve"> SBFD operation at gNB is limited to the slots/symbols configured as flexible by the TDD common configuration</w:t>
      </w:r>
      <w:r>
        <w:rPr>
          <w:b/>
          <w:bCs/>
        </w:rPr>
        <w:t xml:space="preserve">. </w:t>
      </w:r>
    </w:p>
    <w:p w14:paraId="50700ADF" w14:textId="77777777" w:rsidR="003C2E1E" w:rsidRDefault="00000000" w:rsidP="00BE2BB0">
      <w:pPr>
        <w:spacing w:after="160"/>
        <w:contextualSpacing/>
        <w:rPr>
          <w:b/>
          <w:bCs/>
        </w:rPr>
      </w:pPr>
      <w:r>
        <w:rPr>
          <w:rStyle w:val="CommentReference"/>
          <w:rFonts w:eastAsia="Calibri" w:cs="Calibri"/>
          <w:b/>
          <w:bCs/>
          <w:color w:val="000000" w:themeColor="text1"/>
          <w:sz w:val="22"/>
          <w:szCs w:val="22"/>
        </w:rPr>
        <w:t>Proposal 4: Provision to override common TDD configuration by dedicated TDD configuration/SFI in certain scenarios is supported.</w:t>
      </w:r>
    </w:p>
    <w:p w14:paraId="2D431852" w14:textId="77777777" w:rsidR="003C2E1E" w:rsidRDefault="00000000" w:rsidP="00BE2BB0">
      <w:pPr>
        <w:spacing w:after="160"/>
        <w:contextualSpacing/>
        <w:rPr>
          <w:b/>
          <w:bCs/>
        </w:rPr>
      </w:pPr>
      <w:r>
        <w:rPr>
          <w:rStyle w:val="CommentReference"/>
          <w:rFonts w:eastAsia="Calibri" w:cs="Calibri"/>
          <w:b/>
          <w:bCs/>
          <w:color w:val="000000" w:themeColor="text1"/>
          <w:sz w:val="22"/>
          <w:szCs w:val="22"/>
        </w:rPr>
        <w:t>Proposal 5: TDD configurations starting with UL slots/symbols are supported.</w:t>
      </w:r>
    </w:p>
    <w:p w14:paraId="6C8F3451" w14:textId="77777777" w:rsidR="00BE2BB0" w:rsidRDefault="00000000" w:rsidP="00BE2BB0">
      <w:pPr>
        <w:rPr>
          <w:b/>
          <w:bCs/>
        </w:rPr>
      </w:pPr>
      <w:r>
        <w:rPr>
          <w:b/>
          <w:bCs/>
        </w:rPr>
        <w:t>Observation 4: Different use cases of SBFD will have impacts on the different channels.</w:t>
      </w:r>
    </w:p>
    <w:p w14:paraId="24103883" w14:textId="36080406" w:rsidR="003C2E1E" w:rsidRDefault="00000000" w:rsidP="00BE2BB0">
      <w:pPr>
        <w:rPr>
          <w:b/>
          <w:bCs/>
        </w:rPr>
      </w:pPr>
      <w:r>
        <w:rPr>
          <w:rStyle w:val="CommentReference"/>
          <w:rFonts w:eastAsia="Calibri" w:cs="Calibri"/>
          <w:b/>
          <w:bCs/>
          <w:color w:val="000000" w:themeColor="text1"/>
          <w:sz w:val="22"/>
          <w:szCs w:val="22"/>
        </w:rPr>
        <w:t>Proposal 6: Study whether enhancements to data channel, control channel and RS are needed to support different use cases of SBFD like latency reduction, coverage enhancement etc.</w:t>
      </w:r>
    </w:p>
    <w:p w14:paraId="5A0C4DF6" w14:textId="77777777" w:rsidR="003C2E1E" w:rsidRDefault="00000000" w:rsidP="00BE2BB0">
      <w:pPr>
        <w:spacing w:after="160"/>
        <w:contextualSpacing/>
        <w:rPr>
          <w:b/>
          <w:bCs/>
        </w:rPr>
      </w:pPr>
      <w:r>
        <w:rPr>
          <w:rStyle w:val="CommentReference"/>
          <w:rFonts w:eastAsia="Calibri" w:cs="Calibri"/>
          <w:b/>
          <w:bCs/>
          <w:color w:val="000000" w:themeColor="text1"/>
          <w:sz w:val="22"/>
          <w:szCs w:val="22"/>
        </w:rPr>
        <w:t>Observation 5: Using different panels at the gNB for DL and UL operation reduces interference but impacts reciprocity assumption between UL and DL channels.</w:t>
      </w:r>
    </w:p>
    <w:p w14:paraId="2517CA82" w14:textId="77777777" w:rsidR="003C2E1E" w:rsidRDefault="00000000" w:rsidP="00BE2BB0">
      <w:pPr>
        <w:spacing w:after="160"/>
        <w:contextualSpacing/>
        <w:rPr>
          <w:b/>
          <w:bCs/>
        </w:rPr>
      </w:pPr>
      <w:r>
        <w:rPr>
          <w:rStyle w:val="CommentReference"/>
          <w:rFonts w:eastAsia="Calibri" w:cs="Calibri"/>
          <w:b/>
          <w:bCs/>
          <w:color w:val="000000" w:themeColor="text1"/>
          <w:sz w:val="22"/>
          <w:szCs w:val="22"/>
        </w:rPr>
        <w:t>Proposal 7: Study the impacts of using different panels at the gNB for DL and UL operations on reciprocity assumption of channels.</w:t>
      </w:r>
    </w:p>
    <w:p w14:paraId="1CC0A589" w14:textId="77777777" w:rsidR="003C2E1E" w:rsidRDefault="003C2E1E" w:rsidP="00BE2BB0">
      <w:pPr>
        <w:rPr>
          <w:b/>
          <w:bCs/>
        </w:rPr>
      </w:pPr>
    </w:p>
    <w:p w14:paraId="259B371D" w14:textId="77777777" w:rsidR="003C2E1E" w:rsidRDefault="00000000">
      <w:pPr>
        <w:pStyle w:val="Heading1"/>
        <w:ind w:left="432" w:hanging="432"/>
      </w:pPr>
      <w:bookmarkStart w:id="3" w:name="_Ref71620620"/>
      <w:bookmarkStart w:id="4" w:name="_Ref124671424"/>
      <w:bookmarkStart w:id="5" w:name="_Ref124589665"/>
      <w:bookmarkEnd w:id="3"/>
      <w:bookmarkEnd w:id="4"/>
      <w:bookmarkEnd w:id="5"/>
      <w:r>
        <w:rPr>
          <w:rFonts w:eastAsia="Wingdings" w:cs="Wingdings"/>
        </w:rPr>
        <w:t>References</w:t>
      </w:r>
    </w:p>
    <w:p w14:paraId="4E9E0BCE" w14:textId="77777777" w:rsidR="003C2E1E" w:rsidRDefault="00000000">
      <w:pPr>
        <w:pStyle w:val="References"/>
        <w:numPr>
          <w:ilvl w:val="0"/>
          <w:numId w:val="1"/>
        </w:numPr>
      </w:pPr>
      <w:bookmarkStart w:id="6" w:name="_Ref1245896651"/>
      <w:bookmarkStart w:id="7" w:name="_Ref1246714241"/>
      <w:bookmarkStart w:id="8" w:name="_Ref716206201"/>
      <w:bookmarkStart w:id="9" w:name="OLE_LINK12"/>
      <w:bookmarkStart w:id="10" w:name="_Ref485833320"/>
      <w:bookmarkStart w:id="11" w:name="_Ref446582201"/>
      <w:bookmarkEnd w:id="2"/>
      <w:bookmarkEnd w:id="6"/>
      <w:bookmarkEnd w:id="7"/>
      <w:bookmarkEnd w:id="8"/>
      <w:r>
        <w:rPr>
          <w:rFonts w:eastAsia="Wingdings" w:cs="Wingdings"/>
          <w:lang w:val="en-GB" w:eastAsia="ko-KR"/>
        </w:rPr>
        <w:t>RP-</w:t>
      </w:r>
      <w:bookmarkEnd w:id="9"/>
      <w:r>
        <w:rPr>
          <w:rFonts w:eastAsia="Wingdings" w:cs="Wingdings"/>
          <w:lang w:val="en-GB" w:eastAsia="ko-KR"/>
        </w:rPr>
        <w:t>21</w:t>
      </w:r>
      <w:r>
        <w:rPr>
          <w:lang w:val="en-GB"/>
        </w:rPr>
        <w:t xml:space="preserve">3591, </w:t>
      </w:r>
      <w:bookmarkEnd w:id="10"/>
      <w:bookmarkEnd w:id="11"/>
      <w:r>
        <w:rPr>
          <w:lang w:val="en-GB"/>
        </w:rPr>
        <w:t>New SI: Study on evolution of NR duplex operation, RAN#94-e, Dec. 2021</w:t>
      </w:r>
    </w:p>
    <w:p w14:paraId="2037C77D" w14:textId="77777777" w:rsidR="003C2E1E" w:rsidRDefault="00000000">
      <w:pPr>
        <w:pStyle w:val="TdocHeader2"/>
        <w:numPr>
          <w:ilvl w:val="0"/>
          <w:numId w:val="1"/>
        </w:numPr>
        <w:rPr>
          <w:rFonts w:ascii="Times New Roman" w:hAnsi="Times New Roman" w:cs="Times New Roman"/>
          <w:b w:val="0"/>
          <w:sz w:val="20"/>
          <w:szCs w:val="16"/>
          <w:lang w:val="en-GB"/>
        </w:rPr>
      </w:pPr>
      <w:r>
        <w:rPr>
          <w:rFonts w:ascii="Times New Roman" w:hAnsi="Times New Roman" w:cs="Times New Roman"/>
          <w:b w:val="0"/>
          <w:sz w:val="20"/>
          <w:szCs w:val="16"/>
          <w:lang w:val="en-GB"/>
        </w:rPr>
        <w:t>RAN1 Chairman’s Notes, 3GPP TSG RAN WG1 Meeting #109-e, May 2022</w:t>
      </w:r>
    </w:p>
    <w:p w14:paraId="16ECBE3C" w14:textId="2B5018EB" w:rsidR="003C2E1E" w:rsidRDefault="00000000">
      <w:pPr>
        <w:pStyle w:val="TdocHeader2"/>
        <w:numPr>
          <w:ilvl w:val="0"/>
          <w:numId w:val="1"/>
        </w:numPr>
        <w:rPr>
          <w:rFonts w:ascii="Times New Roman" w:hAnsi="Times New Roman" w:cs="Times New Roman"/>
          <w:b w:val="0"/>
          <w:sz w:val="20"/>
          <w:szCs w:val="16"/>
          <w:lang w:val="en-GB"/>
        </w:rPr>
      </w:pPr>
      <w:r>
        <w:rPr>
          <w:rFonts w:ascii="Times New Roman" w:hAnsi="Times New Roman" w:cs="Times New Roman"/>
          <w:b w:val="0"/>
          <w:sz w:val="20"/>
          <w:szCs w:val="16"/>
          <w:lang w:val="en-GB"/>
        </w:rPr>
        <w:t xml:space="preserve">RAN1 Chairman’s Notes, 3GPP TSG RAN WG1 Meeting #110, </w:t>
      </w:r>
      <w:r w:rsidR="008B6E59">
        <w:rPr>
          <w:rFonts w:ascii="Times New Roman" w:hAnsi="Times New Roman" w:cs="Times New Roman"/>
          <w:b w:val="0"/>
          <w:sz w:val="20"/>
          <w:szCs w:val="16"/>
          <w:lang w:val="en-GB"/>
        </w:rPr>
        <w:t xml:space="preserve">Toulouse, </w:t>
      </w:r>
      <w:r>
        <w:rPr>
          <w:rFonts w:ascii="Times New Roman" w:hAnsi="Times New Roman" w:cs="Times New Roman"/>
          <w:b w:val="0"/>
          <w:sz w:val="20"/>
          <w:szCs w:val="16"/>
          <w:lang w:val="en-GB"/>
        </w:rPr>
        <w:t>August 2022</w:t>
      </w:r>
    </w:p>
    <w:p w14:paraId="134AC3A4" w14:textId="77777777" w:rsidR="003C2E1E" w:rsidRDefault="003C2E1E">
      <w:pPr>
        <w:pStyle w:val="References"/>
        <w:ind w:left="360"/>
        <w:rPr>
          <w:lang w:val="en-GB"/>
        </w:rPr>
      </w:pPr>
    </w:p>
    <w:sectPr w:rsidR="003C2E1E">
      <w:pgSz w:w="11906" w:h="16838"/>
      <w:pgMar w:top="1440" w:right="1152"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Times New Roman">
    <w:panose1 w:val="00000000000000000000"/>
    <w:charset w:val="00"/>
    <w:family w:val="roman"/>
    <w:notTrueType/>
    <w:pitch w:val="default"/>
  </w:font>
  <w:font w:name="Liberation Sans">
    <w:altName w:val="Arial"/>
    <w:charset w:val="01"/>
    <w:family w:val="roman"/>
    <w:pitch w:val="variable"/>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BD7819"/>
    <w:multiLevelType w:val="multilevel"/>
    <w:tmpl w:val="7276B4D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4543679B"/>
    <w:multiLevelType w:val="multilevel"/>
    <w:tmpl w:val="E70A26AE"/>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rFonts w:cs="Times New Roman"/>
        <w:b/>
        <w:i w:val="0"/>
        <w:sz w:val="24"/>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4AC80CB5"/>
    <w:multiLevelType w:val="multilevel"/>
    <w:tmpl w:val="59D6F97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62F10E4E"/>
    <w:multiLevelType w:val="multilevel"/>
    <w:tmpl w:val="E3BA0A08"/>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 w15:restartNumberingAfterBreak="0">
    <w:nsid w:val="69C7581F"/>
    <w:multiLevelType w:val="multilevel"/>
    <w:tmpl w:val="BC3E32D8"/>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num w:numId="1" w16cid:durableId="136067765">
    <w:abstractNumId w:val="2"/>
  </w:num>
  <w:num w:numId="2" w16cid:durableId="664019126">
    <w:abstractNumId w:val="1"/>
  </w:num>
  <w:num w:numId="3" w16cid:durableId="1522426731">
    <w:abstractNumId w:val="3"/>
  </w:num>
  <w:num w:numId="4" w16cid:durableId="991371229">
    <w:abstractNumId w:val="4"/>
  </w:num>
  <w:num w:numId="5" w16cid:durableId="945245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1152"/>
  <w:autoHyphenation/>
  <w:characterSpacingControl w:val="doNotCompress"/>
  <w:compat>
    <w:compatSetting w:name="compatibilityMode" w:uri="http://schemas.microsoft.com/office/word" w:val="12"/>
    <w:compatSetting w:name="useWord2013TrackBottomHyphenation" w:uri="http://schemas.microsoft.com/office/word" w:val="1"/>
  </w:compat>
  <w:rsids>
    <w:rsidRoot w:val="003C2E1E"/>
    <w:rsid w:val="003C2E1E"/>
    <w:rsid w:val="006D6934"/>
    <w:rsid w:val="008B6E59"/>
    <w:rsid w:val="00BE2BB0"/>
    <w:rsid w:val="00D430C8"/>
    <w:rsid w:val="00F821B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846A3"/>
  <w15:docId w15:val="{42E1F3E9-8AA7-49B4-A5DD-4153221C3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napToGrid w:val="0"/>
      <w:spacing w:after="120"/>
      <w:jc w:val="both"/>
    </w:pPr>
    <w:rPr>
      <w:rFonts w:eastAsia="SimSun"/>
      <w:sz w:val="22"/>
      <w:szCs w:val="22"/>
      <w:lang w:eastAsia="zh-CN"/>
    </w:rPr>
  </w:style>
  <w:style w:type="paragraph" w:styleId="Heading1">
    <w:name w:val="heading 1"/>
    <w:basedOn w:val="Normal"/>
    <w:next w:val="Normal"/>
    <w:qFormat/>
    <w:pPr>
      <w:keepNext/>
      <w:spacing w:before="120"/>
      <w:outlineLvl w:val="0"/>
    </w:pPr>
    <w:rPr>
      <w:b/>
      <w:bCs/>
      <w:sz w:val="28"/>
      <w:szCs w:val="28"/>
    </w:rPr>
  </w:style>
  <w:style w:type="paragraph" w:styleId="Heading2">
    <w:name w:val="heading 2"/>
    <w:basedOn w:val="Normal"/>
    <w:next w:val="Normal"/>
    <w:qFormat/>
    <w:pPr>
      <w:keepNext/>
      <w:spacing w:before="120"/>
      <w:outlineLvl w:val="1"/>
    </w:pPr>
    <w:rPr>
      <w:b/>
      <w:bCs/>
      <w:sz w:val="24"/>
    </w:rPr>
  </w:style>
  <w:style w:type="paragraph" w:styleId="Heading3">
    <w:name w:val="heading 3"/>
    <w:basedOn w:val="Normal"/>
    <w:next w:val="Normal"/>
    <w:qFormat/>
    <w:pPr>
      <w:keepNext/>
      <w:spacing w:before="120"/>
      <w:outlineLvl w:val="2"/>
    </w:pPr>
    <w:rPr>
      <w:b/>
    </w:rPr>
  </w:style>
  <w:style w:type="paragraph" w:styleId="Heading4">
    <w:name w:val="heading 4"/>
    <w:basedOn w:val="Normal"/>
    <w:next w:val="Normal"/>
    <w:qFormat/>
    <w:pPr>
      <w:keepNext/>
      <w:spacing w:before="120"/>
      <w:ind w:left="720" w:hanging="720"/>
      <w:outlineLvl w:val="3"/>
    </w:pPr>
    <w:rPr>
      <w:b/>
      <w:bCs/>
      <w:szCs w:val="28"/>
    </w:rPr>
  </w:style>
  <w:style w:type="paragraph" w:styleId="Heading5">
    <w:name w:val="heading 5"/>
    <w:basedOn w:val="Normal"/>
    <w:next w:val="Normal"/>
    <w:qFormat/>
    <w:pPr>
      <w:keepNext/>
      <w:spacing w:before="120"/>
      <w:ind w:left="720" w:hanging="720"/>
      <w:outlineLvl w:val="4"/>
    </w:pPr>
    <w:rPr>
      <w:b/>
      <w:bCs/>
      <w:i/>
      <w:iCs/>
      <w:szCs w:val="26"/>
    </w:rPr>
  </w:style>
  <w:style w:type="paragraph" w:styleId="Heading6">
    <w:name w:val="heading 6"/>
    <w:basedOn w:val="Normal"/>
    <w:next w:val="Normal"/>
    <w:qFormat/>
    <w:pPr>
      <w:spacing w:before="240" w:after="60"/>
      <w:outlineLvl w:val="5"/>
    </w:pPr>
    <w:rPr>
      <w:b/>
      <w:bCs/>
    </w:rPr>
  </w:style>
  <w:style w:type="paragraph" w:styleId="Heading7">
    <w:name w:val="heading 7"/>
    <w:basedOn w:val="Normal"/>
    <w:next w:val="Normal"/>
    <w:qFormat/>
    <w:pPr>
      <w:spacing w:before="240" w:after="60"/>
      <w:outlineLvl w:val="6"/>
    </w:pPr>
    <w:rPr>
      <w:sz w:val="24"/>
      <w:szCs w:val="24"/>
    </w:rPr>
  </w:style>
  <w:style w:type="paragraph" w:styleId="Heading8">
    <w:name w:val="heading 8"/>
    <w:basedOn w:val="Normal"/>
    <w:next w:val="Normal"/>
    <w:qFormat/>
    <w:pPr>
      <w:spacing w:before="240" w:after="60"/>
      <w:outlineLvl w:val="7"/>
    </w:pPr>
    <w:rPr>
      <w:i/>
      <w:iCs/>
      <w:sz w:val="24"/>
      <w:szCs w:val="24"/>
    </w:rPr>
  </w:style>
  <w:style w:type="paragraph" w:styleId="Heading9">
    <w:name w:val="heading 9"/>
    <w:basedOn w:val="Normal"/>
    <w:next w:val="Normal"/>
    <w:qFormat/>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rPr>
      <w:i w:val="0"/>
      <w:lang w:val="en-US"/>
    </w:rPr>
  </w:style>
  <w:style w:type="character" w:customStyle="1" w:styleId="WW8Num1z1">
    <w:name w:val="WW8Num1z1"/>
    <w:qFormat/>
    <w:rPr>
      <w:rFonts w:ascii="Times New Roman" w:hAnsi="Times New Roman" w:cs="Times New Roman"/>
      <w:b/>
      <w:i w:val="0"/>
      <w:sz w:val="24"/>
    </w:rPr>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3z0">
    <w:name w:val="WW8Num3z0"/>
    <w:qFormat/>
    <w:rPr>
      <w:rFonts w:ascii="Courier New" w:eastAsia="Malgun Gothic" w:hAnsi="Courier New" w:cs="Courier New"/>
      <w:lang w:eastAsia="ko-KR"/>
    </w:rPr>
  </w:style>
  <w:style w:type="character" w:customStyle="1" w:styleId="WW8Num3z2">
    <w:name w:val="WW8Num3z2"/>
    <w:qFormat/>
    <w:rPr>
      <w:rFonts w:ascii="Wingdings" w:hAnsi="Wingdings" w:cs="Wingdings"/>
    </w:rPr>
  </w:style>
  <w:style w:type="character" w:customStyle="1" w:styleId="WW8Num3z3">
    <w:name w:val="WW8Num3z3"/>
    <w:qFormat/>
    <w:rPr>
      <w:rFonts w:ascii="Symbol" w:hAnsi="Symbol" w:cs="Symbol"/>
    </w:rPr>
  </w:style>
  <w:style w:type="character" w:customStyle="1" w:styleId="WW8Num4z0">
    <w:name w:val="WW8Num4z0"/>
    <w:qFormat/>
    <w:rPr>
      <w:rFonts w:ascii="Courier New" w:eastAsia="Malgun Gothic" w:hAnsi="Courier New" w:cs="Courier New"/>
      <w:lang w:eastAsia="ko-KR"/>
    </w:rPr>
  </w:style>
  <w:style w:type="character" w:customStyle="1" w:styleId="WW8Num4z2">
    <w:name w:val="WW8Num4z2"/>
    <w:qFormat/>
    <w:rPr>
      <w:rFonts w:ascii="Wingdings" w:hAnsi="Wingdings" w:cs="Wingdings"/>
    </w:rPr>
  </w:style>
  <w:style w:type="character" w:customStyle="1" w:styleId="WW8Num4z3">
    <w:name w:val="WW8Num4z3"/>
    <w:qFormat/>
    <w:rPr>
      <w:rFonts w:ascii="Symbol" w:hAnsi="Symbol" w:cs="Symbol"/>
    </w:rPr>
  </w:style>
  <w:style w:type="character" w:customStyle="1" w:styleId="WW8Num5z0">
    <w:name w:val="WW8Num5z0"/>
    <w:qFormat/>
    <w:rPr>
      <w:rFonts w:ascii="Symbol" w:eastAsia="Malgun Gothic" w:hAnsi="Symbol" w:cs="Symbol"/>
      <w:lang w:eastAsia="ko-KR"/>
    </w:rPr>
  </w:style>
  <w:style w:type="character" w:customStyle="1" w:styleId="WW8Num5z1">
    <w:name w:val="WW8Num5z1"/>
    <w:qFormat/>
    <w:rPr>
      <w:rFonts w:ascii="Courier New" w:eastAsia="Malgun Gothic" w:hAnsi="Courier New" w:cs="Courier New"/>
      <w:sz w:val="24"/>
      <w:szCs w:val="24"/>
      <w:lang w:eastAsia="en-US"/>
    </w:rPr>
  </w:style>
  <w:style w:type="character" w:customStyle="1" w:styleId="WW8Num5z2">
    <w:name w:val="WW8Num5z2"/>
    <w:qFormat/>
    <w:rPr>
      <w:rFonts w:ascii="Wingdings" w:hAnsi="Wingdings" w:cs="Wingdings"/>
    </w:rPr>
  </w:style>
  <w:style w:type="character" w:customStyle="1" w:styleId="WW8Num6z0">
    <w:name w:val="WW8Num6z0"/>
    <w:qFormat/>
    <w:rPr>
      <w:rFonts w:ascii="Times New Roman" w:eastAsia="Malgun Gothic" w:hAnsi="Times New Roman" w:cs="Times New Roman"/>
      <w:lang w:eastAsia="ko-KR"/>
    </w:rPr>
  </w:style>
  <w:style w:type="character" w:customStyle="1" w:styleId="WW8Num6z1">
    <w:name w:val="WW8Num6z1"/>
    <w:qFormat/>
    <w:rPr>
      <w:rFonts w:ascii="Wingdings" w:hAnsi="Wingdings" w:cs="Wingdings"/>
    </w:rPr>
  </w:style>
  <w:style w:type="character" w:customStyle="1" w:styleId="DefaultParagraphFont0">
    <w:name w:val="Default Paragraph Font0"/>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DefaultParagraphFont">
    <w:name w:val="WW-Default Paragraph Font"/>
    <w:qFormat/>
  </w:style>
  <w:style w:type="character" w:customStyle="1" w:styleId="WW8Num3z1">
    <w:name w:val="WW8Num3z1"/>
    <w:qFormat/>
    <w:rPr>
      <w:rFonts w:ascii="Wingdings" w:hAnsi="Wingdings" w:cs="Wingdings"/>
    </w:rPr>
  </w:style>
  <w:style w:type="character" w:customStyle="1" w:styleId="WW8Num8z0">
    <w:name w:val="WW8Num8z0"/>
    <w:qFormat/>
    <w:rPr>
      <w:lang w:eastAsia="zh-CN"/>
    </w:rPr>
  </w:style>
  <w:style w:type="character" w:customStyle="1" w:styleId="WW8Num9z0">
    <w:name w:val="WW8Num9z0"/>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 w:hAnsi="Symbol" w:cs="Symbol"/>
    </w:rPr>
  </w:style>
  <w:style w:type="character" w:customStyle="1" w:styleId="WW8Num10z0">
    <w:name w:val="WW8Num10z0"/>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rPr>
      <w:rFonts w:ascii="Symbol" w:hAnsi="Symbol" w:cs="Symbol"/>
    </w:rPr>
  </w:style>
  <w:style w:type="character" w:customStyle="1" w:styleId="WW8Num11z0">
    <w:name w:val="WW8Num11z0"/>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1z3">
    <w:name w:val="WW8Num11z3"/>
    <w:qFormat/>
    <w:rPr>
      <w:rFonts w:ascii="Symbol" w:hAnsi="Symbol" w:cs="Symbol"/>
    </w:rPr>
  </w:style>
  <w:style w:type="character" w:customStyle="1" w:styleId="WW8Num12z0">
    <w:name w:val="WW8Num12z0"/>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2z3">
    <w:name w:val="WW8Num12z3"/>
    <w:qFormat/>
    <w:rPr>
      <w:rFonts w:ascii="Symbol" w:hAnsi="Symbol" w:cs="Symbol"/>
    </w:rPr>
  </w:style>
  <w:style w:type="character" w:customStyle="1" w:styleId="WW8Num13z0">
    <w:name w:val="WW8Num13z0"/>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3z3">
    <w:name w:val="WW8Num13z3"/>
    <w:qFormat/>
    <w:rPr>
      <w:rFonts w:ascii="Symbol" w:hAnsi="Symbol" w:cs="Symbol"/>
    </w:rPr>
  </w:style>
  <w:style w:type="character" w:customStyle="1" w:styleId="WW8Num14z0">
    <w:name w:val="WW8Num14z0"/>
    <w:qFormat/>
    <w:rPr>
      <w:rFonts w:ascii="Symbol" w:eastAsia="Wingdings" w:hAnsi="Symbol" w:cs="Symbol"/>
    </w:rPr>
  </w:style>
  <w:style w:type="character" w:customStyle="1" w:styleId="WW8Num14z1">
    <w:name w:val="WW8Num14z1"/>
    <w:qFormat/>
    <w:rPr>
      <w:rFonts w:ascii="Courier New" w:eastAsia="Wingdings" w:hAnsi="Courier New" w:cs="Courier New"/>
      <w:sz w:val="24"/>
      <w:szCs w:val="24"/>
    </w:rPr>
  </w:style>
  <w:style w:type="character" w:customStyle="1" w:styleId="WW8Num14z2">
    <w:name w:val="WW8Num14z2"/>
    <w:qFormat/>
    <w:rPr>
      <w:rFonts w:ascii="Wingdings" w:eastAsia="Wingdings" w:hAnsi="Wingdings" w:cs="Wingdings"/>
    </w:rPr>
  </w:style>
  <w:style w:type="character" w:customStyle="1" w:styleId="WW8Num15z0">
    <w:name w:val="WW8Num15z0"/>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15z3">
    <w:name w:val="WW8Num15z3"/>
    <w:qFormat/>
    <w:rPr>
      <w:rFonts w:ascii="Symbol" w:hAnsi="Symbol" w:cs="Symbol"/>
    </w:rPr>
  </w:style>
  <w:style w:type="character" w:customStyle="1" w:styleId="WW-DefaultParagraphFont1">
    <w:name w:val="WW-Default Paragraph Font1"/>
    <w:qFormat/>
  </w:style>
  <w:style w:type="character" w:customStyle="1" w:styleId="WW8Num2z1">
    <w:name w:val="WW8Num2z1"/>
    <w:qFormat/>
    <w:rPr>
      <w:rFonts w:ascii="Wingdings" w:hAnsi="Wingdings" w:cs="Wingdings"/>
    </w:rPr>
  </w:style>
  <w:style w:type="character" w:customStyle="1" w:styleId="WW8Num4z1">
    <w:name w:val="WW8Num4z1"/>
    <w:qFormat/>
    <w:rPr>
      <w:rFonts w:ascii="Wingdings" w:hAnsi="Wingdings" w:cs="Wingdings"/>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9z1">
    <w:name w:val="WW8Num9z1"/>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1">
    <w:name w:val="WW8Num10z1"/>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a">
    <w:name w:val="默认段落字体"/>
    <w:qFormat/>
  </w:style>
  <w:style w:type="character" w:customStyle="1" w:styleId="Char">
    <w:name w:val="正文文本 Char"/>
    <w:qFormat/>
    <w:rPr>
      <w:kern w:val="2"/>
      <w:lang w:val="en-GB" w:eastAsia="zh-CN" w:bidi="ar-SA"/>
    </w:rPr>
  </w:style>
  <w:style w:type="character" w:styleId="Hyperlink">
    <w:name w:val="Hyperlink"/>
    <w:rPr>
      <w:color w:val="0000FF"/>
      <w:kern w:val="2"/>
      <w:u w:val="single"/>
      <w:lang w:val="en-GB" w:eastAsia="zh-CN" w:bidi="ar-SA"/>
    </w:rPr>
  </w:style>
  <w:style w:type="character" w:customStyle="1" w:styleId="Char0">
    <w:name w:val="题注 Char"/>
    <w:qFormat/>
    <w:rPr>
      <w:b/>
      <w:bCs/>
      <w:kern w:val="2"/>
      <w:lang w:val="en-GB" w:eastAsia="zh-CN" w:bidi="ar-SA"/>
    </w:rPr>
  </w:style>
  <w:style w:type="character" w:customStyle="1" w:styleId="1">
    <w:name w:val="已访问的超链接1"/>
    <w:qFormat/>
    <w:rPr>
      <w:color w:val="800080"/>
      <w:kern w:val="2"/>
      <w:u w:val="single"/>
      <w:lang w:val="en-GB" w:eastAsia="zh-CN" w:bidi="ar-SA"/>
    </w:rPr>
  </w:style>
  <w:style w:type="character" w:customStyle="1" w:styleId="FootnoteCharacters">
    <w:name w:val="Footnote Characters"/>
    <w:qFormat/>
    <w:rPr>
      <w:kern w:val="2"/>
      <w:vertAlign w:val="superscript"/>
      <w:lang w:val="en-GB" w:eastAsia="zh-CN" w:bidi="ar-SA"/>
    </w:rPr>
  </w:style>
  <w:style w:type="character" w:customStyle="1" w:styleId="Char1">
    <w:name w:val="页眉 Char"/>
    <w:qFormat/>
    <w:rPr>
      <w:kern w:val="2"/>
      <w:sz w:val="22"/>
      <w:szCs w:val="22"/>
      <w:lang w:val="en-GB" w:eastAsia="zh-CN" w:bidi="ar-SA"/>
    </w:rPr>
  </w:style>
  <w:style w:type="character" w:customStyle="1" w:styleId="Char2">
    <w:name w:val="页脚 Char"/>
    <w:qFormat/>
    <w:rPr>
      <w:kern w:val="2"/>
      <w:sz w:val="22"/>
      <w:szCs w:val="22"/>
      <w:lang w:val="en-GB" w:eastAsia="zh-CN" w:bidi="ar-SA"/>
    </w:rPr>
  </w:style>
  <w:style w:type="character" w:customStyle="1" w:styleId="Char3">
    <w:name w:val="文档结构图 Char"/>
    <w:qFormat/>
    <w:rPr>
      <w:rFonts w:ascii="SimSun" w:hAnsi="SimSun" w:cs="SimSun"/>
      <w:kern w:val="2"/>
      <w:sz w:val="18"/>
      <w:szCs w:val="18"/>
      <w:lang w:val="en-GB" w:bidi="ar-SA"/>
    </w:rPr>
  </w:style>
  <w:style w:type="character" w:customStyle="1" w:styleId="maintextChar">
    <w:name w:val="main text Char"/>
    <w:qFormat/>
    <w:rPr>
      <w:rFonts w:eastAsia="Malgun Gothic" w:cs="Batang"/>
      <w:lang w:val="en-GB" w:eastAsia="ko-KR"/>
    </w:rPr>
  </w:style>
  <w:style w:type="character" w:customStyle="1" w:styleId="2222Char">
    <w:name w:val="스타일 스타일 스타일 스타일 양쪽 첫 줄:  2 글자 + 첫 줄:  2 글자 + 첫 줄:  2 글자 + 첫 줄:  2... Char"/>
    <w:qFormat/>
    <w:rPr>
      <w:rFonts w:eastAsia="Malgun Gothic" w:cs="Batang"/>
      <w:lang w:val="en-GB"/>
    </w:rPr>
  </w:style>
  <w:style w:type="character" w:customStyle="1" w:styleId="a0">
    <w:name w:val="批注引用"/>
    <w:qFormat/>
    <w:rPr>
      <w:kern w:val="2"/>
      <w:sz w:val="21"/>
      <w:szCs w:val="21"/>
      <w:lang w:val="en-GB" w:eastAsia="zh-CN" w:bidi="ar-SA"/>
    </w:rPr>
  </w:style>
  <w:style w:type="character" w:customStyle="1" w:styleId="Char4">
    <w:name w:val="批注文字 Char"/>
    <w:qFormat/>
    <w:rPr>
      <w:kern w:val="2"/>
      <w:sz w:val="22"/>
      <w:szCs w:val="22"/>
      <w:lang w:val="en-GB" w:bidi="ar-SA"/>
    </w:rPr>
  </w:style>
  <w:style w:type="character" w:customStyle="1" w:styleId="Char5">
    <w:name w:val="批注主题 Char"/>
    <w:qFormat/>
    <w:rPr>
      <w:b/>
      <w:bCs/>
      <w:kern w:val="2"/>
      <w:sz w:val="22"/>
      <w:szCs w:val="22"/>
      <w:lang w:val="en-GB" w:bidi="ar-SA"/>
    </w:rPr>
  </w:style>
  <w:style w:type="character" w:styleId="CommentReference">
    <w:name w:val="annotation reference"/>
    <w:qFormat/>
    <w:rPr>
      <w:sz w:val="16"/>
      <w:szCs w:val="16"/>
    </w:rPr>
  </w:style>
  <w:style w:type="character" w:customStyle="1" w:styleId="CommentTextChar">
    <w:name w:val="Comment Text Char"/>
    <w:qFormat/>
    <w:rPr>
      <w:rFonts w:eastAsia="SimSun"/>
      <w:lang w:eastAsia="zh-CN"/>
    </w:rPr>
  </w:style>
  <w:style w:type="character" w:customStyle="1" w:styleId="CommentSubjectChar">
    <w:name w:val="Comment Subject Char"/>
    <w:qFormat/>
    <w:rPr>
      <w:rFonts w:eastAsia="SimSun"/>
      <w:b/>
      <w:bCs/>
      <w:lang w:eastAsia="zh-CN"/>
    </w:rPr>
  </w:style>
  <w:style w:type="character" w:customStyle="1" w:styleId="NumberingSymbols">
    <w:name w:val="Numbering Symbols"/>
    <w:qFormat/>
  </w:style>
  <w:style w:type="character" w:customStyle="1" w:styleId="WW8Num16z0">
    <w:name w:val="WW8Num16z0"/>
    <w:qFormat/>
    <w:rPr>
      <w:rFonts w:ascii="Times;Times New Roman" w:eastAsia="Malgun Gothic" w:hAnsi="Times;Times New Roman" w:cs="Times;Times New Roman"/>
    </w:rPr>
  </w:style>
  <w:style w:type="character" w:customStyle="1" w:styleId="WW8Num16z1">
    <w:name w:val="WW8Num16z1"/>
    <w:qFormat/>
    <w:rPr>
      <w:rFonts w:ascii="Arial" w:eastAsia="Malgun Gothic" w:hAnsi="Arial" w:cs="Arial"/>
      <w:highlight w:val="yellow"/>
      <w:lang w:eastAsia="zh-CN"/>
    </w:rPr>
  </w:style>
  <w:style w:type="character" w:customStyle="1" w:styleId="WW8Num47z0">
    <w:name w:val="WW8Num47z0"/>
    <w:qFormat/>
    <w:rPr>
      <w:rFonts w:ascii="Times;Times New Roman" w:eastAsia="Malgun Gothic" w:hAnsi="Times;Times New Roman" w:cs="Times;Times New Roman"/>
      <w:szCs w:val="20"/>
      <w:highlight w:val="yellow"/>
    </w:rPr>
  </w:style>
  <w:style w:type="character" w:customStyle="1" w:styleId="WW8Num47z1">
    <w:name w:val="WW8Num47z1"/>
    <w:qFormat/>
    <w:rPr>
      <w:rFonts w:ascii="Arial" w:eastAsia="Malgun Gothic" w:hAnsi="Arial" w:cs="Arial"/>
      <w:highlight w:val="yellow"/>
    </w:rPr>
  </w:style>
  <w:style w:type="paragraph" w:customStyle="1" w:styleId="Heading">
    <w:name w:val="Heading"/>
    <w:basedOn w:val="Normal"/>
    <w:next w:val="BodyText"/>
    <w:qFormat/>
    <w:pPr>
      <w:keepNext/>
      <w:spacing w:before="240"/>
    </w:pPr>
    <w:rPr>
      <w:rFonts w:ascii="Liberation Sans" w:eastAsia="Noto Sans CJK SC Regular" w:hAnsi="Liberation Sans" w:cs="FreeSans"/>
      <w:sz w:val="28"/>
      <w:szCs w:val="28"/>
    </w:rPr>
  </w:style>
  <w:style w:type="paragraph" w:styleId="BodyText">
    <w:name w:val="Body Text"/>
    <w:basedOn w:val="Normal"/>
    <w:rPr>
      <w:kern w:val="2"/>
      <w:sz w:val="20"/>
      <w:szCs w:val="20"/>
      <w:lang w:val="en-GB"/>
    </w:rPr>
  </w:style>
  <w:style w:type="paragraph" w:styleId="List">
    <w:name w:val="List"/>
    <w:basedOn w:val="Normal"/>
    <w:pPr>
      <w:ind w:left="360" w:hanging="360"/>
    </w:pPr>
  </w:style>
  <w:style w:type="paragraph" w:styleId="Caption">
    <w:name w:val="caption"/>
    <w:basedOn w:val="Normal"/>
    <w:qFormat/>
    <w:pPr>
      <w:suppressLineNumbers/>
      <w:spacing w:before="120"/>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a1">
    <w:name w:val="题注"/>
    <w:basedOn w:val="Normal"/>
    <w:next w:val="Normal"/>
    <w:qFormat/>
    <w:pPr>
      <w:jc w:val="center"/>
    </w:pPr>
    <w:rPr>
      <w:b/>
      <w:bCs/>
      <w:kern w:val="2"/>
      <w:sz w:val="20"/>
      <w:szCs w:val="20"/>
      <w:lang w:val="en-GB"/>
    </w:rPr>
  </w:style>
  <w:style w:type="paragraph" w:customStyle="1" w:styleId="a2">
    <w:name w:val="列表项目符号"/>
    <w:basedOn w:val="List"/>
    <w:qFormat/>
    <w:pPr>
      <w:spacing w:after="180"/>
      <w:ind w:left="568" w:hanging="284"/>
      <w:jc w:val="left"/>
    </w:pPr>
    <w:rPr>
      <w:sz w:val="20"/>
      <w:szCs w:val="20"/>
      <w:lang w:val="en-GB"/>
    </w:rPr>
  </w:style>
  <w:style w:type="paragraph" w:customStyle="1" w:styleId="2">
    <w:name w:val="正文文本 2"/>
    <w:basedOn w:val="Normal"/>
    <w:qFormat/>
    <w:pPr>
      <w:spacing w:after="0"/>
      <w:jc w:val="left"/>
    </w:pPr>
    <w:rPr>
      <w:szCs w:val="20"/>
    </w:rPr>
  </w:style>
  <w:style w:type="paragraph" w:customStyle="1" w:styleId="a3">
    <w:name w:val="批注框文本"/>
    <w:basedOn w:val="Normal"/>
    <w:qFormat/>
    <w:rPr>
      <w:rFonts w:ascii="Tahoma" w:hAnsi="Tahoma" w:cs="Tahoma"/>
      <w:sz w:val="16"/>
      <w:szCs w:val="16"/>
    </w:rPr>
  </w:style>
  <w:style w:type="paragraph" w:customStyle="1" w:styleId="References">
    <w:name w:val="References"/>
    <w:basedOn w:val="Normal"/>
    <w:qFormat/>
    <w:pPr>
      <w:spacing w:after="60"/>
    </w:pPr>
    <w:rPr>
      <w:sz w:val="20"/>
      <w:szCs w:val="16"/>
    </w:rPr>
  </w:style>
  <w:style w:type="paragraph" w:styleId="FootnoteText">
    <w:name w:val="footnote text"/>
    <w:basedOn w:val="Normal"/>
    <w:rPr>
      <w:sz w:val="20"/>
      <w:szCs w:val="20"/>
    </w:rPr>
  </w:style>
  <w:style w:type="paragraph" w:customStyle="1" w:styleId="Figure">
    <w:name w:val="Figure"/>
    <w:basedOn w:val="Normal"/>
    <w:qFormat/>
    <w:pPr>
      <w:keepNext/>
      <w:jc w:val="center"/>
    </w:pPr>
  </w:style>
  <w:style w:type="paragraph" w:customStyle="1" w:styleId="Eqn">
    <w:name w:val="Eqn"/>
    <w:basedOn w:val="Normal"/>
    <w:qFormat/>
    <w:rPr>
      <w:lang w:eastAsia="ja-JP"/>
    </w:rPr>
  </w:style>
  <w:style w:type="paragraph" w:customStyle="1" w:styleId="tablecell">
    <w:name w:val="tablecell"/>
    <w:basedOn w:val="Normal"/>
    <w:qFormat/>
    <w:pPr>
      <w:spacing w:before="20" w:after="20"/>
      <w:jc w:val="left"/>
    </w:pPr>
  </w:style>
  <w:style w:type="paragraph" w:customStyle="1" w:styleId="HeaderandFooter">
    <w:name w:val="Header and Footer"/>
    <w:basedOn w:val="Normal"/>
    <w:qFormat/>
    <w:pPr>
      <w:suppressLineNumbers/>
      <w:tabs>
        <w:tab w:val="center" w:pos="4986"/>
        <w:tab w:val="right" w:pos="9972"/>
      </w:tabs>
    </w:pPr>
  </w:style>
  <w:style w:type="paragraph" w:styleId="Header">
    <w:name w:val="header"/>
    <w:basedOn w:val="Normal"/>
    <w:rPr>
      <w:kern w:val="2"/>
      <w:lang w:val="en-GB"/>
    </w:rPr>
  </w:style>
  <w:style w:type="paragraph" w:styleId="Footer">
    <w:name w:val="footer"/>
    <w:basedOn w:val="Normal"/>
    <w:rPr>
      <w:kern w:val="2"/>
      <w:lang w:val="en-GB"/>
    </w:rPr>
  </w:style>
  <w:style w:type="paragraph" w:customStyle="1" w:styleId="tablecol">
    <w:name w:val="tablecol"/>
    <w:basedOn w:val="tablecell"/>
    <w:qFormat/>
    <w:pPr>
      <w:jc w:val="center"/>
    </w:pPr>
    <w:rPr>
      <w:b/>
    </w:rPr>
  </w:style>
  <w:style w:type="paragraph" w:customStyle="1" w:styleId="a4">
    <w:name w:val="文档结构图"/>
    <w:basedOn w:val="Normal"/>
    <w:qFormat/>
    <w:rPr>
      <w:rFonts w:ascii="SimSun" w:hAnsi="SimSun" w:cs="SimSun"/>
      <w:kern w:val="2"/>
      <w:sz w:val="18"/>
      <w:szCs w:val="18"/>
      <w:lang w:val="en-GB"/>
    </w:rPr>
  </w:style>
  <w:style w:type="paragraph" w:customStyle="1" w:styleId="maintext">
    <w:name w:val="main text"/>
    <w:basedOn w:val="Normal"/>
    <w:qFormat/>
    <w:pPr>
      <w:snapToGrid/>
      <w:spacing w:before="60" w:after="60" w:line="288" w:lineRule="auto"/>
      <w:ind w:firstLine="200"/>
    </w:pPr>
    <w:rPr>
      <w:rFonts w:eastAsia="Malgun Gothic"/>
      <w:sz w:val="20"/>
      <w:szCs w:val="20"/>
      <w:lang w:val="en-GB" w:eastAsia="ko-KR"/>
    </w:rPr>
  </w:style>
  <w:style w:type="paragraph" w:customStyle="1" w:styleId="2222">
    <w:name w:val="스타일 스타일 스타일 스타일 양쪽 첫 줄:  2 글자 + 첫 줄:  2 글자 + 첫 줄:  2 글자 + 첫 줄:  2..."/>
    <w:basedOn w:val="Normal"/>
    <w:qFormat/>
    <w:pPr>
      <w:snapToGrid/>
      <w:spacing w:after="180" w:line="336" w:lineRule="auto"/>
      <w:ind w:firstLine="200"/>
    </w:pPr>
    <w:rPr>
      <w:rFonts w:eastAsia="Malgun Gothic"/>
      <w:sz w:val="20"/>
      <w:szCs w:val="20"/>
      <w:lang w:val="en-GB"/>
    </w:rPr>
  </w:style>
  <w:style w:type="paragraph" w:customStyle="1" w:styleId="a5">
    <w:name w:val="批注文字"/>
    <w:basedOn w:val="Normal"/>
    <w:qFormat/>
    <w:pPr>
      <w:jc w:val="left"/>
    </w:pPr>
    <w:rPr>
      <w:kern w:val="2"/>
      <w:lang w:val="en-GB"/>
    </w:rPr>
  </w:style>
  <w:style w:type="paragraph" w:customStyle="1" w:styleId="a6">
    <w:name w:val="批注主题"/>
    <w:basedOn w:val="a5"/>
    <w:next w:val="a5"/>
    <w:qFormat/>
    <w:rPr>
      <w:b/>
      <w:bCs/>
    </w:rPr>
  </w:style>
  <w:style w:type="paragraph" w:customStyle="1" w:styleId="a7">
    <w:name w:val="列出段落"/>
    <w:basedOn w:val="Normal"/>
    <w:qFormat/>
    <w:pPr>
      <w:ind w:left="720"/>
      <w:contextualSpacing/>
    </w:pPr>
  </w:style>
  <w:style w:type="paragraph" w:styleId="CommentText">
    <w:name w:val="annotation text"/>
    <w:basedOn w:val="Normal"/>
    <w:qFormat/>
    <w:rPr>
      <w:sz w:val="20"/>
      <w:szCs w:val="20"/>
    </w:rPr>
  </w:style>
  <w:style w:type="paragraph" w:styleId="CommentSubject">
    <w:name w:val="annotation subject"/>
    <w:basedOn w:val="CommentText"/>
    <w:next w:val="CommentText"/>
    <w:qFormat/>
    <w:rPr>
      <w:b/>
      <w:bCs/>
    </w:rPr>
  </w:style>
  <w:style w:type="paragraph" w:styleId="ListParagraph">
    <w:name w:val="List Paragraph"/>
    <w:basedOn w:val="Normal"/>
    <w:qFormat/>
    <w:pPr>
      <w:spacing w:after="180"/>
      <w:ind w:left="720"/>
      <w:contextualSpacing/>
    </w:pPr>
  </w:style>
  <w:style w:type="paragraph" w:customStyle="1" w:styleId="TdocHeader2">
    <w:name w:val="Tdoc_Header_2"/>
    <w:basedOn w:val="Normal"/>
    <w:qFormat/>
    <w:pPr>
      <w:widowControl w:val="0"/>
      <w:tabs>
        <w:tab w:val="left" w:pos="1701"/>
        <w:tab w:val="right" w:pos="9072"/>
        <w:tab w:val="right" w:pos="10206"/>
      </w:tabs>
    </w:pPr>
    <w:rPr>
      <w:rFonts w:ascii="Arial" w:hAnsi="Arial" w:cs="Arial"/>
      <w:b/>
      <w:sz w:val="18"/>
      <w:szCs w:val="20"/>
    </w:rPr>
  </w:style>
  <w:style w:type="paragraph" w:styleId="Revision">
    <w:name w:val="Revision"/>
    <w:uiPriority w:val="99"/>
    <w:semiHidden/>
    <w:qFormat/>
    <w:rsid w:val="000158AE"/>
    <w:pPr>
      <w:suppressAutoHyphens w:val="0"/>
    </w:pPr>
    <w:rPr>
      <w:rFonts w:eastAsia="SimSun"/>
      <w:sz w:val="22"/>
      <w:szCs w:val="22"/>
      <w:lang w:eastAsia="zh-CN"/>
    </w:rPr>
  </w:style>
  <w:style w:type="paragraph" w:customStyle="1" w:styleId="a8">
    <w:name w:val="목록 단락"/>
    <w:basedOn w:val="Normal"/>
    <w:qFormat/>
    <w:pPr>
      <w:ind w:left="840"/>
    </w:pPr>
  </w:style>
  <w:style w:type="paragraph" w:customStyle="1" w:styleId="TableContents">
    <w:name w:val="Table Contents"/>
    <w:basedOn w:val="Normal"/>
    <w:qFormat/>
    <w:pPr>
      <w:suppressLineNumbers/>
    </w:pPr>
  </w:style>
  <w:style w:type="numbering" w:customStyle="1" w:styleId="WW8Num16">
    <w:name w:val="WW8Num16"/>
    <w:qFormat/>
  </w:style>
  <w:style w:type="numbering" w:customStyle="1" w:styleId="WW8Num47">
    <w:name w:val="WW8Num47"/>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1954</Words>
  <Characters>11143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dc:description/>
  <cp:lastModifiedBy>Deepak P M</cp:lastModifiedBy>
  <cp:revision>2</cp:revision>
  <cp:lastPrinted>2007-06-19T00:08:00Z</cp:lastPrinted>
  <dcterms:created xsi:type="dcterms:W3CDTF">2022-09-30T09:41:00Z</dcterms:created>
  <dcterms:modified xsi:type="dcterms:W3CDTF">2022-09-30T09:41:00Z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_2015_ms_pID_725343">
    <vt:lpwstr>(3)B4ElOIyWbFUE0i2tg9MxI9gGzPxGuIqJUFbpw59zWXb8/+veGTTY5TsxAsd3fGK76tVcIP4j_x000d_
NUkxuEPw1S2C2kT05vGJ3MRbTPq2HHQ5EIFdj+r/U27eDM7Au9J2C4qEziqv40QybXjei0bu_x000d_
mYCL3V1Bkj6SSUME2k7qTb1VErnBpairRjETp9UabKVMqEWV+osNdnc806CL3GtnVovpJVyE_x000d_
UPZKOiRaFnZ7fjU4VY</vt:lpwstr>
  </property>
  <property fmtid="{D5CDD505-2E9C-101B-9397-08002B2CF9AE}" pid="9" name="_2015_ms_pID_7253431">
    <vt:lpwstr>96HbNWILQ9YTEEPZZg62tYX9waDwbAKem3MSBEO2wIsQmvlJQn0Ws+_x000d_
m+nc+PT3UuvRJ1T/8+yat5ds36/WX/v9V9XpguFE1iHNxoafwtQDWeQopJLa+AdKtoutqvGk_x000d_
hlT57uJMspTEYIM2NXshMpXuJ++Mh9W8eEgrBBHsyltaXepOIRKSefkRpsRl5XG67wk4bCGo_x000d_
xfHSO8ZKxcDR6ZcHcjWi+DgGO38FK5XsTZgy</vt:lpwstr>
  </property>
  <property fmtid="{D5CDD505-2E9C-101B-9397-08002B2CF9AE}" pid="10" name="_2015_ms_pID_7253431_00">
    <vt:lpwstr>_2015_ms_pID_7253431</vt:lpwstr>
  </property>
  <property fmtid="{D5CDD505-2E9C-101B-9397-08002B2CF9AE}" pid="11" name="_2015_ms_pID_7253432">
    <vt:lpwstr>9qLhyHC9obdVHv8/RLoYiwEXWdzr8N8/jd2r_x000d_
Z4zgO54Jul26UUC1NNoYDAts+rdWXA==</vt:lpwstr>
  </property>
  <property fmtid="{D5CDD505-2E9C-101B-9397-08002B2CF9AE}" pid="12" name="_2015_ms_pID_7253432_00">
    <vt:lpwstr>_2015_ms_pID_7253432</vt:lpwstr>
  </property>
  <property fmtid="{D5CDD505-2E9C-101B-9397-08002B2CF9AE}" pid="13" name="_2015_ms_pID_725343_00">
    <vt:lpwstr>_2015_ms_pID_725343</vt:lpwstr>
  </property>
  <property fmtid="{D5CDD505-2E9C-101B-9397-08002B2CF9AE}" pid="14" name="_change">
    <vt:lpwstr/>
  </property>
  <property fmtid="{D5CDD505-2E9C-101B-9397-08002B2CF9AE}" pid="15" name="_full-control">
    <vt:lpwstr/>
  </property>
  <property fmtid="{D5CDD505-2E9C-101B-9397-08002B2CF9AE}" pid="16"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7"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18" name="_ms_pID_7253431_00">
    <vt:lpwstr>_ms_pID_7253431</vt:lpwstr>
  </property>
  <property fmtid="{D5CDD505-2E9C-101B-9397-08002B2CF9AE}" pid="19" name="_ms_pID_725343_00">
    <vt:lpwstr>_ms_pID_725343</vt:lpwstr>
  </property>
  <property fmtid="{D5CDD505-2E9C-101B-9397-08002B2CF9AE}" pid="20"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1"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2" name="_new_ms_pID_725431_00">
    <vt:lpwstr>_new_ms_pID_725431</vt:lpwstr>
  </property>
  <property fmtid="{D5CDD505-2E9C-101B-9397-08002B2CF9AE}" pid="23" name="_new_ms_pID_725432">
    <vt:lpwstr>5ODSr9xM8Xe/xX3rgoOAg9xBQQRuph+xauB2_x000d_
+Uz1cw0AjCoGCO2oa+/H2hSUl4V/TuAc1JprpjrQiCnOJfR4pc0=</vt:lpwstr>
  </property>
  <property fmtid="{D5CDD505-2E9C-101B-9397-08002B2CF9AE}" pid="24" name="_new_ms_pID_725432_00">
    <vt:lpwstr>_new_ms_pID_725432</vt:lpwstr>
  </property>
  <property fmtid="{D5CDD505-2E9C-101B-9397-08002B2CF9AE}" pid="25" name="_new_ms_pID_72543_00">
    <vt:lpwstr>_new_ms_pID_72543</vt:lpwstr>
  </property>
  <property fmtid="{D5CDD505-2E9C-101B-9397-08002B2CF9AE}" pid="26" name="_readonly">
    <vt:lpwstr/>
  </property>
  <property fmtid="{D5CDD505-2E9C-101B-9397-08002B2CF9AE}" pid="27" name="sflag">
    <vt:lpwstr>1510973513</vt:lpwstr>
  </property>
</Properties>
</file>