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4344" w14:textId="15DA2EE7" w:rsidR="00701495" w:rsidRDefault="00B52F1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w:t>
      </w:r>
      <w:r w:rsidR="00591710">
        <w:rPr>
          <w:rFonts w:ascii="Arial" w:hAnsi="Arial" w:cs="Arial"/>
          <w:b/>
          <w:bCs/>
          <w:lang w:val="de-DE"/>
        </w:rPr>
        <w:t>10</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7487237B" w14:textId="1B2B1D8B" w:rsidR="00701495" w:rsidRDefault="00591710">
      <w:pPr>
        <w:tabs>
          <w:tab w:val="center" w:pos="4536"/>
          <w:tab w:val="right" w:pos="9072"/>
        </w:tabs>
        <w:spacing w:line="276" w:lineRule="auto"/>
        <w:rPr>
          <w:rFonts w:ascii="Arial" w:eastAsia="MS Mincho" w:hAnsi="Arial" w:cs="Arial"/>
          <w:b/>
          <w:bCs/>
          <w:lang w:eastAsia="ja-JP"/>
        </w:rPr>
      </w:pPr>
      <w:r w:rsidRPr="00591710">
        <w:rPr>
          <w:rFonts w:ascii="Arial" w:eastAsia="MS Mincho" w:hAnsi="Arial" w:cs="Arial"/>
          <w:b/>
          <w:bCs/>
          <w:lang w:eastAsia="ja-JP"/>
        </w:rPr>
        <w:t>Toulouse, France, August 22nd – 26th, 2022</w:t>
      </w:r>
    </w:p>
    <w:p w14:paraId="76040C52" w14:textId="77777777" w:rsidR="00591710" w:rsidRDefault="00591710">
      <w:pPr>
        <w:tabs>
          <w:tab w:val="center" w:pos="4536"/>
          <w:tab w:val="right" w:pos="9072"/>
        </w:tabs>
        <w:spacing w:line="276" w:lineRule="auto"/>
        <w:rPr>
          <w:rFonts w:ascii="Arial" w:hAnsi="Arial" w:cs="Arial"/>
          <w:b/>
          <w:bCs/>
        </w:rPr>
      </w:pPr>
    </w:p>
    <w:p w14:paraId="7F691938" w14:textId="13DDAE18" w:rsidR="00701495" w:rsidRDefault="00B52F1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sidR="00591710">
        <w:rPr>
          <w:rFonts w:ascii="Arial" w:hAnsi="Arial"/>
        </w:rPr>
        <w:t>8.1</w:t>
      </w:r>
    </w:p>
    <w:p w14:paraId="7DF97D24" w14:textId="77777777" w:rsidR="00701495" w:rsidRDefault="00B52F1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(Huawei)</w:t>
      </w:r>
    </w:p>
    <w:p w14:paraId="6742BB65" w14:textId="6C12B445" w:rsidR="00701495" w:rsidRDefault="00B52F1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CSI Enhancement</w:t>
      </w:r>
    </w:p>
    <w:p w14:paraId="061C127F" w14:textId="77777777" w:rsidR="00701495" w:rsidRDefault="00B52F1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DFE4ED3" w14:textId="77777777" w:rsidR="00701495" w:rsidRDefault="00701495">
      <w:pPr>
        <w:snapToGrid w:val="0"/>
        <w:spacing w:after="120"/>
        <w:jc w:val="center"/>
        <w:rPr>
          <w:b/>
          <w:sz w:val="28"/>
          <w:szCs w:val="20"/>
        </w:rPr>
      </w:pPr>
    </w:p>
    <w:p w14:paraId="2022F9CD" w14:textId="77777777" w:rsidR="00701495" w:rsidRDefault="00B52F1B">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8D5FEC4" w14:textId="429D92E8" w:rsidR="00701495" w:rsidRPr="00E238D7" w:rsidRDefault="00B52F1B">
      <w:pPr>
        <w:pStyle w:val="0Maintext"/>
        <w:spacing w:after="60" w:afterAutospacing="0"/>
        <w:ind w:firstLine="0"/>
        <w:rPr>
          <w:b/>
          <w:lang w:val="en-US"/>
        </w:rPr>
      </w:pPr>
      <w:r>
        <w:rPr>
          <w:lang w:val="en-US"/>
        </w:rPr>
        <w:t>The moderator summary of the maintenance-related issues raised in the submitted contributions for Rel.17 NR_FeM</w:t>
      </w:r>
      <w:r w:rsidR="00591710">
        <w:rPr>
          <w:lang w:val="en-US"/>
        </w:rPr>
        <w:t xml:space="preserve">IMO </w:t>
      </w:r>
      <w:r w:rsidR="004823E1">
        <w:rPr>
          <w:lang w:val="en-US"/>
        </w:rPr>
        <w:t>CSI enhancement</w:t>
      </w:r>
      <w:r w:rsidR="00591710">
        <w:rPr>
          <w:lang w:val="en-US"/>
        </w:rPr>
        <w:t xml:space="preserve"> is given below</w:t>
      </w:r>
      <w:r w:rsidR="00B10AFB">
        <w:rPr>
          <w:lang w:val="en-US"/>
        </w:rPr>
        <w:t xml:space="preserve">, with 6 CR drafts. </w:t>
      </w:r>
      <w:r w:rsidR="004823E1">
        <w:rPr>
          <w:lang w:val="en-US"/>
        </w:rPr>
        <w:t>C</w:t>
      </w:r>
      <w:r w:rsidR="00591710">
        <w:rPr>
          <w:lang w:val="en-US"/>
        </w:rPr>
        <w:t xml:space="preserve">ompany’s comments are requested </w:t>
      </w:r>
      <w:r w:rsidR="00591710" w:rsidRPr="00E238D7">
        <w:rPr>
          <w:b/>
          <w:lang w:val="en-US"/>
        </w:rPr>
        <w:t>before Monday 15:00 (local time in France)</w:t>
      </w:r>
      <w:r w:rsidR="00E238D7">
        <w:rPr>
          <w:b/>
          <w:lang w:val="en-US"/>
        </w:rPr>
        <w:t>.</w:t>
      </w:r>
    </w:p>
    <w:p w14:paraId="5D875032" w14:textId="04EEC857" w:rsidR="00591710" w:rsidRPr="00591710" w:rsidRDefault="00591710">
      <w:pPr>
        <w:pStyle w:val="0Maintext"/>
        <w:spacing w:after="60" w:afterAutospacing="0"/>
        <w:ind w:firstLine="0"/>
        <w:rPr>
          <w:lang w:val="en-US"/>
        </w:rPr>
      </w:pPr>
      <w:r>
        <w:rPr>
          <w:lang w:val="en-US"/>
        </w:rPr>
        <w:t xml:space="preserve">Note that there is </w:t>
      </w:r>
      <w:r w:rsidRPr="00E238D7">
        <w:rPr>
          <w:b/>
          <w:u w:val="single"/>
          <w:lang w:val="en-US"/>
        </w:rPr>
        <w:t>no preparation phase</w:t>
      </w:r>
      <w:r w:rsidRPr="00591710">
        <w:rPr>
          <w:lang w:val="en-US"/>
        </w:rPr>
        <w:t xml:space="preserve">, </w:t>
      </w:r>
      <w:r w:rsidRPr="004823E1">
        <w:rPr>
          <w:lang w:val="en-US"/>
        </w:rPr>
        <w:t>as</w:t>
      </w:r>
      <w:r w:rsidR="004823E1" w:rsidRPr="004823E1">
        <w:rPr>
          <w:lang w:val="en-US"/>
        </w:rPr>
        <w:t xml:space="preserve"> the discussion is based on company CR. Subject to Mr</w:t>
      </w:r>
      <w:r w:rsidR="000662AE">
        <w:rPr>
          <w:lang w:val="en-US"/>
        </w:rPr>
        <w:t>.</w:t>
      </w:r>
      <w:r w:rsidR="004823E1" w:rsidRPr="004823E1">
        <w:rPr>
          <w:lang w:val="en-US"/>
        </w:rPr>
        <w:t xml:space="preserve"> Chairman’s discretion, the first day of meeting week will likely have to be used to converge on what to handle in RAN1 #110 and the remaining four days will be used to converge on selected CRs.</w:t>
      </w:r>
      <w:r w:rsidR="004823E1">
        <w:rPr>
          <w:u w:val="single"/>
          <w:lang w:val="en-US"/>
        </w:rPr>
        <w:t xml:space="preserve"> </w:t>
      </w:r>
    </w:p>
    <w:p w14:paraId="44F3F192" w14:textId="77777777" w:rsidR="00591710" w:rsidRDefault="00591710">
      <w:pPr>
        <w:pStyle w:val="0Maintext"/>
        <w:spacing w:after="60" w:afterAutospacing="0"/>
        <w:ind w:firstLine="0"/>
        <w:rPr>
          <w:lang w:val="en-US"/>
        </w:rPr>
      </w:pPr>
    </w:p>
    <w:p w14:paraId="73B5AEBB" w14:textId="77777777" w:rsidR="00701495" w:rsidRDefault="00B52F1B">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39EF8EF0" w14:textId="77777777" w:rsidR="004823E1" w:rsidRDefault="004823E1">
      <w:pPr>
        <w:snapToGrid w:val="0"/>
        <w:spacing w:after="60" w:line="288" w:lineRule="auto"/>
        <w:jc w:val="both"/>
        <w:rPr>
          <w:sz w:val="20"/>
        </w:rPr>
      </w:pPr>
    </w:p>
    <w:p w14:paraId="57F808E2" w14:textId="77777777" w:rsidR="00B10AFB" w:rsidRPr="00AC7A71" w:rsidRDefault="00B10AFB" w:rsidP="00AC7A71">
      <w:pPr>
        <w:snapToGrid w:val="0"/>
        <w:spacing w:after="60" w:line="288" w:lineRule="auto"/>
        <w:jc w:val="both"/>
        <w:rPr>
          <w:sz w:val="20"/>
          <w:szCs w:val="20"/>
        </w:rPr>
      </w:pPr>
      <w:r w:rsidRPr="00AC7A71">
        <w:rPr>
          <w:sz w:val="20"/>
          <w:szCs w:val="20"/>
        </w:rPr>
        <w:t>R1-2205933</w:t>
      </w:r>
      <w:r w:rsidRPr="00AC7A71">
        <w:rPr>
          <w:sz w:val="20"/>
          <w:szCs w:val="20"/>
        </w:rPr>
        <w:tab/>
        <w:t>Draft CR on CPU occupied for MTRP CSI in TS38.214</w:t>
      </w:r>
      <w:r w:rsidRPr="00AC7A71">
        <w:rPr>
          <w:sz w:val="20"/>
          <w:szCs w:val="20"/>
        </w:rPr>
        <w:tab/>
        <w:t>ZTE</w:t>
      </w:r>
    </w:p>
    <w:p w14:paraId="1601A3CC" w14:textId="77777777" w:rsidR="00B10AFB" w:rsidRPr="00AC7A71" w:rsidRDefault="00B10AFB" w:rsidP="00AC7A71">
      <w:pPr>
        <w:snapToGrid w:val="0"/>
        <w:spacing w:after="60" w:line="288" w:lineRule="auto"/>
        <w:jc w:val="both"/>
        <w:rPr>
          <w:sz w:val="20"/>
          <w:szCs w:val="20"/>
        </w:rPr>
      </w:pPr>
      <w:r w:rsidRPr="00AC7A71">
        <w:rPr>
          <w:sz w:val="20"/>
          <w:szCs w:val="20"/>
        </w:rPr>
        <w:t>R1-2206257</w:t>
      </w:r>
      <w:r w:rsidRPr="00AC7A71">
        <w:rPr>
          <w:sz w:val="20"/>
          <w:szCs w:val="20"/>
        </w:rPr>
        <w:tab/>
        <w:t>Draft CR for CSI-RS port restriction for mTRP CSI</w:t>
      </w:r>
      <w:r w:rsidRPr="00AC7A71">
        <w:rPr>
          <w:sz w:val="20"/>
          <w:szCs w:val="20"/>
        </w:rPr>
        <w:tab/>
        <w:t>OPPO</w:t>
      </w:r>
    </w:p>
    <w:p w14:paraId="57F58CD8" w14:textId="77777777" w:rsidR="00B10AFB" w:rsidRPr="00AC7A71" w:rsidRDefault="00B10AFB" w:rsidP="00AC7A71">
      <w:pPr>
        <w:snapToGrid w:val="0"/>
        <w:spacing w:after="60" w:line="288" w:lineRule="auto"/>
        <w:jc w:val="both"/>
        <w:rPr>
          <w:sz w:val="20"/>
          <w:szCs w:val="20"/>
        </w:rPr>
      </w:pPr>
      <w:r w:rsidRPr="00AC7A71">
        <w:rPr>
          <w:sz w:val="20"/>
          <w:szCs w:val="20"/>
        </w:rPr>
        <w:t>R1-2207528</w:t>
      </w:r>
      <w:r w:rsidRPr="00AC7A71">
        <w:rPr>
          <w:sz w:val="20"/>
          <w:szCs w:val="20"/>
        </w:rPr>
        <w:tab/>
        <w:t>Correction on slot offsets of CSI-RS resource pairs for MTRP</w:t>
      </w:r>
      <w:r w:rsidRPr="00AC7A71">
        <w:rPr>
          <w:sz w:val="20"/>
          <w:szCs w:val="20"/>
        </w:rPr>
        <w:tab/>
        <w:t>Huawei, HiSilicon</w:t>
      </w:r>
    </w:p>
    <w:p w14:paraId="3933A2DE" w14:textId="77777777" w:rsidR="00B10AFB" w:rsidRPr="00AC7A71" w:rsidRDefault="00B10AFB" w:rsidP="00AC7A71">
      <w:pPr>
        <w:snapToGrid w:val="0"/>
        <w:spacing w:after="60" w:line="288" w:lineRule="auto"/>
        <w:jc w:val="both"/>
        <w:rPr>
          <w:sz w:val="20"/>
          <w:szCs w:val="20"/>
        </w:rPr>
      </w:pPr>
      <w:r w:rsidRPr="00AC7A71">
        <w:rPr>
          <w:sz w:val="20"/>
          <w:szCs w:val="20"/>
        </w:rPr>
        <w:t>R1-2207568</w:t>
      </w:r>
      <w:r w:rsidRPr="00AC7A71">
        <w:rPr>
          <w:sz w:val="20"/>
          <w:szCs w:val="20"/>
        </w:rPr>
        <w:tab/>
        <w:t>Draft CR 38.214 Rel-17 MTRP-CSI_number of CPUs</w:t>
      </w:r>
      <w:r w:rsidRPr="00AC7A71">
        <w:rPr>
          <w:sz w:val="20"/>
          <w:szCs w:val="20"/>
        </w:rPr>
        <w:tab/>
        <w:t>Nokia</w:t>
      </w:r>
    </w:p>
    <w:p w14:paraId="39A5E289" w14:textId="77777777" w:rsidR="00074A63" w:rsidRPr="00AC7A71" w:rsidRDefault="00074A63" w:rsidP="00AC7A71">
      <w:pPr>
        <w:snapToGrid w:val="0"/>
        <w:spacing w:after="60" w:line="288" w:lineRule="auto"/>
        <w:jc w:val="both"/>
        <w:rPr>
          <w:sz w:val="20"/>
          <w:szCs w:val="20"/>
        </w:rPr>
      </w:pPr>
      <w:r w:rsidRPr="00AC7A71">
        <w:rPr>
          <w:sz w:val="20"/>
          <w:szCs w:val="20"/>
        </w:rPr>
        <w:t>R1-2207612</w:t>
      </w:r>
      <w:r w:rsidRPr="00AC7A71">
        <w:rPr>
          <w:sz w:val="20"/>
          <w:szCs w:val="20"/>
        </w:rPr>
        <w:tab/>
        <w:t>Draft CR on channel measurement with two Resource Groups</w:t>
      </w:r>
      <w:r w:rsidRPr="00AC7A71">
        <w:rPr>
          <w:sz w:val="20"/>
          <w:szCs w:val="20"/>
        </w:rPr>
        <w:tab/>
        <w:t>Ericsson</w:t>
      </w:r>
    </w:p>
    <w:p w14:paraId="02291C1B" w14:textId="77777777" w:rsidR="00B10AFB" w:rsidRPr="00AC7A71" w:rsidRDefault="00B10AFB" w:rsidP="00AC7A71">
      <w:pPr>
        <w:snapToGrid w:val="0"/>
        <w:spacing w:after="60" w:line="288" w:lineRule="auto"/>
        <w:jc w:val="both"/>
        <w:rPr>
          <w:sz w:val="20"/>
          <w:szCs w:val="20"/>
        </w:rPr>
      </w:pPr>
      <w:r w:rsidRPr="00AC7A71">
        <w:rPr>
          <w:sz w:val="20"/>
          <w:szCs w:val="20"/>
        </w:rPr>
        <w:t>R1-2207656</w:t>
      </w:r>
      <w:r w:rsidRPr="00AC7A71">
        <w:rPr>
          <w:sz w:val="20"/>
          <w:szCs w:val="20"/>
        </w:rPr>
        <w:tab/>
        <w:t>Correction of CSI assumptions over multiplexing NCJT CSI reports in PUCCH</w:t>
      </w:r>
      <w:r w:rsidRPr="00AC7A71">
        <w:rPr>
          <w:sz w:val="20"/>
          <w:szCs w:val="20"/>
        </w:rPr>
        <w:tab/>
        <w:t>Huawei, HiSilicon</w:t>
      </w:r>
    </w:p>
    <w:p w14:paraId="7C86AF33" w14:textId="77777777" w:rsidR="00B10AFB" w:rsidRPr="00AC7A71" w:rsidRDefault="00B10AFB" w:rsidP="00AC7A71">
      <w:pPr>
        <w:snapToGrid w:val="0"/>
        <w:spacing w:after="60" w:line="288" w:lineRule="auto"/>
        <w:jc w:val="both"/>
        <w:rPr>
          <w:sz w:val="20"/>
          <w:szCs w:val="20"/>
        </w:rPr>
      </w:pPr>
    </w:p>
    <w:p w14:paraId="02D0EAD8" w14:textId="19C6F947" w:rsidR="004823E1" w:rsidRPr="00AC7A71" w:rsidRDefault="004823E1"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 xml:space="preserve">Issue #1: </w:t>
      </w:r>
      <w:r w:rsidR="000662AE">
        <w:rPr>
          <w:rFonts w:ascii="Times New Roman" w:hAnsi="Times New Roman" w:cs="Times New Roman"/>
          <w:sz w:val="20"/>
          <w:szCs w:val="20"/>
        </w:rPr>
        <w:t xml:space="preserve">38.214 </w:t>
      </w:r>
      <w:r w:rsidR="00B10AFB" w:rsidRPr="00AC7A71">
        <w:rPr>
          <w:rFonts w:ascii="Times New Roman" w:hAnsi="Times New Roman" w:cs="Times New Roman"/>
          <w:sz w:val="20"/>
          <w:szCs w:val="20"/>
        </w:rPr>
        <w:t>CPU Occupancy</w:t>
      </w:r>
      <w:r w:rsidR="000662AE">
        <w:rPr>
          <w:rFonts w:ascii="Times New Roman" w:hAnsi="Times New Roman" w:cs="Times New Roman"/>
          <w:sz w:val="20"/>
          <w:szCs w:val="20"/>
        </w:rPr>
        <w:t xml:space="preserve"> for Multi-TRP CSI</w:t>
      </w:r>
      <w:bookmarkStart w:id="2" w:name="_GoBack"/>
      <w:bookmarkEnd w:id="2"/>
      <w:r w:rsidR="00B10AFB" w:rsidRPr="00AC7A71">
        <w:rPr>
          <w:rFonts w:ascii="Times New Roman" w:hAnsi="Times New Roman" w:cs="Times New Roman"/>
          <w:sz w:val="20"/>
          <w:szCs w:val="20"/>
        </w:rPr>
        <w:t xml:space="preserve"> (R1-2205933</w:t>
      </w:r>
      <w:r w:rsidR="005D487B" w:rsidRPr="00AC7A71">
        <w:rPr>
          <w:rFonts w:ascii="Times New Roman" w:hAnsi="Times New Roman" w:cs="Times New Roman"/>
          <w:sz w:val="20"/>
          <w:szCs w:val="20"/>
        </w:rPr>
        <w:t xml:space="preserve"> ZTE</w:t>
      </w:r>
      <w:r w:rsidR="00B10AFB" w:rsidRPr="00AC7A71">
        <w:rPr>
          <w:rFonts w:ascii="Times New Roman" w:hAnsi="Times New Roman" w:cs="Times New Roman"/>
          <w:sz w:val="20"/>
          <w:szCs w:val="20"/>
        </w:rPr>
        <w:t>, R1-2207568</w:t>
      </w:r>
      <w:r w:rsidR="005D487B" w:rsidRPr="00AC7A71">
        <w:rPr>
          <w:rFonts w:ascii="Times New Roman" w:hAnsi="Times New Roman" w:cs="Times New Roman"/>
          <w:sz w:val="20"/>
          <w:szCs w:val="20"/>
        </w:rPr>
        <w:t xml:space="preserve"> Nokia</w:t>
      </w:r>
      <w:r w:rsidR="00074A63" w:rsidRPr="00AC7A71">
        <w:rPr>
          <w:rFonts w:ascii="Times New Roman" w:hAnsi="Times New Roman" w:cs="Times New Roman"/>
          <w:sz w:val="20"/>
          <w:szCs w:val="20"/>
        </w:rPr>
        <w:t>, R1-2207612 Ericsson)</w:t>
      </w:r>
    </w:p>
    <w:tbl>
      <w:tblPr>
        <w:tblStyle w:val="TableGrid"/>
        <w:tblW w:w="9776" w:type="dxa"/>
        <w:tblLayout w:type="fixed"/>
        <w:tblLook w:val="04A0" w:firstRow="1" w:lastRow="0" w:firstColumn="1" w:lastColumn="0" w:noHBand="0" w:noVBand="1"/>
      </w:tblPr>
      <w:tblGrid>
        <w:gridCol w:w="1696"/>
        <w:gridCol w:w="8080"/>
      </w:tblGrid>
      <w:tr w:rsidR="00B10AFB" w:rsidRPr="00AC7A71" w14:paraId="3A17D358" w14:textId="77777777" w:rsidTr="00074A63">
        <w:trPr>
          <w:trHeight w:val="53"/>
        </w:trPr>
        <w:tc>
          <w:tcPr>
            <w:tcW w:w="1696" w:type="dxa"/>
            <w:shd w:val="clear" w:color="auto" w:fill="BFBFBF" w:themeFill="background1" w:themeFillShade="BF"/>
          </w:tcPr>
          <w:p w14:paraId="253FEBCA" w14:textId="37E73EE0" w:rsidR="00B10AFB" w:rsidRPr="00AC7A71" w:rsidRDefault="00B10AFB"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20456A25" w14:textId="072EF602" w:rsidR="00B10AFB" w:rsidRPr="00AC7A71" w:rsidRDefault="00B10AFB" w:rsidP="00AC7A71">
            <w:pPr>
              <w:snapToGrid w:val="0"/>
              <w:jc w:val="both"/>
              <w:rPr>
                <w:b/>
                <w:sz w:val="20"/>
                <w:szCs w:val="20"/>
              </w:rPr>
            </w:pPr>
            <w:r w:rsidRPr="00AC7A71">
              <w:rPr>
                <w:b/>
                <w:sz w:val="20"/>
                <w:szCs w:val="20"/>
              </w:rPr>
              <w:t>Company inputs (if any)</w:t>
            </w:r>
          </w:p>
        </w:tc>
      </w:tr>
      <w:tr w:rsidR="00B10AFB" w:rsidRPr="00AC7A71" w14:paraId="29BAA93C" w14:textId="77777777" w:rsidTr="00074A63">
        <w:trPr>
          <w:trHeight w:val="66"/>
        </w:trPr>
        <w:tc>
          <w:tcPr>
            <w:tcW w:w="1696" w:type="dxa"/>
          </w:tcPr>
          <w:p w14:paraId="3F13A0DA" w14:textId="6EE0D381" w:rsidR="00B10AFB" w:rsidRPr="00AC7A71" w:rsidRDefault="00B10AFB"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05DC4E92" w14:textId="3A93BBBD" w:rsidR="00B10AFB" w:rsidRPr="00AC7A71" w:rsidRDefault="005D487B" w:rsidP="00AC7A71">
            <w:pPr>
              <w:snapToGrid w:val="0"/>
              <w:jc w:val="both"/>
              <w:rPr>
                <w:rFonts w:eastAsia="DengXian"/>
                <w:sz w:val="20"/>
                <w:szCs w:val="20"/>
                <w:lang w:eastAsia="zh-CN"/>
              </w:rPr>
            </w:pPr>
            <w:r w:rsidRPr="00AC7A71">
              <w:rPr>
                <w:rFonts w:eastAsia="DengXian"/>
                <w:sz w:val="20"/>
                <w:szCs w:val="20"/>
                <w:lang w:eastAsia="zh-CN"/>
              </w:rPr>
              <w:t>Some spec updates are suggested by ZTE, Nokia</w:t>
            </w:r>
            <w:r w:rsidR="00074A63" w:rsidRPr="00AC7A71">
              <w:rPr>
                <w:rFonts w:eastAsia="DengXian"/>
                <w:sz w:val="20"/>
                <w:szCs w:val="20"/>
                <w:lang w:eastAsia="zh-CN"/>
              </w:rPr>
              <w:t>, and Ericsson</w:t>
            </w:r>
            <w:r w:rsidRPr="00AC7A71">
              <w:rPr>
                <w:rFonts w:eastAsia="DengXian"/>
                <w:sz w:val="20"/>
                <w:szCs w:val="20"/>
                <w:lang w:eastAsia="zh-CN"/>
              </w:rPr>
              <w:t xml:space="preserve"> to address the latest design of UE capability of MTRP CPU occupancy.</w:t>
            </w:r>
            <w:r w:rsidR="00074A63" w:rsidRPr="00AC7A71">
              <w:rPr>
                <w:rFonts w:eastAsia="DengXian"/>
                <w:sz w:val="20"/>
                <w:szCs w:val="20"/>
                <w:lang w:eastAsia="zh-CN"/>
              </w:rPr>
              <w:t xml:space="preserve"> Suggested changes are slightly different among proponents. </w:t>
            </w:r>
          </w:p>
          <w:p w14:paraId="0C70C206" w14:textId="77777777" w:rsidR="005D487B" w:rsidRPr="00AC7A71" w:rsidRDefault="005D487B" w:rsidP="00AC7A71">
            <w:pPr>
              <w:snapToGrid w:val="0"/>
              <w:jc w:val="both"/>
              <w:rPr>
                <w:rFonts w:eastAsia="DengXian"/>
                <w:sz w:val="20"/>
                <w:szCs w:val="20"/>
                <w:lang w:eastAsia="zh-CN"/>
              </w:rPr>
            </w:pPr>
          </w:p>
          <w:p w14:paraId="6240A8F6" w14:textId="603E7CC4" w:rsidR="005D487B" w:rsidRPr="00AC7A71" w:rsidRDefault="005D487B"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p>
        </w:tc>
      </w:tr>
      <w:tr w:rsidR="005D487B" w:rsidRPr="00AC7A71" w14:paraId="6A97E2A1" w14:textId="77777777" w:rsidTr="00074A63">
        <w:trPr>
          <w:trHeight w:val="66"/>
        </w:trPr>
        <w:tc>
          <w:tcPr>
            <w:tcW w:w="1696" w:type="dxa"/>
          </w:tcPr>
          <w:p w14:paraId="54967539" w14:textId="77777777" w:rsidR="005D487B" w:rsidRPr="00AC7A71" w:rsidRDefault="005D487B" w:rsidP="00AC7A71">
            <w:pPr>
              <w:snapToGrid w:val="0"/>
              <w:jc w:val="both"/>
              <w:rPr>
                <w:rFonts w:eastAsia="DengXian"/>
                <w:sz w:val="20"/>
                <w:szCs w:val="20"/>
                <w:lang w:eastAsia="zh-CN"/>
              </w:rPr>
            </w:pPr>
          </w:p>
        </w:tc>
        <w:tc>
          <w:tcPr>
            <w:tcW w:w="8080" w:type="dxa"/>
          </w:tcPr>
          <w:p w14:paraId="2B1BF522" w14:textId="77777777" w:rsidR="005D487B" w:rsidRPr="00AC7A71" w:rsidRDefault="005D487B" w:rsidP="00AC7A71">
            <w:pPr>
              <w:snapToGrid w:val="0"/>
              <w:jc w:val="both"/>
              <w:rPr>
                <w:rFonts w:eastAsia="DengXian"/>
                <w:sz w:val="20"/>
                <w:szCs w:val="20"/>
                <w:lang w:eastAsia="zh-CN"/>
              </w:rPr>
            </w:pPr>
          </w:p>
        </w:tc>
      </w:tr>
      <w:tr w:rsidR="00074A63" w:rsidRPr="00AC7A71" w14:paraId="05909B55" w14:textId="77777777" w:rsidTr="00074A63">
        <w:trPr>
          <w:trHeight w:val="66"/>
        </w:trPr>
        <w:tc>
          <w:tcPr>
            <w:tcW w:w="1696" w:type="dxa"/>
          </w:tcPr>
          <w:p w14:paraId="7B70FDE1" w14:textId="6639D36F" w:rsidR="00074A63" w:rsidRPr="00AC7A71" w:rsidRDefault="00074A63" w:rsidP="00AC7A71">
            <w:pPr>
              <w:snapToGrid w:val="0"/>
              <w:jc w:val="both"/>
              <w:rPr>
                <w:rFonts w:eastAsia="DengXian"/>
                <w:sz w:val="20"/>
                <w:szCs w:val="20"/>
                <w:lang w:eastAsia="zh-CN"/>
              </w:rPr>
            </w:pPr>
          </w:p>
        </w:tc>
        <w:tc>
          <w:tcPr>
            <w:tcW w:w="8080" w:type="dxa"/>
          </w:tcPr>
          <w:p w14:paraId="38C8AC8E" w14:textId="77777777" w:rsidR="00074A63" w:rsidRPr="00AC7A71" w:rsidRDefault="00074A63" w:rsidP="00AC7A71">
            <w:pPr>
              <w:snapToGrid w:val="0"/>
              <w:jc w:val="both"/>
              <w:rPr>
                <w:rFonts w:eastAsia="DengXian"/>
                <w:sz w:val="20"/>
                <w:szCs w:val="20"/>
                <w:lang w:eastAsia="zh-CN"/>
              </w:rPr>
            </w:pPr>
          </w:p>
        </w:tc>
      </w:tr>
    </w:tbl>
    <w:p w14:paraId="53713A8A" w14:textId="77777777" w:rsidR="00074A63" w:rsidRPr="00AC7A71" w:rsidRDefault="00074A63" w:rsidP="00AC7A71">
      <w:pPr>
        <w:pStyle w:val="ListParagraph"/>
        <w:snapToGrid w:val="0"/>
        <w:spacing w:after="60" w:line="288" w:lineRule="auto"/>
        <w:jc w:val="both"/>
        <w:rPr>
          <w:rFonts w:ascii="Times New Roman" w:hAnsi="Times New Roman" w:cs="Times New Roman"/>
          <w:sz w:val="20"/>
          <w:szCs w:val="20"/>
        </w:rPr>
      </w:pPr>
    </w:p>
    <w:p w14:paraId="7DAEDE8F" w14:textId="6703A8C6"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#2</w:t>
      </w:r>
      <w:r w:rsidRPr="00AC7A71">
        <w:rPr>
          <w:rFonts w:ascii="Times New Roman" w:hAnsi="Times New Roman" w:cs="Times New Roman"/>
          <w:sz w:val="20"/>
          <w:szCs w:val="20"/>
        </w:rPr>
        <w:t xml:space="preserve">: </w:t>
      </w:r>
      <w:r w:rsidRPr="00AC7A71">
        <w:rPr>
          <w:rFonts w:ascii="Times New Roman" w:hAnsi="Times New Roman" w:cs="Times New Roman"/>
          <w:sz w:val="20"/>
          <w:szCs w:val="20"/>
        </w:rPr>
        <w:t xml:space="preserve">38.214 </w:t>
      </w:r>
      <w:r w:rsidRPr="00AC7A71">
        <w:rPr>
          <w:rFonts w:ascii="Times New Roman" w:hAnsi="Times New Roman" w:cs="Times New Roman"/>
          <w:sz w:val="20"/>
          <w:szCs w:val="20"/>
        </w:rPr>
        <w:t>CSI-RS port restriction for MTRP (R1-2206257, Oppo)</w:t>
      </w:r>
    </w:p>
    <w:tbl>
      <w:tblPr>
        <w:tblStyle w:val="TableGrid"/>
        <w:tblW w:w="9776" w:type="dxa"/>
        <w:tblLayout w:type="fixed"/>
        <w:tblLook w:val="04A0" w:firstRow="1" w:lastRow="0" w:firstColumn="1" w:lastColumn="0" w:noHBand="0" w:noVBand="1"/>
      </w:tblPr>
      <w:tblGrid>
        <w:gridCol w:w="1696"/>
        <w:gridCol w:w="8080"/>
      </w:tblGrid>
      <w:tr w:rsidR="00074A63" w:rsidRPr="00AC7A71" w14:paraId="37563583" w14:textId="77777777" w:rsidTr="00074A63">
        <w:trPr>
          <w:trHeight w:val="53"/>
        </w:trPr>
        <w:tc>
          <w:tcPr>
            <w:tcW w:w="1696" w:type="dxa"/>
            <w:shd w:val="clear" w:color="auto" w:fill="BFBFBF" w:themeFill="background1" w:themeFillShade="BF"/>
          </w:tcPr>
          <w:p w14:paraId="2613545B" w14:textId="77777777" w:rsidR="00074A63" w:rsidRPr="00AC7A71" w:rsidRDefault="00074A63"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4E97F9C7"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6DEB5C1D" w14:textId="77777777" w:rsidTr="00074A63">
        <w:trPr>
          <w:trHeight w:val="66"/>
        </w:trPr>
        <w:tc>
          <w:tcPr>
            <w:tcW w:w="1696" w:type="dxa"/>
          </w:tcPr>
          <w:p w14:paraId="014FC3DA"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7464A6EB"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In R15/16, the maximum number of CSI-RS ports contained by each resource per CSI-RS resource set is 16 when Ks=2 and is 8 when  2&lt;K_s≤8.</w:t>
            </w:r>
            <w:r w:rsidRPr="00AC7A71">
              <w:rPr>
                <w:sz w:val="20"/>
                <w:szCs w:val="20"/>
              </w:rPr>
              <w:t xml:space="preserve"> </w:t>
            </w:r>
            <w:r w:rsidRPr="00AC7A71">
              <w:rPr>
                <w:rFonts w:eastAsia="DengXian"/>
                <w:sz w:val="20"/>
                <w:szCs w:val="20"/>
                <w:lang w:eastAsia="zh-CN"/>
              </w:rPr>
              <w:t xml:space="preserve">For mTRP CSI feedback, the UE complexity to process each S-TRP CSI should not be increased and this restriction can be extended to each CMR group which corresponds to one TRP. </w:t>
            </w:r>
          </w:p>
          <w:p w14:paraId="54648C51"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lastRenderedPageBreak/>
              <w:t>That is, for each CMR group in a CMR set, the maximal number of CSI-RS ports is 16 when the number of CMRs in the CMR group is 2, while the maximal number of CSI-RS ports is 8 when the number of CMRs is larger than 2. If the number of CMR in the CMR group is 1, up to 32 ports can be configured for the CMR.</w:t>
            </w:r>
          </w:p>
          <w:p w14:paraId="3067DE83" w14:textId="77777777" w:rsidR="00074A63" w:rsidRPr="00AC7A71" w:rsidRDefault="00074A63" w:rsidP="00AC7A71">
            <w:pPr>
              <w:snapToGrid w:val="0"/>
              <w:jc w:val="both"/>
              <w:rPr>
                <w:rFonts w:eastAsia="DengXian"/>
                <w:sz w:val="20"/>
                <w:szCs w:val="20"/>
                <w:lang w:eastAsia="zh-CN"/>
              </w:rPr>
            </w:pPr>
          </w:p>
          <w:p w14:paraId="651EE95C" w14:textId="1BD00E53"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 at least to align our understanding.</w:t>
            </w:r>
          </w:p>
        </w:tc>
      </w:tr>
      <w:tr w:rsidR="00074A63" w:rsidRPr="00AC7A71" w14:paraId="6974E296" w14:textId="77777777" w:rsidTr="00074A63">
        <w:trPr>
          <w:trHeight w:val="66"/>
        </w:trPr>
        <w:tc>
          <w:tcPr>
            <w:tcW w:w="1696" w:type="dxa"/>
          </w:tcPr>
          <w:p w14:paraId="7939C1BD" w14:textId="77777777" w:rsidR="00074A63" w:rsidRPr="00AC7A71" w:rsidRDefault="00074A63" w:rsidP="00AC7A71">
            <w:pPr>
              <w:snapToGrid w:val="0"/>
              <w:jc w:val="both"/>
              <w:rPr>
                <w:rFonts w:eastAsia="DengXian"/>
                <w:sz w:val="20"/>
                <w:szCs w:val="20"/>
                <w:lang w:eastAsia="zh-CN"/>
              </w:rPr>
            </w:pPr>
          </w:p>
        </w:tc>
        <w:tc>
          <w:tcPr>
            <w:tcW w:w="8080" w:type="dxa"/>
          </w:tcPr>
          <w:p w14:paraId="37CA5D95" w14:textId="77777777" w:rsidR="00074A63" w:rsidRPr="00AC7A71" w:rsidRDefault="00074A63" w:rsidP="00AC7A71">
            <w:pPr>
              <w:snapToGrid w:val="0"/>
              <w:jc w:val="both"/>
              <w:rPr>
                <w:rFonts w:eastAsia="DengXian"/>
                <w:sz w:val="20"/>
                <w:szCs w:val="20"/>
                <w:lang w:eastAsia="zh-CN"/>
              </w:rPr>
            </w:pPr>
          </w:p>
        </w:tc>
      </w:tr>
      <w:tr w:rsidR="00074A63" w:rsidRPr="00AC7A71" w14:paraId="46D7573B" w14:textId="77777777" w:rsidTr="00074A63">
        <w:trPr>
          <w:trHeight w:val="66"/>
        </w:trPr>
        <w:tc>
          <w:tcPr>
            <w:tcW w:w="1696" w:type="dxa"/>
          </w:tcPr>
          <w:p w14:paraId="6861990C" w14:textId="77777777" w:rsidR="00074A63" w:rsidRPr="00AC7A71" w:rsidRDefault="00074A63" w:rsidP="00AC7A71">
            <w:pPr>
              <w:snapToGrid w:val="0"/>
              <w:jc w:val="both"/>
              <w:rPr>
                <w:rFonts w:eastAsia="DengXian"/>
                <w:sz w:val="20"/>
                <w:szCs w:val="20"/>
                <w:lang w:eastAsia="zh-CN"/>
              </w:rPr>
            </w:pPr>
          </w:p>
        </w:tc>
        <w:tc>
          <w:tcPr>
            <w:tcW w:w="8080" w:type="dxa"/>
          </w:tcPr>
          <w:p w14:paraId="0339434B" w14:textId="77777777" w:rsidR="00074A63" w:rsidRPr="00AC7A71" w:rsidRDefault="00074A63" w:rsidP="00AC7A71">
            <w:pPr>
              <w:snapToGrid w:val="0"/>
              <w:jc w:val="both"/>
              <w:rPr>
                <w:rFonts w:eastAsia="DengXian"/>
                <w:sz w:val="20"/>
                <w:szCs w:val="20"/>
                <w:lang w:eastAsia="zh-CN"/>
              </w:rPr>
            </w:pPr>
          </w:p>
        </w:tc>
      </w:tr>
    </w:tbl>
    <w:p w14:paraId="4BEBA21F" w14:textId="77777777" w:rsidR="00074A63" w:rsidRPr="00AC7A71" w:rsidRDefault="00074A63" w:rsidP="00AC7A71">
      <w:pPr>
        <w:jc w:val="both"/>
        <w:rPr>
          <w:sz w:val="20"/>
          <w:szCs w:val="20"/>
        </w:rPr>
      </w:pPr>
    </w:p>
    <w:p w14:paraId="7F09C704" w14:textId="399FE971"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w:t>
      </w:r>
      <w:r w:rsidRPr="00AC7A71">
        <w:rPr>
          <w:rFonts w:ascii="Times New Roman" w:hAnsi="Times New Roman" w:cs="Times New Roman"/>
          <w:sz w:val="20"/>
          <w:szCs w:val="20"/>
        </w:rPr>
        <w:t>3</w:t>
      </w:r>
      <w:r w:rsidRPr="00AC7A71">
        <w:rPr>
          <w:rFonts w:ascii="Times New Roman" w:hAnsi="Times New Roman" w:cs="Times New Roman"/>
          <w:sz w:val="20"/>
          <w:szCs w:val="20"/>
        </w:rPr>
        <w:t xml:space="preserve">: </w:t>
      </w:r>
      <w:r w:rsidRPr="00AC7A71">
        <w:rPr>
          <w:rFonts w:ascii="Times New Roman" w:hAnsi="Times New Roman" w:cs="Times New Roman"/>
          <w:sz w:val="20"/>
          <w:szCs w:val="20"/>
        </w:rPr>
        <w:t>38.214 Correction on slot offsets of CSI-RS resource pairs</w:t>
      </w:r>
      <w:r w:rsidRPr="00AC7A71">
        <w:rPr>
          <w:rFonts w:ascii="Times New Roman" w:hAnsi="Times New Roman" w:cs="Times New Roman"/>
          <w:sz w:val="20"/>
          <w:szCs w:val="20"/>
        </w:rPr>
        <w:t xml:space="preserve"> (</w:t>
      </w:r>
      <w:r w:rsidRPr="00AC7A71">
        <w:rPr>
          <w:rFonts w:ascii="Times New Roman" w:hAnsi="Times New Roman" w:cs="Times New Roman"/>
          <w:sz w:val="20"/>
          <w:szCs w:val="20"/>
        </w:rPr>
        <w:t>R1-2207528</w:t>
      </w:r>
      <w:r w:rsidRPr="00AC7A71">
        <w:rPr>
          <w:rFonts w:ascii="Times New Roman" w:hAnsi="Times New Roman" w:cs="Times New Roman"/>
          <w:sz w:val="20"/>
          <w:szCs w:val="20"/>
        </w:rPr>
        <w:t xml:space="preserve">, </w:t>
      </w:r>
      <w:r w:rsidRPr="00AC7A71">
        <w:rPr>
          <w:rFonts w:ascii="Times New Roman" w:hAnsi="Times New Roman" w:cs="Times New Roman"/>
          <w:sz w:val="20"/>
          <w:szCs w:val="20"/>
        </w:rPr>
        <w:t>Huawei</w:t>
      </w:r>
      <w:r w:rsidRPr="00AC7A71">
        <w:rPr>
          <w:rFonts w:ascii="Times New Roman" w:hAnsi="Times New Roman" w:cs="Times New Roman"/>
          <w:sz w:val="20"/>
          <w:szCs w:val="20"/>
        </w:rPr>
        <w:t>)</w:t>
      </w:r>
    </w:p>
    <w:tbl>
      <w:tblPr>
        <w:tblStyle w:val="TableGrid"/>
        <w:tblW w:w="9776" w:type="dxa"/>
        <w:tblLayout w:type="fixed"/>
        <w:tblLook w:val="04A0" w:firstRow="1" w:lastRow="0" w:firstColumn="1" w:lastColumn="0" w:noHBand="0" w:noVBand="1"/>
      </w:tblPr>
      <w:tblGrid>
        <w:gridCol w:w="1696"/>
        <w:gridCol w:w="8080"/>
      </w:tblGrid>
      <w:tr w:rsidR="00074A63" w:rsidRPr="00AC7A71" w14:paraId="1A979C91" w14:textId="77777777" w:rsidTr="00074A63">
        <w:trPr>
          <w:trHeight w:val="53"/>
        </w:trPr>
        <w:tc>
          <w:tcPr>
            <w:tcW w:w="1696" w:type="dxa"/>
            <w:shd w:val="clear" w:color="auto" w:fill="BFBFBF" w:themeFill="background1" w:themeFillShade="BF"/>
          </w:tcPr>
          <w:p w14:paraId="3524D84B" w14:textId="77777777" w:rsidR="00074A63" w:rsidRPr="00AC7A71" w:rsidRDefault="00074A63"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618A8831"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33D38F49" w14:textId="77777777" w:rsidTr="00074A63">
        <w:trPr>
          <w:trHeight w:val="66"/>
        </w:trPr>
        <w:tc>
          <w:tcPr>
            <w:tcW w:w="1696" w:type="dxa"/>
          </w:tcPr>
          <w:p w14:paraId="455E1535"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3DEA88FB" w14:textId="2A027F59"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The brackets for configuring slot offsets of the two resources in a CSI resource pair for Multi-TRP CSI measurement shall be removed in order to capture the agreement and avoid ambiguous understanding of CSI-RS resource configuration at time domain.</w:t>
            </w:r>
          </w:p>
          <w:p w14:paraId="401058B9" w14:textId="77777777" w:rsidR="00074A63" w:rsidRPr="00AC7A71" w:rsidRDefault="00074A63" w:rsidP="00AC7A71">
            <w:pPr>
              <w:snapToGrid w:val="0"/>
              <w:jc w:val="both"/>
              <w:rPr>
                <w:rFonts w:eastAsia="DengXian"/>
                <w:sz w:val="20"/>
                <w:szCs w:val="20"/>
                <w:lang w:eastAsia="zh-CN"/>
              </w:rPr>
            </w:pPr>
          </w:p>
          <w:p w14:paraId="6995D32F" w14:textId="12A62C8C"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r w:rsidRPr="00AC7A71">
              <w:rPr>
                <w:rFonts w:eastAsia="DengXian"/>
                <w:sz w:val="20"/>
                <w:szCs w:val="20"/>
                <w:highlight w:val="yellow"/>
                <w:lang w:eastAsia="zh-CN"/>
              </w:rPr>
              <w:t>.</w:t>
            </w:r>
            <w:r w:rsidRPr="00AC7A71">
              <w:rPr>
                <w:rFonts w:eastAsia="DengXian"/>
                <w:sz w:val="20"/>
                <w:szCs w:val="20"/>
                <w:lang w:eastAsia="zh-CN"/>
              </w:rPr>
              <w:t xml:space="preserve"> </w:t>
            </w:r>
          </w:p>
        </w:tc>
      </w:tr>
      <w:tr w:rsidR="00074A63" w:rsidRPr="00AC7A71" w14:paraId="7CE5E04B" w14:textId="77777777" w:rsidTr="00074A63">
        <w:trPr>
          <w:trHeight w:val="66"/>
        </w:trPr>
        <w:tc>
          <w:tcPr>
            <w:tcW w:w="1696" w:type="dxa"/>
          </w:tcPr>
          <w:p w14:paraId="562CBBDC" w14:textId="77777777" w:rsidR="00074A63" w:rsidRPr="00AC7A71" w:rsidRDefault="00074A63" w:rsidP="00AC7A71">
            <w:pPr>
              <w:snapToGrid w:val="0"/>
              <w:jc w:val="both"/>
              <w:rPr>
                <w:rFonts w:eastAsia="DengXian"/>
                <w:sz w:val="20"/>
                <w:szCs w:val="20"/>
                <w:lang w:eastAsia="zh-CN"/>
              </w:rPr>
            </w:pPr>
          </w:p>
        </w:tc>
        <w:tc>
          <w:tcPr>
            <w:tcW w:w="8080" w:type="dxa"/>
          </w:tcPr>
          <w:p w14:paraId="0D2FC6AF" w14:textId="77777777" w:rsidR="00074A63" w:rsidRPr="00AC7A71" w:rsidRDefault="00074A63" w:rsidP="00AC7A71">
            <w:pPr>
              <w:snapToGrid w:val="0"/>
              <w:jc w:val="both"/>
              <w:rPr>
                <w:rFonts w:eastAsia="DengXian"/>
                <w:sz w:val="20"/>
                <w:szCs w:val="20"/>
                <w:lang w:eastAsia="zh-CN"/>
              </w:rPr>
            </w:pPr>
          </w:p>
        </w:tc>
      </w:tr>
      <w:tr w:rsidR="00074A63" w:rsidRPr="00AC7A71" w14:paraId="12E097B2" w14:textId="77777777" w:rsidTr="00074A63">
        <w:trPr>
          <w:trHeight w:val="66"/>
        </w:trPr>
        <w:tc>
          <w:tcPr>
            <w:tcW w:w="1696" w:type="dxa"/>
          </w:tcPr>
          <w:p w14:paraId="4E390BDE" w14:textId="77777777" w:rsidR="00074A63" w:rsidRPr="00AC7A71" w:rsidRDefault="00074A63" w:rsidP="00AC7A71">
            <w:pPr>
              <w:snapToGrid w:val="0"/>
              <w:jc w:val="both"/>
              <w:rPr>
                <w:rFonts w:eastAsia="DengXian"/>
                <w:sz w:val="20"/>
                <w:szCs w:val="20"/>
                <w:lang w:eastAsia="zh-CN"/>
              </w:rPr>
            </w:pPr>
          </w:p>
        </w:tc>
        <w:tc>
          <w:tcPr>
            <w:tcW w:w="8080" w:type="dxa"/>
          </w:tcPr>
          <w:p w14:paraId="7D892F18" w14:textId="77777777" w:rsidR="00074A63" w:rsidRPr="00AC7A71" w:rsidRDefault="00074A63" w:rsidP="00AC7A71">
            <w:pPr>
              <w:snapToGrid w:val="0"/>
              <w:jc w:val="both"/>
              <w:rPr>
                <w:rFonts w:eastAsia="DengXian"/>
                <w:sz w:val="20"/>
                <w:szCs w:val="20"/>
                <w:lang w:eastAsia="zh-CN"/>
              </w:rPr>
            </w:pPr>
          </w:p>
        </w:tc>
      </w:tr>
    </w:tbl>
    <w:p w14:paraId="163C6A11" w14:textId="77777777" w:rsidR="00074A63" w:rsidRPr="00AC7A71" w:rsidRDefault="00074A63" w:rsidP="00AC7A71">
      <w:pPr>
        <w:jc w:val="both"/>
        <w:rPr>
          <w:sz w:val="20"/>
          <w:szCs w:val="20"/>
        </w:rPr>
      </w:pPr>
    </w:p>
    <w:p w14:paraId="5CAEC7D1" w14:textId="46CB64C0"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w:t>
      </w:r>
      <w:r w:rsidRPr="00AC7A71">
        <w:rPr>
          <w:rFonts w:ascii="Times New Roman" w:hAnsi="Times New Roman" w:cs="Times New Roman"/>
          <w:sz w:val="20"/>
          <w:szCs w:val="20"/>
        </w:rPr>
        <w:t>4</w:t>
      </w:r>
      <w:r w:rsidRPr="00AC7A71">
        <w:rPr>
          <w:rFonts w:ascii="Times New Roman" w:hAnsi="Times New Roman" w:cs="Times New Roman"/>
          <w:sz w:val="20"/>
          <w:szCs w:val="20"/>
        </w:rPr>
        <w:t xml:space="preserve">: </w:t>
      </w:r>
      <w:r w:rsidRPr="00AC7A71">
        <w:rPr>
          <w:rFonts w:ascii="Times New Roman" w:hAnsi="Times New Roman" w:cs="Times New Roman"/>
          <w:sz w:val="20"/>
          <w:szCs w:val="20"/>
        </w:rPr>
        <w:t xml:space="preserve">38.213 </w:t>
      </w:r>
      <w:r w:rsidRPr="00AC7A71">
        <w:rPr>
          <w:rFonts w:ascii="Times New Roman" w:hAnsi="Times New Roman" w:cs="Times New Roman"/>
          <w:sz w:val="20"/>
          <w:szCs w:val="20"/>
        </w:rPr>
        <w:t>Correction of CSI assumptions over multiplexing NCJT CSI reports (R1-2207528, Huawei)</w:t>
      </w:r>
    </w:p>
    <w:tbl>
      <w:tblPr>
        <w:tblStyle w:val="TableGrid"/>
        <w:tblW w:w="9776" w:type="dxa"/>
        <w:tblLayout w:type="fixed"/>
        <w:tblLook w:val="04A0" w:firstRow="1" w:lastRow="0" w:firstColumn="1" w:lastColumn="0" w:noHBand="0" w:noVBand="1"/>
      </w:tblPr>
      <w:tblGrid>
        <w:gridCol w:w="1696"/>
        <w:gridCol w:w="8080"/>
      </w:tblGrid>
      <w:tr w:rsidR="00074A63" w:rsidRPr="00AC7A71" w14:paraId="67B1BAEC" w14:textId="77777777" w:rsidTr="00C44DC8">
        <w:trPr>
          <w:trHeight w:val="53"/>
        </w:trPr>
        <w:tc>
          <w:tcPr>
            <w:tcW w:w="1696" w:type="dxa"/>
            <w:shd w:val="clear" w:color="auto" w:fill="BFBFBF" w:themeFill="background1" w:themeFillShade="BF"/>
          </w:tcPr>
          <w:p w14:paraId="38347D82" w14:textId="77777777" w:rsidR="00074A63" w:rsidRPr="00AC7A71" w:rsidRDefault="00074A63"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50BFC33C"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50673290" w14:textId="77777777" w:rsidTr="00C44DC8">
        <w:trPr>
          <w:trHeight w:val="66"/>
        </w:trPr>
        <w:tc>
          <w:tcPr>
            <w:tcW w:w="1696" w:type="dxa"/>
          </w:tcPr>
          <w:p w14:paraId="285CDFAE"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33BEE50C"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 xml:space="preserve">For Rel-17 NCJT CSI reporting, the UE will report a joint RI index corresponding to one of four RI combinations. The assumption that each CSI report indicates rank 1 in 38.213 for CSI report multiplexing is ambiguous when determining PUCCH payload for Part 2 CSI since the joint RI index (or RI combination) can be interpreted differently, for example considering rank combination {1,2} as rank 1. </w:t>
            </w:r>
          </w:p>
          <w:p w14:paraId="5E515E09" w14:textId="3D65CBCF"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Moreover, for NCJT “Mode 2”, the payload of part 2 CSI is varied depending on the preference of transmission hypothesis reported by the UE, i.e. single TRP CSI or NCJT CSI determined by the value of CRI. It gives rise to further ambiguity of determining hypothetical PUCCH resource assignment or a number of part 2 CSI reports if multiplexing NCJT Mode 2 CSI reports.</w:t>
            </w:r>
          </w:p>
          <w:p w14:paraId="0548A4DC" w14:textId="77777777" w:rsidR="00074A63" w:rsidRPr="00AC7A71" w:rsidRDefault="00074A63" w:rsidP="00AC7A71">
            <w:pPr>
              <w:snapToGrid w:val="0"/>
              <w:jc w:val="both"/>
              <w:rPr>
                <w:rFonts w:eastAsia="DengXian"/>
                <w:sz w:val="20"/>
                <w:szCs w:val="20"/>
                <w:lang w:eastAsia="zh-CN"/>
              </w:rPr>
            </w:pPr>
          </w:p>
          <w:p w14:paraId="72916F49"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r w:rsidRPr="00AC7A71">
              <w:rPr>
                <w:rFonts w:eastAsia="DengXian"/>
                <w:sz w:val="20"/>
                <w:szCs w:val="20"/>
                <w:lang w:eastAsia="zh-CN"/>
              </w:rPr>
              <w:t xml:space="preserve"> </w:t>
            </w:r>
          </w:p>
        </w:tc>
      </w:tr>
      <w:tr w:rsidR="00074A63" w:rsidRPr="00AC7A71" w14:paraId="7BDE2B8F" w14:textId="77777777" w:rsidTr="00C44DC8">
        <w:trPr>
          <w:trHeight w:val="66"/>
        </w:trPr>
        <w:tc>
          <w:tcPr>
            <w:tcW w:w="1696" w:type="dxa"/>
          </w:tcPr>
          <w:p w14:paraId="220B9FA6" w14:textId="77777777" w:rsidR="00074A63" w:rsidRPr="00AC7A71" w:rsidRDefault="00074A63" w:rsidP="00AC7A71">
            <w:pPr>
              <w:snapToGrid w:val="0"/>
              <w:jc w:val="both"/>
              <w:rPr>
                <w:rFonts w:eastAsia="DengXian" w:hint="eastAsia"/>
                <w:sz w:val="20"/>
                <w:szCs w:val="20"/>
                <w:lang w:eastAsia="zh-CN"/>
              </w:rPr>
            </w:pPr>
          </w:p>
        </w:tc>
        <w:tc>
          <w:tcPr>
            <w:tcW w:w="8080" w:type="dxa"/>
          </w:tcPr>
          <w:p w14:paraId="32F854E9" w14:textId="77777777" w:rsidR="00074A63" w:rsidRPr="00AC7A71" w:rsidRDefault="00074A63" w:rsidP="00AC7A71">
            <w:pPr>
              <w:snapToGrid w:val="0"/>
              <w:jc w:val="both"/>
              <w:rPr>
                <w:rFonts w:eastAsia="DengXian"/>
                <w:sz w:val="20"/>
                <w:szCs w:val="20"/>
                <w:lang w:eastAsia="zh-CN"/>
              </w:rPr>
            </w:pPr>
          </w:p>
        </w:tc>
      </w:tr>
    </w:tbl>
    <w:p w14:paraId="26BDDC07" w14:textId="77777777" w:rsidR="00074A63" w:rsidRPr="00AC7A71" w:rsidRDefault="00074A63" w:rsidP="00AC7A71">
      <w:pPr>
        <w:jc w:val="both"/>
        <w:rPr>
          <w:sz w:val="20"/>
          <w:szCs w:val="20"/>
        </w:rPr>
      </w:pPr>
    </w:p>
    <w:sectPr w:rsidR="00074A63" w:rsidRPr="00AC7A71">
      <w:pgSz w:w="12240" w:h="15840"/>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F5F7" w16cex:dateUtc="1900-01-01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A6F8C" w16cid:durableId="2614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568AA" w14:textId="77777777" w:rsidR="00E760CA" w:rsidRDefault="00E760CA" w:rsidP="00E0731D">
      <w:r>
        <w:separator/>
      </w:r>
    </w:p>
  </w:endnote>
  <w:endnote w:type="continuationSeparator" w:id="0">
    <w:p w14:paraId="6555E44B" w14:textId="77777777" w:rsidR="00E760CA" w:rsidRDefault="00E760CA" w:rsidP="00E0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6EFD" w14:textId="77777777" w:rsidR="00E760CA" w:rsidRDefault="00E760CA" w:rsidP="00E0731D">
      <w:r>
        <w:separator/>
      </w:r>
    </w:p>
  </w:footnote>
  <w:footnote w:type="continuationSeparator" w:id="0">
    <w:p w14:paraId="71ED5528" w14:textId="77777777" w:rsidR="00E760CA" w:rsidRDefault="00E760CA" w:rsidP="00E07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E261FB"/>
    <w:multiLevelType w:val="multilevel"/>
    <w:tmpl w:val="01E26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3CD3366"/>
    <w:multiLevelType w:val="hybridMultilevel"/>
    <w:tmpl w:val="0BB8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F5030"/>
    <w:multiLevelType w:val="multilevel"/>
    <w:tmpl w:val="24CF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727BFF"/>
    <w:multiLevelType w:val="singleLevel"/>
    <w:tmpl w:val="27727BFF"/>
    <w:lvl w:ilvl="0">
      <w:start w:val="1"/>
      <w:numFmt w:val="decimal"/>
      <w:lvlText w:val="[%1]"/>
      <w:lvlJc w:val="left"/>
      <w:pPr>
        <w:tabs>
          <w:tab w:val="left" w:pos="360"/>
        </w:tabs>
        <w:ind w:left="360" w:hanging="360"/>
      </w:pPr>
      <w:rPr>
        <w:sz w:val="21"/>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7"/>
  </w:num>
  <w:num w:numId="5">
    <w:abstractNumId w:val="37"/>
  </w:num>
  <w:num w:numId="6">
    <w:abstractNumId w:val="9"/>
  </w:num>
  <w:num w:numId="7">
    <w:abstractNumId w:val="26"/>
  </w:num>
  <w:num w:numId="8">
    <w:abstractNumId w:val="23"/>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0"/>
  </w:num>
  <w:num w:numId="13">
    <w:abstractNumId w:val="8"/>
  </w:num>
  <w:num w:numId="14">
    <w:abstractNumId w:val="7"/>
  </w:num>
  <w:num w:numId="15">
    <w:abstractNumId w:val="5"/>
  </w:num>
  <w:num w:numId="16">
    <w:abstractNumId w:val="31"/>
  </w:num>
  <w:num w:numId="17">
    <w:abstractNumId w:val="29"/>
  </w:num>
  <w:num w:numId="18">
    <w:abstractNumId w:val="35"/>
  </w:num>
  <w:num w:numId="19">
    <w:abstractNumId w:val="17"/>
  </w:num>
  <w:num w:numId="20">
    <w:abstractNumId w:val="28"/>
  </w:num>
  <w:num w:numId="21">
    <w:abstractNumId w:val="38"/>
  </w:num>
  <w:num w:numId="22">
    <w:abstractNumId w:val="25"/>
  </w:num>
  <w:num w:numId="23">
    <w:abstractNumId w:val="19"/>
  </w:num>
  <w:num w:numId="24">
    <w:abstractNumId w:val="21"/>
  </w:num>
  <w:num w:numId="25">
    <w:abstractNumId w:val="20"/>
  </w:num>
  <w:num w:numId="26">
    <w:abstractNumId w:val="16"/>
  </w:num>
  <w:num w:numId="27">
    <w:abstractNumId w:val="6"/>
  </w:num>
  <w:num w:numId="28">
    <w:abstractNumId w:val="39"/>
  </w:num>
  <w:num w:numId="29">
    <w:abstractNumId w:val="34"/>
  </w:num>
  <w:num w:numId="30">
    <w:abstractNumId w:val="13"/>
  </w:num>
  <w:num w:numId="31">
    <w:abstractNumId w:val="32"/>
  </w:num>
  <w:num w:numId="32">
    <w:abstractNumId w:val="22"/>
  </w:num>
  <w:num w:numId="33">
    <w:abstractNumId w:val="30"/>
  </w:num>
  <w:num w:numId="34">
    <w:abstractNumId w:val="36"/>
  </w:num>
  <w:num w:numId="35">
    <w:abstractNumId w:val="3"/>
  </w:num>
  <w:num w:numId="36">
    <w:abstractNumId w:val="12"/>
  </w:num>
  <w:num w:numId="37">
    <w:abstractNumId w:val="14"/>
  </w:num>
  <w:num w:numId="38">
    <w:abstractNumId w:val="40"/>
  </w:num>
  <w:num w:numId="39">
    <w:abstractNumId w:val="15"/>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PersonalInformation/>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47128"/>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7113"/>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style>
  <w:style w:type="character" w:customStyle="1" w:styleId="Char11">
    <w:name w:val="날짜 Char1"/>
    <w:basedOn w:val="DefaultParagraphFont"/>
    <w:uiPriority w:val="99"/>
    <w:semiHidden/>
    <w:rPr>
      <w:rFonts w:ascii="Times New Roman" w:eastAsiaTheme="minorEastAsia" w:hAnsi="Times New Roman" w:cs="Times New Roman"/>
      <w:sz w:val="24"/>
      <w:szCs w:val="24"/>
      <w:lang w:eastAsia="ko-KR"/>
    </w:rPr>
  </w:style>
  <w:style w:type="character" w:customStyle="1" w:styleId="DateChar1">
    <w:name w:val="Date Char1"/>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4">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2022-08-16T08:17:00Z</dcterms:created>
  <dcterms:modified xsi:type="dcterms:W3CDTF">2022-08-16T09:09:00Z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ies>
</file>