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301C01" w14:paraId="3731DC8C" w14:textId="77777777" w:rsidTr="001C6875">
        <w:tc>
          <w:tcPr>
            <w:tcW w:w="2830" w:type="dxa"/>
          </w:tcPr>
          <w:p w14:paraId="64D318C0" w14:textId="77777777" w:rsidR="00301C01" w:rsidRDefault="00301C01" w:rsidP="001C6875">
            <w:pPr>
              <w:spacing w:before="120" w:afterLines="50"/>
              <w:rPr>
                <w:rFonts w:eastAsia="Microsoft YaHei"/>
                <w:sz w:val="20"/>
                <w:szCs w:val="20"/>
              </w:rPr>
            </w:pPr>
          </w:p>
        </w:tc>
        <w:tc>
          <w:tcPr>
            <w:tcW w:w="6520" w:type="dxa"/>
          </w:tcPr>
          <w:p w14:paraId="11695C50"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Q1: Yes/No</w:t>
            </w:r>
          </w:p>
          <w:p w14:paraId="12072562"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Q2: If any</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lastRenderedPageBreak/>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lastRenderedPageBreak/>
        <w:t>Randomized / new code-domain resource mapping</w:t>
      </w:r>
    </w:p>
    <w:p w14:paraId="7001BFA3" w14:textId="7A8BB094" w:rsidR="002E3982" w:rsidRPr="002268DF" w:rsidRDefault="002E3982" w:rsidP="00DE4A75">
      <w:pPr>
        <w:numPr>
          <w:ilvl w:val="1"/>
          <w:numId w:val="16"/>
        </w:numPr>
        <w:autoSpaceDE/>
        <w:autoSpaceDN/>
        <w:adjustRightInd/>
        <w:snapToGrid/>
        <w:spacing w:after="160" w:line="259" w:lineRule="auto"/>
      </w:pPr>
      <w:r w:rsidRPr="002268DF">
        <w:t>Cyclic shift (</w:t>
      </w:r>
      <w:r w:rsidR="00AA32F0">
        <w:t>7</w:t>
      </w:r>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r w:rsidRPr="002268DF">
        <w:t>Qualcomm</w:t>
      </w:r>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8"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9"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0"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1"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2"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3"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4"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lastRenderedPageBreak/>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CC32EC8" w:rsidR="00A767B3" w:rsidRDefault="00A767B3" w:rsidP="00305A40">
      <w:pPr>
        <w:numPr>
          <w:ilvl w:val="0"/>
          <w:numId w:val="17"/>
        </w:numPr>
        <w:autoSpaceDE/>
        <w:autoSpaceDN/>
        <w:adjustRightInd/>
        <w:snapToGrid/>
        <w:spacing w:after="160" w:line="259" w:lineRule="auto"/>
        <w:jc w:val="left"/>
      </w:pPr>
      <w:r w:rsidRPr="00995112">
        <w:t>TD OCC (</w:t>
      </w:r>
      <w:del w:id="15" w:author="高毓恺" w:date="2022-05-10T15:36:00Z">
        <w:r w:rsidRPr="00995112" w:rsidDel="009D6FA6">
          <w:delText>6</w:delText>
        </w:r>
      </w:del>
      <w:ins w:id="16" w:author="高毓恺" w:date="2022-05-10T15:36:00Z">
        <w:r w:rsidR="009D6FA6">
          <w:t>7</w:t>
        </w:r>
      </w:ins>
      <w:r w:rsidRPr="00995112">
        <w:t xml:space="preserve">): ZTE, </w:t>
      </w:r>
      <w:proofErr w:type="spellStart"/>
      <w:r w:rsidRPr="00995112">
        <w:t>Spreadtrum</w:t>
      </w:r>
      <w:proofErr w:type="spellEnd"/>
      <w:r w:rsidRPr="00995112">
        <w:t>, CMCC, NTT DOCOMO, Sharp, Intel</w:t>
      </w:r>
      <w:ins w:id="17"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18" w:author="高毓恺" w:date="2022-05-10T15:36:00Z">
        <w:r w:rsidR="00A767B3" w:rsidRPr="002268DF" w:rsidDel="009D6FA6">
          <w:delText>5</w:delText>
        </w:r>
      </w:del>
      <w:ins w:id="19"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2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1" w:name="_Toc90025765"/>
      <w:r>
        <w:t>Enhancements on SRS flexibility, coverage and capacity</w:t>
      </w:r>
      <w:bookmarkEnd w:id="21"/>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2" w:author="Loic Canonne-Velasquez" w:date="2022-05-10T13:17:00Z">
        <w:r w:rsidRPr="002268DF" w:rsidDel="000350B8">
          <w:delText>5</w:delText>
        </w:r>
      </w:del>
      <w:ins w:id="23"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24"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lastRenderedPageBreak/>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25" w:author="Naoya Shibaike" w:date="2022-05-10T15:00:00Z"/>
                <w:rFonts w:ascii="Times New Roman" w:hAnsi="Times New Roman"/>
                <w:b/>
                <w:bCs/>
              </w:rPr>
            </w:pPr>
            <w:ins w:id="2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lastRenderedPageBreak/>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lastRenderedPageBreak/>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3: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7777777" w:rsidR="001B07B3" w:rsidRDefault="001B07B3" w:rsidP="00F53275">
            <w:pPr>
              <w:spacing w:before="120" w:afterLines="50"/>
              <w:rPr>
                <w:rFonts w:eastAsia="Microsoft YaHei"/>
                <w:sz w:val="20"/>
                <w:szCs w:val="20"/>
                <w:lang w:eastAsia="zh-CN"/>
              </w:rPr>
            </w:pPr>
          </w:p>
        </w:tc>
        <w:tc>
          <w:tcPr>
            <w:tcW w:w="6520" w:type="dxa"/>
          </w:tcPr>
          <w:p w14:paraId="4A21792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0131165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3EC5AB08" w14:textId="77777777" w:rsid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4E8E8C53" w14:textId="33938E45"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27" w:name="_Hlk99709641"/>
      <w:r w:rsidRPr="00493C77">
        <w:lastRenderedPageBreak/>
        <w:t>Conclusions</w:t>
      </w:r>
    </w:p>
    <w:bookmarkEnd w:id="27"/>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28" w:name="_Ref124589665"/>
      <w:bookmarkStart w:id="29" w:name="_Ref71620620"/>
      <w:bookmarkStart w:id="30"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1" w:name="_Ref45631853"/>
      <w:bookmarkStart w:id="32" w:name="_Ref6583376"/>
      <w:bookmarkStart w:id="33" w:name="_Ref167612875"/>
      <w:bookmarkStart w:id="34" w:name="_Ref167612671"/>
      <w:bookmarkEnd w:id="28"/>
      <w:bookmarkEnd w:id="29"/>
      <w:bookmarkEnd w:id="30"/>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1"/>
      <w:bookmarkEnd w:id="32"/>
      <w:bookmarkEnd w:id="33"/>
      <w:bookmarkEnd w:id="34"/>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R1-2203382, Enhanced SRS Operation, </w:t>
      </w:r>
      <w:proofErr w:type="spellStart"/>
      <w:r w:rsidRPr="005052AC">
        <w:rPr>
          <w:color w:val="000000" w:themeColor="text1"/>
          <w:sz w:val="22"/>
          <w:szCs w:val="22"/>
        </w:rPr>
        <w:t>InterDigital</w:t>
      </w:r>
      <w:proofErr w:type="spellEnd"/>
      <w:r w:rsidRPr="005052AC">
        <w:rPr>
          <w:color w:val="000000" w:themeColor="text1"/>
          <w:sz w:val="22"/>
          <w:szCs w:val="22"/>
        </w:rPr>
        <w:t>,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A30" w14:textId="77777777" w:rsidR="00684884" w:rsidRDefault="00684884">
      <w:r>
        <w:separator/>
      </w:r>
    </w:p>
  </w:endnote>
  <w:endnote w:type="continuationSeparator" w:id="0">
    <w:p w14:paraId="61C6FDBD" w14:textId="77777777" w:rsidR="00684884" w:rsidRDefault="006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6A0E" w14:textId="77777777" w:rsidR="00684884" w:rsidRDefault="00684884">
      <w:r>
        <w:separator/>
      </w:r>
    </w:p>
  </w:footnote>
  <w:footnote w:type="continuationSeparator" w:id="0">
    <w:p w14:paraId="23AAA548" w14:textId="77777777" w:rsidR="00684884" w:rsidRDefault="0068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7" w15:restartNumberingAfterBreak="0">
    <w:nsid w:val="2D252A2B"/>
    <w:multiLevelType w:val="hybridMultilevel"/>
    <w:tmpl w:val="E15ADFBA"/>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8137197">
    <w:abstractNumId w:val="12"/>
  </w:num>
  <w:num w:numId="2" w16cid:durableId="797799022">
    <w:abstractNumId w:val="8"/>
  </w:num>
  <w:num w:numId="3" w16cid:durableId="842552024">
    <w:abstractNumId w:val="17"/>
  </w:num>
  <w:num w:numId="4" w16cid:durableId="881329439">
    <w:abstractNumId w:val="1"/>
  </w:num>
  <w:num w:numId="5" w16cid:durableId="1705978976">
    <w:abstractNumId w:val="11"/>
  </w:num>
  <w:num w:numId="6" w16cid:durableId="1536188386">
    <w:abstractNumId w:val="19"/>
  </w:num>
  <w:num w:numId="7" w16cid:durableId="917638490">
    <w:abstractNumId w:val="16"/>
  </w:num>
  <w:num w:numId="8" w16cid:durableId="1326317943">
    <w:abstractNumId w:val="14"/>
  </w:num>
  <w:num w:numId="9" w16cid:durableId="1827016060">
    <w:abstractNumId w:val="0"/>
  </w:num>
  <w:num w:numId="10" w16cid:durableId="2112819921">
    <w:abstractNumId w:val="20"/>
  </w:num>
  <w:num w:numId="11" w16cid:durableId="16348477">
    <w:abstractNumId w:val="3"/>
  </w:num>
  <w:num w:numId="12" w16cid:durableId="1999535500">
    <w:abstractNumId w:val="6"/>
  </w:num>
  <w:num w:numId="13" w16cid:durableId="102695643">
    <w:abstractNumId w:val="5"/>
  </w:num>
  <w:num w:numId="14" w16cid:durableId="1097554188">
    <w:abstractNumId w:val="4"/>
  </w:num>
  <w:num w:numId="15" w16cid:durableId="1810514906">
    <w:abstractNumId w:val="21"/>
  </w:num>
  <w:num w:numId="16" w16cid:durableId="338654773">
    <w:abstractNumId w:val="7"/>
  </w:num>
  <w:num w:numId="17" w16cid:durableId="1146166678">
    <w:abstractNumId w:val="15"/>
  </w:num>
  <w:num w:numId="18" w16cid:durableId="1771273556">
    <w:abstractNumId w:val="9"/>
  </w:num>
  <w:num w:numId="19" w16cid:durableId="1468547316">
    <w:abstractNumId w:val="10"/>
  </w:num>
  <w:num w:numId="20" w16cid:durableId="1747605313">
    <w:abstractNumId w:val="18"/>
  </w:num>
  <w:num w:numId="21" w16cid:durableId="194202117">
    <w:abstractNumId w:val="13"/>
  </w:num>
  <w:num w:numId="22" w16cid:durableId="1749840037">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81A"/>
    <w:rsid w:val="00472419"/>
    <w:rsid w:val="0047252F"/>
    <w:rsid w:val="0047286B"/>
    <w:rsid w:val="00472E27"/>
    <w:rsid w:val="00472E55"/>
    <w:rsid w:val="004731B3"/>
    <w:rsid w:val="00473300"/>
    <w:rsid w:val="00473504"/>
    <w:rsid w:val="004740FC"/>
    <w:rsid w:val="00474220"/>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A10C8"/>
    <w:rsid w:val="006A254E"/>
    <w:rsid w:val="006A2C30"/>
    <w:rsid w:val="006A301C"/>
    <w:rsid w:val="006A307F"/>
    <w:rsid w:val="006A3E2B"/>
    <w:rsid w:val="006A3FF2"/>
    <w:rsid w:val="006A44B1"/>
    <w:rsid w:val="006A45AE"/>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D8E"/>
    <w:rsid w:val="00CF195E"/>
    <w:rsid w:val="00CF19DA"/>
    <w:rsid w:val="00CF1C7F"/>
    <w:rsid w:val="00CF1CC0"/>
    <w:rsid w:val="00CF24F8"/>
    <w:rsid w:val="00CF25CF"/>
    <w:rsid w:val="00CF2653"/>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F5AB-EA28-4D52-B4D1-48D1565B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3591</Words>
  <Characters>19460</Characters>
  <Application>Microsoft Office Word</Application>
  <DocSecurity>0</DocSecurity>
  <Lines>162</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Loic Canonne-Velasquez</cp:lastModifiedBy>
  <cp:revision>37</cp:revision>
  <cp:lastPrinted>2007-06-18T22:08:00Z</cp:lastPrinted>
  <dcterms:created xsi:type="dcterms:W3CDTF">2022-05-10T17:01:00Z</dcterms:created>
  <dcterms:modified xsi:type="dcterms:W3CDTF">2022-05-10T17:46:00Z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