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77777777" w:rsidR="00B6418F" w:rsidRDefault="003F249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12A7B9F4" w:rsidR="00A117E4" w:rsidRDefault="00A117E4" w:rsidP="00C77D86">
            <w:pPr>
              <w:spacing w:before="0" w:after="0"/>
              <w:rPr>
                <w:bCs/>
              </w:rPr>
            </w:pPr>
          </w:p>
        </w:tc>
        <w:tc>
          <w:tcPr>
            <w:tcW w:w="7627" w:type="dxa"/>
            <w:shd w:val="clear" w:color="auto" w:fill="auto"/>
          </w:tcPr>
          <w:p w14:paraId="42EE3885" w14:textId="2BFFE2AC" w:rsidR="00A117E4" w:rsidRDefault="00A117E4" w:rsidP="00C77D86"/>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Ack/Nack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lastRenderedPageBreak/>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lastRenderedPageBreak/>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lastRenderedPageBreak/>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r>
                    <w:rPr>
                      <w:i/>
                      <w:iCs/>
                      <w:highlight w:val="yellow"/>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r>
              <w:rPr>
                <w:rFonts w:ascii="Times New Roman" w:hAnsi="Times New Roman"/>
                <w:i/>
                <w:iCs/>
                <w:sz w:val="20"/>
              </w:rPr>
              <w:t>sps</w:t>
            </w:r>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r w:rsidRPr="00055C36">
              <w:rPr>
                <w:i/>
                <w:iCs/>
              </w:rPr>
              <w:t>sps-PUCCH-AN-ResourceID</w:t>
            </w:r>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r w:rsidRPr="00055C36">
                    <w:rPr>
                      <w:i/>
                      <w:iCs/>
                    </w:rPr>
                    <w:t>sps-PUCCH-AN-ResourceID</w:t>
                  </w:r>
                  <w:r w:rsidRPr="00055C36">
                    <w:t xml:space="preserve"> obtained from the first entry in </w:t>
                  </w:r>
                  <w:r w:rsidRPr="00055C36">
                    <w:rPr>
                      <w:i/>
                      <w:iCs/>
                    </w:rPr>
                    <w:t>sps</w:t>
                  </w:r>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P-CSI, SR, etc.</w:t>
            </w:r>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09"/>
        <w:gridCol w:w="8553"/>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w:t>
            </w:r>
            <w:r>
              <w:rPr>
                <w:lang w:eastAsia="zh-CN"/>
              </w:rPr>
              <w:t xml:space="preserve">e do not agree with the statement from the FL that the first SPS PDSCH is a scheduled PDSCH – </w:t>
            </w:r>
            <w:r>
              <w:rPr>
                <w:lang w:eastAsia="zh-CN"/>
              </w:rPr>
              <w:t>the DCI is not a scheduling DCI,</w:t>
            </w:r>
            <w:r>
              <w:rPr>
                <w:lang w:eastAsia="zh-CN"/>
              </w:rPr>
              <w:t xml:space="preserve">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w:t>
            </w:r>
            <w:r>
              <w:rPr>
                <w:lang w:eastAsia="zh-CN"/>
              </w:rPr>
              <w:t>-e</w:t>
            </w:r>
            <w:bookmarkStart w:id="13" w:name="_GoBack"/>
            <w:bookmarkEnd w:id="13"/>
            <w:r>
              <w:rPr>
                <w:lang w:eastAsia="zh-CN"/>
              </w:rPr>
              <w:t>.</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7F683A73" w:rsidR="00AF09F3" w:rsidRDefault="00AF09F3" w:rsidP="00C77D86">
            <w:pPr>
              <w:spacing w:before="0" w:after="0"/>
              <w:rPr>
                <w:bCs/>
                <w:lang w:eastAsia="zh-CN"/>
              </w:rPr>
            </w:pPr>
          </w:p>
        </w:tc>
        <w:tc>
          <w:tcPr>
            <w:tcW w:w="8766" w:type="dxa"/>
          </w:tcPr>
          <w:p w14:paraId="37EC7E5D" w14:textId="6B964880" w:rsidR="00AF09F3" w:rsidRDefault="00AF09F3" w:rsidP="00C77D86">
            <w:pPr>
              <w:spacing w:before="0" w:after="0"/>
              <w:rPr>
                <w:bCs/>
                <w:lang w:eastAsia="zh-CN"/>
              </w:rPr>
            </w:pP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lastRenderedPageBreak/>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lastRenderedPageBreak/>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lastRenderedPageBreak/>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Since almost all companies prefer to have a common TDW(time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lastRenderedPageBreak/>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lastRenderedPageBreak/>
        <w:t>Inter slot freq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In RAN1 104bis-e, the following agreements were made under AI 8.8.1.3. Since RAN1 should trive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lastRenderedPageBreak/>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lastRenderedPageBreak/>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lastRenderedPageBreak/>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lastRenderedPageBreak/>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14:paraId="5A6ED9B9" w14:textId="77777777" w:rsidR="00B6418F" w:rsidRDefault="003F249E">
            <w:pPr>
              <w:spacing w:after="0"/>
              <w:rPr>
                <w:lang w:eastAsia="zh-CN"/>
              </w:rPr>
            </w:pPr>
            <w:r>
              <w:rPr>
                <w:lang w:eastAsia="zh-CN"/>
              </w:rPr>
              <w:lastRenderedPageBreak/>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lastRenderedPageBreak/>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 xml:space="preserve">Option 3) determines the hopping pattern after the actual TDWs, and so the hopping patterns are dynamically determined according to the actual TDWs.  Here, frequency hopping is not </w:t>
            </w:r>
            <w:r>
              <w:rPr>
                <w:lang w:eastAsia="zh-CN"/>
              </w:rPr>
              <w:lastRenderedPageBreak/>
              <w:t>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lastRenderedPageBreak/>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lastRenderedPageBreak/>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At any given instance its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lastRenderedPageBreak/>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1"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lastRenderedPageBreak/>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CB4CB6">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CB4CB6">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CB4CB6">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CB4CB6">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CB4CB6">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CB4CB6">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CB4CB6">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CB4CB6">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CB4CB6">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CB4CB6">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CB4CB6">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CB4CB6">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CB4CB6">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CB4CB6">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CB4CB6">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CB4CB6">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CB4CB6">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CB4CB6">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CB4CB6">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CB4CB6">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CB4CB6">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CB4CB6">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4D7B" w14:textId="77777777" w:rsidR="00CB4CB6" w:rsidRDefault="00CB4CB6">
      <w:pPr>
        <w:spacing w:after="0" w:line="240" w:lineRule="auto"/>
      </w:pPr>
      <w:r>
        <w:separator/>
      </w:r>
    </w:p>
  </w:endnote>
  <w:endnote w:type="continuationSeparator" w:id="0">
    <w:p w14:paraId="33DBAEC0" w14:textId="77777777" w:rsidR="00CB4CB6" w:rsidRDefault="00CB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A392" w14:textId="5DD407CD"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E75493">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5493">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782B" w14:textId="77777777" w:rsidR="00CB4CB6" w:rsidRDefault="00CB4CB6">
      <w:pPr>
        <w:spacing w:after="0" w:line="240" w:lineRule="auto"/>
      </w:pPr>
      <w:r>
        <w:separator/>
      </w:r>
    </w:p>
  </w:footnote>
  <w:footnote w:type="continuationSeparator" w:id="0">
    <w:p w14:paraId="296E6B96" w14:textId="77777777" w:rsidR="00CB4CB6" w:rsidRDefault="00CB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C01F16-977E-4576-98A0-545757CA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11499</Words>
  <Characters>65549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2021-10-19T03:00:00Z</dcterms:created>
  <dcterms:modified xsi:type="dcterms:W3CDTF">2021-10-19T03:03:00Z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