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B00BAF">
            <w:pPr>
              <w:spacing w:after="0"/>
              <w:rPr>
                <w:bCs/>
                <w:lang w:eastAsia="zh-CN"/>
              </w:rPr>
            </w:pPr>
            <w:r>
              <w:rPr>
                <w:bCs/>
                <w:lang w:eastAsia="zh-CN"/>
              </w:rPr>
              <w:lastRenderedPageBreak/>
              <w:t>Ericsson</w:t>
            </w:r>
          </w:p>
        </w:tc>
        <w:tc>
          <w:tcPr>
            <w:tcW w:w="7627" w:type="dxa"/>
          </w:tcPr>
          <w:p w14:paraId="40B7FF9E" w14:textId="77777777" w:rsidR="00325FFA" w:rsidRDefault="00325FFA" w:rsidP="00B00BAF">
            <w:pPr>
              <w:spacing w:after="0"/>
              <w:rPr>
                <w:lang w:eastAsia="zh-CN"/>
              </w:rPr>
            </w:pPr>
            <w:r>
              <w:rPr>
                <w:lang w:eastAsia="zh-CN"/>
              </w:rPr>
              <w:t>Support the proposal</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lastRenderedPageBreak/>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lastRenderedPageBreak/>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w:t>
            </w:r>
            <w:r>
              <w:rPr>
                <w:bCs/>
                <w:lang w:val="en-GB"/>
              </w:rPr>
              <w:lastRenderedPageBreak/>
              <w:t xml:space="preserve">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lastRenderedPageBreak/>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w:t>
      </w:r>
      <w:r w:rsidR="00504102" w:rsidRPr="00504102">
        <w:t xml:space="preserve"> and </w:t>
      </w:r>
      <w:r w:rsidR="00504102" w:rsidRPr="00504102">
        <w:t>HARQ-ACK corresponding to the SPS Release DCI</w:t>
      </w:r>
      <w:r w:rsidR="00504102" w:rsidRPr="00504102">
        <w:t xml:space="preserve">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 xml:space="preserve">FL proposed conclusion </w:t>
      </w:r>
      <w:r>
        <w:rPr>
          <w:b/>
          <w:bCs/>
          <w:color w:val="FF00FF"/>
        </w:rPr>
        <w:t>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ListParagraph"/>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ListParagraph"/>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w:t>
      </w:r>
      <w:r>
        <w:t>comments to the above conclusion</w:t>
      </w:r>
      <w:r>
        <w:t xml:space="preserve">.  </w:t>
      </w:r>
    </w:p>
    <w:tbl>
      <w:tblPr>
        <w:tblStyle w:val="TableGrid"/>
        <w:tblW w:w="0" w:type="auto"/>
        <w:tblLook w:val="04A0" w:firstRow="1" w:lastRow="0" w:firstColumn="1" w:lastColumn="0" w:noHBand="0" w:noVBand="1"/>
      </w:tblPr>
      <w:tblGrid>
        <w:gridCol w:w="2335"/>
        <w:gridCol w:w="7627"/>
      </w:tblGrid>
      <w:tr w:rsidR="00722916" w14:paraId="204AC8A0" w14:textId="77777777" w:rsidTr="00963DF4">
        <w:tc>
          <w:tcPr>
            <w:tcW w:w="2335" w:type="dxa"/>
          </w:tcPr>
          <w:p w14:paraId="0EE8EC88" w14:textId="77777777" w:rsidR="00722916" w:rsidRDefault="00722916" w:rsidP="00963DF4">
            <w:pPr>
              <w:spacing w:before="0" w:after="0"/>
              <w:rPr>
                <w:b/>
                <w:bCs/>
              </w:rPr>
            </w:pPr>
            <w:r>
              <w:rPr>
                <w:b/>
                <w:bCs/>
              </w:rPr>
              <w:t>Company name</w:t>
            </w:r>
          </w:p>
        </w:tc>
        <w:tc>
          <w:tcPr>
            <w:tcW w:w="7627" w:type="dxa"/>
          </w:tcPr>
          <w:p w14:paraId="18C6DE4C" w14:textId="61561429" w:rsidR="00722916" w:rsidRDefault="00722916" w:rsidP="00963DF4">
            <w:pPr>
              <w:spacing w:before="0" w:after="0"/>
              <w:rPr>
                <w:b/>
                <w:bCs/>
              </w:rPr>
            </w:pPr>
            <w:r>
              <w:rPr>
                <w:b/>
                <w:bCs/>
              </w:rPr>
              <w:t>Comment</w:t>
            </w:r>
          </w:p>
        </w:tc>
      </w:tr>
      <w:tr w:rsidR="00722916" w14:paraId="38665C55" w14:textId="77777777" w:rsidTr="00963DF4">
        <w:tc>
          <w:tcPr>
            <w:tcW w:w="2335" w:type="dxa"/>
            <w:shd w:val="clear" w:color="auto" w:fill="auto"/>
          </w:tcPr>
          <w:p w14:paraId="6FFF72BF" w14:textId="36A179C9" w:rsidR="00722916" w:rsidRDefault="00722916" w:rsidP="00963DF4">
            <w:pPr>
              <w:spacing w:before="0" w:after="0"/>
              <w:rPr>
                <w:bCs/>
              </w:rPr>
            </w:pPr>
          </w:p>
        </w:tc>
        <w:tc>
          <w:tcPr>
            <w:tcW w:w="7627" w:type="dxa"/>
            <w:shd w:val="clear" w:color="auto" w:fill="auto"/>
          </w:tcPr>
          <w:p w14:paraId="35E1F44F" w14:textId="2384BF09" w:rsidR="00722916" w:rsidRDefault="00722916" w:rsidP="00963DF4">
            <w:pPr>
              <w:spacing w:before="0" w:after="0"/>
              <w:rPr>
                <w:lang w:eastAsia="zh-CN"/>
              </w:rPr>
            </w:pPr>
          </w:p>
        </w:tc>
      </w:tr>
      <w:tr w:rsidR="00722916" w14:paraId="4F7A57BD" w14:textId="77777777" w:rsidTr="00963DF4">
        <w:tc>
          <w:tcPr>
            <w:tcW w:w="2335" w:type="dxa"/>
          </w:tcPr>
          <w:p w14:paraId="49F0F65B" w14:textId="3D71BA30" w:rsidR="00722916" w:rsidRDefault="00722916" w:rsidP="00963DF4">
            <w:pPr>
              <w:spacing w:before="0" w:after="0"/>
              <w:rPr>
                <w:bCs/>
                <w:lang w:eastAsia="zh-CN"/>
              </w:rPr>
            </w:pPr>
          </w:p>
        </w:tc>
        <w:tc>
          <w:tcPr>
            <w:tcW w:w="7627" w:type="dxa"/>
          </w:tcPr>
          <w:p w14:paraId="5EF74762" w14:textId="6BC9F2BA" w:rsidR="00722916" w:rsidRDefault="00722916" w:rsidP="00963DF4">
            <w:pPr>
              <w:spacing w:before="0" w:after="0"/>
              <w:rPr>
                <w:bCs/>
                <w:lang w:eastAsia="zh-CN"/>
              </w:rPr>
            </w:pP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lastRenderedPageBreak/>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4551A8E0" w14:textId="77777777" w:rsidR="005E0AD8" w:rsidRDefault="005E0AD8">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mc:AlternateContent>
                  <mc:Choice Requires="w16se"/>
                  <mc:Fallback>
                    <w:rFonts w:ascii="Segoe UI Emoji" w:eastAsia="Segoe UI Emoji" w:hAnsi="Segoe UI Emoji" w:cs="Segoe UI Emoji"/>
                  </mc:Fallback>
                </mc:AlternateContent>
                <w:highlight w:val="cyan"/>
                <w:lang w:eastAsia="zh-CN"/>
              </w:rPr>
              <mc:AlternateContent>
                <mc:Choice Requires="w16se">
                  <w16se:symEx w16se:font="Segoe UI Emoji" w16se:char="1F60A"/>
                </mc:Choice>
                <mc:Fallback>
                  <w:t>😊</w:t>
                </mc:Fallback>
              </mc:AlternateConten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lastRenderedPageBreak/>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B00BAF">
            <w:pPr>
              <w:spacing w:after="0"/>
              <w:rPr>
                <w:bCs/>
                <w:lang w:eastAsia="zh-CN"/>
              </w:rPr>
            </w:pPr>
            <w:r>
              <w:rPr>
                <w:bCs/>
                <w:lang w:eastAsia="zh-CN"/>
              </w:rPr>
              <w:t>Ericsson</w:t>
            </w:r>
          </w:p>
        </w:tc>
        <w:tc>
          <w:tcPr>
            <w:tcW w:w="7627" w:type="dxa"/>
          </w:tcPr>
          <w:p w14:paraId="2A26DC8B" w14:textId="77777777" w:rsidR="00FB2EAF" w:rsidRDefault="00FB2EAF" w:rsidP="00B00BAF">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lastRenderedPageBreak/>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B00BAF">
            <w:pPr>
              <w:spacing w:after="0"/>
              <w:rPr>
                <w:bCs/>
                <w:lang w:eastAsia="zh-CN"/>
              </w:rPr>
            </w:pPr>
            <w:r>
              <w:rPr>
                <w:bCs/>
                <w:lang w:eastAsia="zh-CN"/>
              </w:rPr>
              <w:t>Ericsson</w:t>
            </w:r>
          </w:p>
        </w:tc>
        <w:tc>
          <w:tcPr>
            <w:tcW w:w="7627" w:type="dxa"/>
          </w:tcPr>
          <w:p w14:paraId="50437F88" w14:textId="77777777" w:rsidR="00FB2EAF" w:rsidRDefault="00FB2EAF" w:rsidP="00B00BAF">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lastRenderedPageBreak/>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lastRenderedPageBreak/>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xml:space="preserve">, CT, </w:t>
      </w:r>
      <w:proofErr w:type="spellStart"/>
      <w:r w:rsidR="0057173C">
        <w:rPr>
          <w:rFonts w:ascii="Times New Roman" w:eastAsia="SimSun" w:hAnsi="Times New Roman"/>
          <w:b/>
          <w:bCs/>
          <w:sz w:val="20"/>
          <w:szCs w:val="20"/>
          <w:highlight w:val="cyan"/>
        </w:rPr>
        <w:t>Spreadtrum</w:t>
      </w:r>
      <w:proofErr w:type="spellEnd"/>
      <w:r w:rsidR="0057173C">
        <w:rPr>
          <w:rFonts w:ascii="Times New Roman" w:eastAsia="SimSun" w:hAnsi="Times New Roman"/>
          <w:b/>
          <w:bCs/>
          <w:sz w:val="20"/>
          <w:szCs w:val="20"/>
          <w:highlight w:val="cyan"/>
        </w:rPr>
        <w:t>, WILUS, Ericsson</w:t>
      </w:r>
    </w:p>
    <w:p w14:paraId="2A2D010F" w14:textId="4DF69D0F"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ListParagraph"/>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w:t>
      </w:r>
      <w:r>
        <w:rPr>
          <w:rFonts w:ascii="Times New Roman" w:eastAsia="SimSun" w:hAnsi="Times New Roman"/>
          <w:b/>
          <w:bCs/>
          <w:sz w:val="20"/>
          <w:szCs w:val="20"/>
          <w:highlight w:val="cyan"/>
        </w:rPr>
        <w:t xml:space="preserve"> Lenovo/Moto</w:t>
      </w:r>
      <w:r>
        <w:rPr>
          <w:rFonts w:ascii="Times New Roman" w:eastAsia="SimSun" w:hAnsi="Times New Roman"/>
          <w:b/>
          <w:bCs/>
          <w:sz w:val="20"/>
          <w:szCs w:val="20"/>
          <w:highlight w:val="cyan"/>
        </w:rPr>
        <w:t xml:space="preserve">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xml:space="preserve">, ZTE, CMCC, </w:t>
      </w:r>
      <w:proofErr w:type="spellStart"/>
      <w:r w:rsidR="0057173C">
        <w:rPr>
          <w:rFonts w:ascii="Times New Roman" w:eastAsia="SimSun"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lastRenderedPageBreak/>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lastRenderedPageBreak/>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Pr>
                <w:rFonts w:eastAsia="DengXian"/>
                <w:lang w:val="fr-FR" w:eastAsia="zh-CN"/>
              </w:rPr>
              <w:t>the actual window could be determined by events due to dynamic signalling</w:t>
            </w:r>
            <w:r>
              <w:rPr>
                <w:rFonts w:eastAsia="DengXian" w:hint="eastAsia"/>
                <w:lang w:val="fr-FR" w:eastAsia="zh-CN"/>
              </w:rPr>
              <w:t>,</w:t>
            </w:r>
            <w:r>
              <w:rPr>
                <w:rFonts w:eastAsia="DengXian"/>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val="fr-FR" w:eastAsia="zh-CN"/>
              </w:rPr>
              <w:t>actual</w:t>
            </w:r>
            <w:r>
              <w:rPr>
                <w:rFonts w:eastAsia="DengXian"/>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DengXian"/>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B00BAF">
            <w:pPr>
              <w:spacing w:after="0"/>
              <w:rPr>
                <w:bCs/>
                <w:lang w:eastAsia="zh-CN"/>
              </w:rPr>
            </w:pPr>
            <w:r>
              <w:rPr>
                <w:bCs/>
                <w:lang w:eastAsia="zh-CN"/>
              </w:rPr>
              <w:lastRenderedPageBreak/>
              <w:t>Ericsson</w:t>
            </w:r>
          </w:p>
        </w:tc>
        <w:tc>
          <w:tcPr>
            <w:tcW w:w="7627" w:type="dxa"/>
          </w:tcPr>
          <w:p w14:paraId="0FD3CBD5" w14:textId="77777777" w:rsidR="00FB2EAF" w:rsidRDefault="00FB2EAF" w:rsidP="00B00BAF">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B00BAF">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B00BAF">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B00BAF">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B00BAF">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B00BAF">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B00BAF">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B00BAF">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B00BAF">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B00BAF">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B00BAF">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B00BAF">
            <w:pPr>
              <w:pStyle w:val="ListParagraph"/>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lastRenderedPageBreak/>
        <w:t xml:space="preserve">Update </w:t>
      </w:r>
      <w:r w:rsidRPr="000E2F7A">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xml:space="preserve">,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40C0041"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ListParagraph"/>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ListParagraph"/>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ListParagraph"/>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E2F7A" w14:paraId="329D1B54" w14:textId="77777777" w:rsidTr="00963DF4">
        <w:tc>
          <w:tcPr>
            <w:tcW w:w="2335" w:type="dxa"/>
          </w:tcPr>
          <w:p w14:paraId="0B9F82DF" w14:textId="77777777" w:rsidR="000E2F7A" w:rsidRDefault="000E2F7A" w:rsidP="00963DF4">
            <w:pPr>
              <w:spacing w:before="0" w:after="0"/>
              <w:rPr>
                <w:b/>
                <w:bCs/>
              </w:rPr>
            </w:pPr>
            <w:r>
              <w:rPr>
                <w:b/>
                <w:bCs/>
              </w:rPr>
              <w:t>Company name</w:t>
            </w:r>
          </w:p>
        </w:tc>
        <w:tc>
          <w:tcPr>
            <w:tcW w:w="7627" w:type="dxa"/>
          </w:tcPr>
          <w:p w14:paraId="016C4B9B" w14:textId="77777777" w:rsidR="000E2F7A" w:rsidRDefault="000E2F7A" w:rsidP="00963DF4">
            <w:pPr>
              <w:spacing w:before="0" w:after="0"/>
              <w:rPr>
                <w:b/>
                <w:bCs/>
              </w:rPr>
            </w:pPr>
            <w:r>
              <w:rPr>
                <w:b/>
                <w:bCs/>
              </w:rPr>
              <w:t>Comment</w:t>
            </w:r>
          </w:p>
        </w:tc>
      </w:tr>
      <w:tr w:rsidR="000E2F7A" w14:paraId="752B6064" w14:textId="77777777" w:rsidTr="00963DF4">
        <w:tc>
          <w:tcPr>
            <w:tcW w:w="2335" w:type="dxa"/>
            <w:shd w:val="clear" w:color="auto" w:fill="auto"/>
          </w:tcPr>
          <w:p w14:paraId="502E2AD3" w14:textId="490BC679" w:rsidR="000E2F7A" w:rsidRDefault="000E2F7A" w:rsidP="00963DF4">
            <w:pPr>
              <w:spacing w:before="0" w:after="0"/>
              <w:rPr>
                <w:bCs/>
              </w:rPr>
            </w:pPr>
          </w:p>
        </w:tc>
        <w:tc>
          <w:tcPr>
            <w:tcW w:w="7627" w:type="dxa"/>
            <w:shd w:val="clear" w:color="auto" w:fill="auto"/>
          </w:tcPr>
          <w:p w14:paraId="162DC6AC" w14:textId="1A299A29" w:rsidR="000E2F7A" w:rsidRDefault="000E2F7A" w:rsidP="00963DF4">
            <w:pPr>
              <w:spacing w:before="0" w:after="0"/>
              <w:rPr>
                <w:lang w:eastAsia="zh-CN"/>
              </w:rPr>
            </w:pPr>
          </w:p>
        </w:tc>
      </w:tr>
      <w:tr w:rsidR="000E2F7A" w14:paraId="73E7AECB" w14:textId="77777777" w:rsidTr="00963DF4">
        <w:tc>
          <w:tcPr>
            <w:tcW w:w="2335" w:type="dxa"/>
            <w:shd w:val="clear" w:color="auto" w:fill="auto"/>
          </w:tcPr>
          <w:p w14:paraId="1C1DC71A" w14:textId="56121226" w:rsidR="000E2F7A" w:rsidRDefault="000E2F7A" w:rsidP="00963DF4">
            <w:pPr>
              <w:spacing w:before="0" w:after="0"/>
              <w:rPr>
                <w:bCs/>
              </w:rPr>
            </w:pPr>
          </w:p>
        </w:tc>
        <w:tc>
          <w:tcPr>
            <w:tcW w:w="7627" w:type="dxa"/>
            <w:shd w:val="clear" w:color="auto" w:fill="auto"/>
          </w:tcPr>
          <w:p w14:paraId="3D6C0424" w14:textId="63C9F6E8" w:rsidR="000E2F7A" w:rsidRDefault="000E2F7A" w:rsidP="00963DF4">
            <w:pPr>
              <w:spacing w:before="0" w:after="0"/>
              <w:rPr>
                <w:lang w:eastAsia="zh-CN"/>
              </w:rPr>
            </w:pPr>
          </w:p>
        </w:tc>
      </w:tr>
    </w:tbl>
    <w:p w14:paraId="55A57352" w14:textId="77777777" w:rsidR="000E2F7A" w:rsidRDefault="000E2F7A">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w:t>
            </w:r>
            <w:r>
              <w:rPr>
                <w:lang w:eastAsia="zh-CN"/>
              </w:rPr>
              <w:lastRenderedPageBreak/>
              <w:t xml:space="preserve">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lastRenderedPageBreak/>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722033">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722033">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722033">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722033">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722033">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722033">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722033">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722033">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722033">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722033">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722033">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722033">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722033">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722033">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722033">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722033">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722033">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722033">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722033">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722033">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722033">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722033">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56F9" w14:textId="77777777" w:rsidR="00722033" w:rsidRDefault="00722033">
      <w:pPr>
        <w:spacing w:after="0" w:line="240" w:lineRule="auto"/>
      </w:pPr>
      <w:r>
        <w:separator/>
      </w:r>
    </w:p>
  </w:endnote>
  <w:endnote w:type="continuationSeparator" w:id="0">
    <w:p w14:paraId="016C8E8B" w14:textId="77777777" w:rsidR="00722033" w:rsidRDefault="0072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53067D" w:rsidRDefault="00530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53067D" w:rsidRDefault="00530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065DE8A7" w:rsidR="0053067D" w:rsidRDefault="0053067D">
    <w:pPr>
      <w:pStyle w:val="Footer"/>
      <w:ind w:right="360"/>
    </w:pPr>
    <w:r>
      <w:rPr>
        <w:rStyle w:val="PageNumber"/>
      </w:rPr>
      <w:fldChar w:fldCharType="begin"/>
    </w:r>
    <w:r>
      <w:rPr>
        <w:rStyle w:val="PageNumber"/>
      </w:rPr>
      <w:instrText xml:space="preserve"> PAGE </w:instrText>
    </w:r>
    <w:r>
      <w:rPr>
        <w:rStyle w:val="PageNumber"/>
      </w:rPr>
      <w:fldChar w:fldCharType="separate"/>
    </w:r>
    <w:r w:rsidR="001322E1">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22E1">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540B" w14:textId="77777777" w:rsidR="00722033" w:rsidRDefault="00722033">
      <w:pPr>
        <w:spacing w:after="0" w:line="240" w:lineRule="auto"/>
      </w:pPr>
      <w:r>
        <w:separator/>
      </w:r>
    </w:p>
  </w:footnote>
  <w:footnote w:type="continuationSeparator" w:id="0">
    <w:p w14:paraId="1FB1B423" w14:textId="77777777" w:rsidR="00722033" w:rsidRDefault="0072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53067D" w:rsidRDefault="005306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6"/>
  </w:num>
  <w:num w:numId="8">
    <w:abstractNumId w:val="2"/>
  </w:num>
  <w:num w:numId="9">
    <w:abstractNumId w:val="12"/>
  </w:num>
  <w:num w:numId="10">
    <w:abstractNumId w:val="8"/>
  </w:num>
  <w:num w:numId="11">
    <w:abstractNumId w:val="10"/>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9F90445-1BE5-4348-AFE2-F0C406C8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9082</Words>
  <Characters>51773</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2021-10-13T04:47:00Z</dcterms:created>
  <dcterms:modified xsi:type="dcterms:W3CDTF">2021-10-13T04:47:00Z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