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Futurewei]</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r>
        <w:t>Spreadtrum]</w:t>
      </w:r>
    </w:p>
    <w:p w14:paraId="5B368B53" w14:textId="71B771BE" w:rsidR="001A2BAE" w:rsidRDefault="001A2BAE" w:rsidP="001A2BAE">
      <w:pPr>
        <w:pStyle w:val="a"/>
        <w:numPr>
          <w:ilvl w:val="1"/>
          <w:numId w:val="18"/>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Convida</w:t>
      </w:r>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7B9DA513"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4B5DFD">
            <w:pPr>
              <w:pStyle w:val="a"/>
              <w:numPr>
                <w:ilvl w:val="4"/>
                <w:numId w:val="78"/>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4B5DFD">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等线"/>
                <w:lang w:eastAsia="zh-CN"/>
              </w:rPr>
            </w:pPr>
          </w:p>
        </w:tc>
        <w:tc>
          <w:tcPr>
            <w:tcW w:w="7979" w:type="dxa"/>
          </w:tcPr>
          <w:p w14:paraId="633F8CE4" w14:textId="77777777" w:rsidR="00DD69B5" w:rsidRDefault="00DD69B5" w:rsidP="004B5DFD">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DD69B5">
            <w:pPr>
              <w:pStyle w:val="a"/>
              <w:numPr>
                <w:ilvl w:val="0"/>
                <w:numId w:val="87"/>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DD69B5">
            <w:pPr>
              <w:pStyle w:val="a"/>
              <w:numPr>
                <w:ilvl w:val="0"/>
                <w:numId w:val="87"/>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DD69B5">
            <w:pPr>
              <w:pStyle w:val="a"/>
              <w:numPr>
                <w:ilvl w:val="0"/>
                <w:numId w:val="87"/>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DD69B5">
            <w:pPr>
              <w:pStyle w:val="a"/>
              <w:numPr>
                <w:ilvl w:val="0"/>
                <w:numId w:val="86"/>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DD69B5">
            <w:pPr>
              <w:pStyle w:val="a"/>
              <w:numPr>
                <w:ilvl w:val="0"/>
                <w:numId w:val="86"/>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DD69B5">
            <w:pPr>
              <w:pStyle w:val="a"/>
              <w:numPr>
                <w:ilvl w:val="0"/>
                <w:numId w:val="86"/>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DD69B5">
            <w:pPr>
              <w:pStyle w:val="a"/>
              <w:numPr>
                <w:ilvl w:val="0"/>
                <w:numId w:val="86"/>
              </w:numPr>
              <w:rPr>
                <w:rFonts w:eastAsia="等线"/>
                <w:lang w:eastAsia="zh-CN"/>
              </w:rPr>
            </w:pPr>
            <w:r>
              <w:rPr>
                <w:rFonts w:eastAsia="等线"/>
                <w:lang w:eastAsia="zh-CN"/>
              </w:rPr>
              <w:t>Yes.</w:t>
            </w:r>
          </w:p>
          <w:p w14:paraId="7A16A1C2" w14:textId="0EABA3CA" w:rsidR="00DD69B5" w:rsidRDefault="00DD69B5" w:rsidP="00DD69B5">
            <w:pPr>
              <w:pStyle w:val="a"/>
              <w:numPr>
                <w:ilvl w:val="0"/>
                <w:numId w:val="87"/>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等线"/>
                <w:lang w:eastAsia="zh-CN"/>
              </w:rPr>
            </w:pPr>
            <w:r>
              <w:rPr>
                <w:rFonts w:eastAsia="等线"/>
                <w:lang w:eastAsia="zh-CN"/>
              </w:rPr>
              <w:t>Xiaomi</w:t>
            </w:r>
          </w:p>
        </w:tc>
        <w:tc>
          <w:tcPr>
            <w:tcW w:w="7979" w:type="dxa"/>
          </w:tcPr>
          <w:p w14:paraId="050494B2" w14:textId="77777777" w:rsidR="002B197F" w:rsidRDefault="002B197F" w:rsidP="00B466F2">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等线"/>
                <w:lang w:eastAsia="zh-CN"/>
              </w:rPr>
            </w:pPr>
            <w:r>
              <w:rPr>
                <w:bCs/>
              </w:rPr>
              <w:lastRenderedPageBreak/>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lastRenderedPageBreak/>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5134CA">
            <w:pPr>
              <w:pStyle w:val="a"/>
              <w:numPr>
                <w:ilvl w:val="0"/>
                <w:numId w:val="78"/>
              </w:numPr>
            </w:pPr>
            <w:r>
              <w:rPr>
                <w:i/>
                <w:iCs/>
              </w:rPr>
              <w:t xml:space="preserve">Scenario when </w:t>
            </w:r>
            <w:r w:rsidRPr="000565CF">
              <w:rPr>
                <w:i/>
                <w:iCs/>
              </w:rPr>
              <w:t>UE in RRC connected state uses the SIB-1 configured BWP as active BWP</w:t>
            </w:r>
          </w:p>
          <w:p w14:paraId="0F9BE053" w14:textId="77777777" w:rsidR="005134CA" w:rsidRDefault="005134CA" w:rsidP="005134CA">
            <w:pPr>
              <w:pStyle w:val="a"/>
              <w:numPr>
                <w:ilvl w:val="0"/>
                <w:numId w:val="78"/>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5134CA">
            <w:pPr>
              <w:pStyle w:val="a"/>
              <w:numPr>
                <w:ilvl w:val="0"/>
                <w:numId w:val="78"/>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a"/>
        <w:numPr>
          <w:ilvl w:val="0"/>
          <w:numId w:val="23"/>
        </w:numPr>
      </w:pPr>
      <w:r>
        <w:lastRenderedPageBreak/>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t>In [</w:t>
      </w:r>
      <w:r w:rsidRPr="00A92636">
        <w:t>R1-2110357</w:t>
      </w:r>
      <w:r>
        <w:t>, Ericsson]</w:t>
      </w:r>
    </w:p>
    <w:p w14:paraId="364FE93A" w14:textId="3A126432" w:rsidR="001C6433" w:rsidRDefault="001C6433" w:rsidP="00E6293C">
      <w:pPr>
        <w:pStyle w:val="a"/>
        <w:numPr>
          <w:ilvl w:val="1"/>
          <w:numId w:val="23"/>
        </w:numPr>
      </w:pPr>
      <w:r w:rsidRPr="001C6433">
        <w:rPr>
          <w:i/>
          <w:iCs/>
        </w:rPr>
        <w:lastRenderedPageBreak/>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等线"/>
                <w:lang w:eastAsia="ko-KR"/>
              </w:rPr>
            </w:pPr>
            <w:r>
              <w:rPr>
                <w:rFonts w:eastAsia="等线" w:hint="eastAsia"/>
                <w:lang w:eastAsia="ko-KR"/>
              </w:rPr>
              <w:t>LG</w:t>
            </w:r>
          </w:p>
        </w:tc>
        <w:tc>
          <w:tcPr>
            <w:tcW w:w="7985" w:type="dxa"/>
          </w:tcPr>
          <w:p w14:paraId="4527F62A" w14:textId="77777777" w:rsidR="0036245E" w:rsidRDefault="0036245E" w:rsidP="00BD312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hint="eastAsia"/>
                <w:lang w:eastAsia="ko-KR"/>
              </w:rPr>
            </w:pPr>
            <w:r>
              <w:rPr>
                <w:rFonts w:eastAsia="等线" w:hint="eastAsia"/>
                <w:lang w:eastAsia="zh-CN"/>
              </w:rPr>
              <w:t>A</w:t>
            </w:r>
            <w:r>
              <w:rPr>
                <w:rFonts w:eastAsia="等线"/>
                <w:lang w:eastAsia="zh-CN"/>
              </w:rPr>
              <w:t>gree.</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E6293C">
      <w:pPr>
        <w:pStyle w:val="a"/>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E6293C">
      <w:pPr>
        <w:pStyle w:val="a"/>
        <w:numPr>
          <w:ilvl w:val="1"/>
          <w:numId w:val="24"/>
        </w:numPr>
      </w:pPr>
      <w:r>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t>the CFR of GC-PDCCH/PDSCH carrying MCCH is configured by SIBx.</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GC-PDCCH/PDSCH carrying MCCH can be configured by SIBx</w:t>
      </w:r>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r>
        <w:t>Spreadtrum]</w:t>
      </w:r>
    </w:p>
    <w:p w14:paraId="3507591D" w14:textId="66FA5E96" w:rsidR="004266F5" w:rsidRDefault="004266F5" w:rsidP="00E6293C">
      <w:pPr>
        <w:pStyle w:val="a"/>
        <w:numPr>
          <w:ilvl w:val="1"/>
          <w:numId w:val="20"/>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 xml:space="preserve">The first is that RRC_CONNECTED UEs can both receive broadcast service and multicast service, and it is no sense to define different CSS types and different PDCCH monitoring priority rules </w:t>
      </w:r>
      <w:r>
        <w:lastRenderedPageBreak/>
        <w:t>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 xml:space="preserve">On the other hand, if the specific common frequency resource is configured within the initial DL BWP, a common CORESET other than CORESET 0 can be configured within the specific common </w:t>
      </w:r>
      <w:r>
        <w:lastRenderedPageBreak/>
        <w:t>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Convida]</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lastRenderedPageBreak/>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Spreadtrum</w:t>
      </w:r>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lastRenderedPageBreak/>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lastRenderedPageBreak/>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AsusTek</w:t>
      </w:r>
      <w:r>
        <w:t>]</w:t>
      </w:r>
    </w:p>
    <w:p w14:paraId="65E48090" w14:textId="596E5176" w:rsidR="00C31B5C" w:rsidRDefault="00624550" w:rsidP="00C31B5C">
      <w:pPr>
        <w:pStyle w:val="a"/>
        <w:numPr>
          <w:ilvl w:val="1"/>
          <w:numId w:val="18"/>
        </w:numPr>
      </w:pPr>
      <w:r w:rsidRPr="00624550">
        <w:lastRenderedPageBreak/>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ZTE, Spreadtrum, OPPO, MediaTek</w:t>
      </w:r>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[Huawei, Spreadtrum, CATT, CMCC, Xiaomi, Samsung, Intel, DOCOMO, Apple, Google, AsusTek]</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hint="eastAsia"/>
                <w:lang w:eastAsia="zh-CN"/>
              </w:rPr>
            </w:pPr>
            <w:r>
              <w:rPr>
                <w:rFonts w:eastAsia="等线" w:hint="eastAsia"/>
                <w:lang w:eastAsia="zh-CN"/>
              </w:rPr>
              <w:t>S</w:t>
            </w:r>
            <w:r>
              <w:rPr>
                <w:rFonts w:eastAsia="Malgun Gothic"/>
                <w:lang w:eastAsia="ko-KR"/>
              </w:rPr>
              <w:t>ince both alt 1 and alt 2 can work, we suggest take the majority view, i.e., alt 2.</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B37D08">
      <w:pPr>
        <w:pStyle w:val="a"/>
        <w:numPr>
          <w:ilvl w:val="0"/>
          <w:numId w:val="24"/>
        </w:numPr>
      </w:pPr>
      <w:r>
        <w:t>In [</w:t>
      </w:r>
      <w:r w:rsidR="004923FF" w:rsidRPr="004923FF">
        <w:t>R1-2108928</w:t>
      </w:r>
      <w:r w:rsidR="004923FF">
        <w:t>, Spreadtrum</w:t>
      </w:r>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lastRenderedPageBreak/>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lastRenderedPageBreak/>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 xml:space="preserve">Es. </w:t>
      </w:r>
      <w:r w:rsidR="00F02CDF">
        <w:lastRenderedPageBreak/>
        <w:t>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lastRenderedPageBreak/>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lastRenderedPageBreak/>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F56374">
            <w:pPr>
              <w:pStyle w:val="a"/>
              <w:numPr>
                <w:ilvl w:val="0"/>
                <w:numId w:val="24"/>
              </w:numPr>
            </w:pPr>
            <w:r w:rsidRPr="00DD1C65">
              <w:t>HARQ Process Number</w:t>
            </w:r>
          </w:p>
          <w:p w14:paraId="452BE3B6" w14:textId="77777777" w:rsidR="00F56374" w:rsidRDefault="00F56374" w:rsidP="00F56374">
            <w:pPr>
              <w:pStyle w:val="a"/>
              <w:numPr>
                <w:ilvl w:val="0"/>
                <w:numId w:val="24"/>
              </w:numPr>
            </w:pPr>
            <w:r w:rsidRPr="00DD1C65">
              <w:t>New Data Indicator</w:t>
            </w:r>
          </w:p>
          <w:p w14:paraId="7897C2C7" w14:textId="3FCBA6D7" w:rsidR="00F56374" w:rsidRPr="00E575BD" w:rsidRDefault="00F56374" w:rsidP="00F56374">
            <w:pPr>
              <w:pStyle w:val="a"/>
              <w:numPr>
                <w:ilvl w:val="0"/>
                <w:numId w:val="24"/>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hint="eastAsia"/>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r w:rsidR="00A67BE4">
        <w:t>Convida</w:t>
      </w:r>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t>CORESET#0 (default option if CFR is the initial BWP and CORESET is not configured); or</w:t>
      </w:r>
    </w:p>
    <w:p w14:paraId="4E57EEAA" w14:textId="77777777" w:rsidR="00565678" w:rsidRDefault="00565678" w:rsidP="00565678">
      <w:pPr>
        <w:pStyle w:val="a"/>
        <w:numPr>
          <w:ilvl w:val="3"/>
          <w:numId w:val="24"/>
        </w:numPr>
      </w:pPr>
      <w:r>
        <w:lastRenderedPageBreak/>
        <w:t>CORESET configured by commonControlResourceSet; or</w:t>
      </w:r>
    </w:p>
    <w:p w14:paraId="7C52DDD4" w14:textId="2BAAA2FE" w:rsidR="00A43B2C" w:rsidRDefault="00565678" w:rsidP="00565678">
      <w:pPr>
        <w:pStyle w:val="a"/>
        <w:numPr>
          <w:ilvl w:val="3"/>
          <w:numId w:val="24"/>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lastRenderedPageBreak/>
        <w:t>Tdoc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Proposal 11: pdsch-AggregationFactor and repetitionNumber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(Config A) UE can be optionally configured with pdsch-AggregationFactor.</w:t>
      </w:r>
    </w:p>
    <w:p w14:paraId="2D5EA4A0" w14:textId="77777777" w:rsidR="00C3141D" w:rsidRDefault="00C3141D" w:rsidP="00C3141D">
      <w:pPr>
        <w:pStyle w:val="a"/>
        <w:numPr>
          <w:ilvl w:val="2"/>
          <w:numId w:val="23"/>
        </w:numPr>
      </w:pPr>
      <w:r>
        <w:t xml:space="preserve">(Config B) UE can be optionally configured with TDRA table with repetitionNumber as part of the TDRA table. </w:t>
      </w:r>
    </w:p>
    <w:p w14:paraId="22DE639F" w14:textId="77777777" w:rsidR="00C3141D" w:rsidRDefault="00C3141D" w:rsidP="00C3141D">
      <w:pPr>
        <w:pStyle w:val="a"/>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Convida]</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BD3125">
            <w:pPr>
              <w:rPr>
                <w:rFonts w:eastAsia="等线"/>
                <w:lang w:eastAsia="ko-KR"/>
              </w:rPr>
            </w:pPr>
            <w:r>
              <w:rPr>
                <w:rFonts w:eastAsia="等线" w:hint="eastAsia"/>
                <w:lang w:eastAsia="ko-KR"/>
              </w:rPr>
              <w:t>LG</w:t>
            </w:r>
          </w:p>
        </w:tc>
        <w:tc>
          <w:tcPr>
            <w:tcW w:w="7985" w:type="dxa"/>
          </w:tcPr>
          <w:p w14:paraId="602FD71C" w14:textId="77777777" w:rsidR="0036245E" w:rsidRDefault="0036245E" w:rsidP="00BD312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85" w:type="dxa"/>
          </w:tcPr>
          <w:p w14:paraId="00DB2ED4" w14:textId="09DEDA26" w:rsidR="005134CA" w:rsidRDefault="005134CA" w:rsidP="005134CA">
            <w:pPr>
              <w:rPr>
                <w:rFonts w:eastAsia="等线" w:hint="eastAsia"/>
                <w:lang w:eastAsia="ko-KR"/>
              </w:rPr>
            </w:pPr>
            <w:r>
              <w:rPr>
                <w:rFonts w:eastAsia="等线" w:hint="eastAsia"/>
                <w:lang w:eastAsia="zh-CN"/>
              </w:rPr>
              <w:t>O</w:t>
            </w:r>
            <w:r>
              <w:rPr>
                <w:rFonts w:eastAsia="等线"/>
                <w:lang w:eastAsia="zh-CN"/>
              </w:rPr>
              <w:t>K</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r>
        <w:rPr>
          <w:b/>
          <w:bCs/>
        </w:rPr>
        <w:t>Tdoc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lastRenderedPageBreak/>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lastRenderedPageBreak/>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BD3125">
            <w:pPr>
              <w:rPr>
                <w:rFonts w:eastAsia="等线"/>
                <w:lang w:eastAsia="ko-KR"/>
              </w:rPr>
            </w:pPr>
            <w:r>
              <w:rPr>
                <w:rFonts w:eastAsia="等线" w:hint="eastAsia"/>
                <w:lang w:eastAsia="ko-KR"/>
              </w:rPr>
              <w:t>LG</w:t>
            </w:r>
          </w:p>
        </w:tc>
        <w:tc>
          <w:tcPr>
            <w:tcW w:w="7985" w:type="dxa"/>
          </w:tcPr>
          <w:p w14:paraId="33068588" w14:textId="77777777" w:rsidR="0036245E" w:rsidRDefault="0036245E" w:rsidP="00BD312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hint="eastAsia"/>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lastRenderedPageBreak/>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r>
        <w:rPr>
          <w:b/>
          <w:bCs/>
        </w:rPr>
        <w:t>Tdoc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t>the PDCCH monitoring occasion(s) in slot n_slot in the frame SFN is given by (SFN∙N_slot+n_slot-O_(G-RNTI) )mod K_(G-RNTI)=0, where N_slot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lastRenderedPageBreak/>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Option 1: PDCCH MOs in one MBS-window length are allocated to different SSBs successively, same as the PDCCH MOs for SIBx.</w:t>
      </w:r>
    </w:p>
    <w:p w14:paraId="313784FF" w14:textId="09DAFAD9" w:rsidR="00DB1D00" w:rsidRDefault="000A4367" w:rsidP="00F434AF">
      <w:pPr>
        <w:pStyle w:val="a"/>
        <w:numPr>
          <w:ilvl w:val="2"/>
          <w:numId w:val="23"/>
        </w:numPr>
      </w:pPr>
      <w:r>
        <w:t>Option 2: PDCCH MOs in one MBS-window length are allocated to one SSB with consecutive MOs.</w:t>
      </w:r>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8"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9"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0"/>
      <w:bookmarkEnd w:id="11"/>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等线"/>
                <w:lang w:eastAsia="ko-KR"/>
              </w:rPr>
            </w:pPr>
            <w:r>
              <w:rPr>
                <w:rFonts w:eastAsia="等线"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w:t>
            </w:r>
            <w:r>
              <w:rPr>
                <w:bCs/>
                <w:iCs/>
                <w:lang w:eastAsia="zh-CN"/>
              </w:rPr>
              <w:lastRenderedPageBreak/>
              <w:t xml:space="preserve">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hint="eastAsia"/>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13"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13"/>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lastRenderedPageBreak/>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UE may assume that the GC-PDCCH/PDSCH is QCL’d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BD312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lastRenderedPageBreak/>
              <w:t xml:space="preserve">For initializing scrambling sequence generator for GC-PDCCH with the second DCI format, </w:t>
            </w:r>
          </w:p>
          <w:p w14:paraId="64B62EFD" w14:textId="77777777" w:rsidR="00DB7594" w:rsidRPr="00DB7594" w:rsidRDefault="00EF44B5"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EF44B5"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EF44B5"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EF44B5"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r>
        <w:rPr>
          <w:b/>
          <w:bCs/>
        </w:rPr>
        <w:t>Tdoc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1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21.45pt" o:ole="">
            <v:imagedata r:id="rId9" o:title=""/>
          </v:shape>
          <o:OLEObject Type="Embed" ProgID="Equation.DSMT4" ShapeID="_x0000_i1025" DrawAspect="Content" ObjectID="_1695570468" r:id="rId10"/>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6pt;height:21.45pt" o:ole="">
            <v:imagedata r:id="rId11" o:title=""/>
          </v:shape>
          <o:OLEObject Type="Embed" ProgID="Equation.DSMT4" ShapeID="_x0000_i1026" DrawAspect="Content" ObjectID="_1695570469"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3pt;height:21.45pt" o:ole="">
            <v:imagedata r:id="rId9" o:title=""/>
          </v:shape>
          <o:OLEObject Type="Embed" ProgID="Equation.DSMT4" ShapeID="_x0000_i1027" DrawAspect="Content" ObjectID="_1695570470"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6pt;height:21.45pt" o:ole="">
            <v:imagedata r:id="rId11" o:title=""/>
          </v:shape>
          <o:OLEObject Type="Embed" ProgID="Equation.DSMT4" ShapeID="_x0000_i1028" DrawAspect="Content" ObjectID="_1695570471" r:id="rId14"/>
        </w:object>
      </w:r>
      <w:r w:rsidRPr="00E07984">
        <w:rPr>
          <w:bCs/>
        </w:rPr>
        <w:t xml:space="preserve"> corresponds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2.3pt;height:22.3pt" o:ole="">
            <v:imagedata r:id="rId15" o:title=""/>
          </v:shape>
          <o:OLEObject Type="Embed" ProgID="Equation.DSMT4" ShapeID="_x0000_i1029" DrawAspect="Content" ObjectID="_1695570472" r:id="rId16"/>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55pt;height:22.3pt" o:ole="">
            <v:imagedata r:id="rId17" o:title=""/>
          </v:shape>
          <o:OLEObject Type="Embed" ProgID="Equation.DSMT4" ShapeID="_x0000_i1030" DrawAspect="Content" ObjectID="_1695570473"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2.3pt;height:22.3pt" o:ole="">
            <v:imagedata r:id="rId19" o:title=""/>
          </v:shape>
          <o:OLEObject Type="Embed" ProgID="Equation.DSMT4" ShapeID="_x0000_i1031" DrawAspect="Content" ObjectID="_1695570474" r:id="rId20"/>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55pt;height:22.3pt" o:ole="">
            <v:imagedata r:id="rId21" o:title=""/>
          </v:shape>
          <o:OLEObject Type="Embed" ProgID="Equation.DSMT4" ShapeID="_x0000_i1032" DrawAspect="Content" ObjectID="_1695570475" r:id="rId22"/>
        </w:object>
      </w:r>
      <w:r w:rsidRPr="00E07984">
        <w:rPr>
          <w:bCs/>
        </w:rPr>
        <w:t>if not configured.</w:t>
      </w:r>
      <w:bookmarkEnd w:id="14"/>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EF44B5"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EF44B5"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EF44B5"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EF44B5"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EF44B5"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EF44B5"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Malgun Gothic"/>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EF44B5"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EF44B5"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EF44B5"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EF44B5"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EF44B5"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EF44B5"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EF44B5"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EF44B5"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EF44B5"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EF44B5"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lastRenderedPageBreak/>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BD312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BD312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hint="eastAsia"/>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lastRenderedPageBreak/>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 w:name="OLE_LINK57"/>
            <w:bookmarkStart w:id="1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61"/>
            <w:bookmarkStart w:id="18" w:name="OLE_LINK60"/>
            <w:bookmarkStart w:id="19" w:name="OLE_LINK59"/>
            <w:bookmarkEnd w:id="15"/>
            <w:bookmarkEnd w:id="1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7"/>
          <w:bookmarkEnd w:id="18"/>
          <w:bookmarkEnd w:id="1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0" w:name="OLE_LINK4"/>
            <w:bookmarkStart w:id="21" w:name="OLE_LINK3"/>
            <w:bookmarkStart w:id="22" w:name="OLE_LINK2"/>
            <w:bookmarkStart w:id="2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0"/>
            <w:bookmarkEnd w:id="21"/>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2"/>
          <w:bookmarkEnd w:id="2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55B26" w14:textId="77777777" w:rsidR="00EF44B5" w:rsidRDefault="00EF44B5">
      <w:pPr>
        <w:spacing w:after="0"/>
      </w:pPr>
      <w:r>
        <w:separator/>
      </w:r>
    </w:p>
  </w:endnote>
  <w:endnote w:type="continuationSeparator" w:id="0">
    <w:p w14:paraId="7AF7AF45" w14:textId="77777777" w:rsidR="00EF44B5" w:rsidRDefault="00EF4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E507918" w:rsidR="00773905" w:rsidRDefault="00773905">
    <w:pPr>
      <w:pStyle w:val="aa"/>
    </w:pPr>
    <w:r>
      <w:rPr>
        <w:noProof w:val="0"/>
      </w:rPr>
      <w:fldChar w:fldCharType="begin"/>
    </w:r>
    <w:r>
      <w:instrText xml:space="preserve"> PAGE   \* MERGEFORMAT </w:instrText>
    </w:r>
    <w:r>
      <w:rPr>
        <w:noProof w:val="0"/>
      </w:rPr>
      <w:fldChar w:fldCharType="separate"/>
    </w:r>
    <w:r w:rsidR="00422625">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7FAF5" w14:textId="77777777" w:rsidR="00EF44B5" w:rsidRDefault="00EF44B5">
      <w:pPr>
        <w:spacing w:after="0"/>
      </w:pPr>
      <w:r>
        <w:separator/>
      </w:r>
    </w:p>
  </w:footnote>
  <w:footnote w:type="continuationSeparator" w:id="0">
    <w:p w14:paraId="5DA87C51" w14:textId="77777777" w:rsidR="00EF44B5" w:rsidRDefault="00EF44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7"/>
  </w:num>
  <w:num w:numId="4">
    <w:abstractNumId w:val="49"/>
  </w:num>
  <w:num w:numId="5">
    <w:abstractNumId w:val="41"/>
  </w:num>
  <w:num w:numId="6">
    <w:abstractNumId w:val="33"/>
  </w:num>
  <w:num w:numId="7">
    <w:abstractNumId w:val="12"/>
  </w:num>
  <w:num w:numId="8">
    <w:abstractNumId w:val="5"/>
  </w:num>
  <w:num w:numId="9">
    <w:abstractNumId w:val="30"/>
  </w:num>
  <w:num w:numId="10">
    <w:abstractNumId w:val="14"/>
  </w:num>
  <w:num w:numId="11">
    <w:abstractNumId w:val="28"/>
  </w:num>
  <w:num w:numId="12">
    <w:abstractNumId w:val="70"/>
  </w:num>
  <w:num w:numId="13">
    <w:abstractNumId w:val="50"/>
  </w:num>
  <w:num w:numId="14">
    <w:abstractNumId w:val="61"/>
  </w:num>
  <w:num w:numId="15">
    <w:abstractNumId w:val="47"/>
  </w:num>
  <w:num w:numId="16">
    <w:abstractNumId w:val="50"/>
  </w:num>
  <w:num w:numId="1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6"/>
  </w:num>
  <w:num w:numId="20">
    <w:abstractNumId w:val="48"/>
  </w:num>
  <w:num w:numId="21">
    <w:abstractNumId w:val="64"/>
  </w:num>
  <w:num w:numId="22">
    <w:abstractNumId w:val="65"/>
  </w:num>
  <w:num w:numId="23">
    <w:abstractNumId w:val="76"/>
  </w:num>
  <w:num w:numId="24">
    <w:abstractNumId w:val="62"/>
  </w:num>
  <w:num w:numId="25">
    <w:abstractNumId w:val="74"/>
  </w:num>
  <w:num w:numId="26">
    <w:abstractNumId w:val="36"/>
  </w:num>
  <w:num w:numId="27">
    <w:abstractNumId w:val="25"/>
  </w:num>
  <w:num w:numId="28">
    <w:abstractNumId w:val="26"/>
  </w:num>
  <w:num w:numId="29">
    <w:abstractNumId w:val="11"/>
  </w:num>
  <w:num w:numId="30">
    <w:abstractNumId w:val="43"/>
  </w:num>
  <w:num w:numId="31">
    <w:abstractNumId w:val="7"/>
  </w:num>
  <w:num w:numId="32">
    <w:abstractNumId w:val="54"/>
  </w:num>
  <w:num w:numId="33">
    <w:abstractNumId w:val="79"/>
  </w:num>
  <w:num w:numId="34">
    <w:abstractNumId w:val="32"/>
  </w:num>
  <w:num w:numId="35">
    <w:abstractNumId w:val="6"/>
  </w:num>
  <w:num w:numId="36">
    <w:abstractNumId w:val="29"/>
  </w:num>
  <w:num w:numId="37">
    <w:abstractNumId w:val="44"/>
  </w:num>
  <w:num w:numId="38">
    <w:abstractNumId w:val="46"/>
  </w:num>
  <w:num w:numId="39">
    <w:abstractNumId w:val="23"/>
  </w:num>
  <w:num w:numId="40">
    <w:abstractNumId w:val="17"/>
  </w:num>
  <w:num w:numId="41">
    <w:abstractNumId w:val="18"/>
  </w:num>
  <w:num w:numId="42">
    <w:abstractNumId w:val="57"/>
  </w:num>
  <w:num w:numId="43">
    <w:abstractNumId w:val="75"/>
  </w:num>
  <w:num w:numId="44">
    <w:abstractNumId w:val="13"/>
  </w:num>
  <w:num w:numId="45">
    <w:abstractNumId w:val="39"/>
  </w:num>
  <w:num w:numId="46">
    <w:abstractNumId w:val="72"/>
  </w:num>
  <w:num w:numId="47">
    <w:abstractNumId w:val="56"/>
  </w:num>
  <w:num w:numId="48">
    <w:abstractNumId w:val="34"/>
  </w:num>
  <w:num w:numId="49">
    <w:abstractNumId w:val="60"/>
  </w:num>
  <w:num w:numId="50">
    <w:abstractNumId w:val="58"/>
  </w:num>
  <w:num w:numId="51">
    <w:abstractNumId w:val="22"/>
  </w:num>
  <w:num w:numId="52">
    <w:abstractNumId w:val="40"/>
  </w:num>
  <w:num w:numId="53">
    <w:abstractNumId w:val="83"/>
  </w:num>
  <w:num w:numId="54">
    <w:abstractNumId w:val="68"/>
  </w:num>
  <w:num w:numId="55">
    <w:abstractNumId w:val="55"/>
  </w:num>
  <w:num w:numId="56">
    <w:abstractNumId w:val="24"/>
  </w:num>
  <w:num w:numId="57">
    <w:abstractNumId w:val="19"/>
  </w:num>
  <w:num w:numId="58">
    <w:abstractNumId w:val="69"/>
  </w:num>
  <w:num w:numId="59">
    <w:abstractNumId w:val="78"/>
  </w:num>
  <w:num w:numId="60">
    <w:abstractNumId w:val="35"/>
  </w:num>
  <w:num w:numId="61">
    <w:abstractNumId w:val="9"/>
  </w:num>
  <w:num w:numId="62">
    <w:abstractNumId w:val="66"/>
  </w:num>
  <w:num w:numId="63">
    <w:abstractNumId w:val="10"/>
  </w:num>
  <w:num w:numId="64">
    <w:abstractNumId w:val="20"/>
  </w:num>
  <w:num w:numId="65">
    <w:abstractNumId w:val="45"/>
  </w:num>
  <w:num w:numId="66">
    <w:abstractNumId w:val="71"/>
  </w:num>
  <w:num w:numId="67">
    <w:abstractNumId w:val="59"/>
  </w:num>
  <w:num w:numId="68">
    <w:abstractNumId w:val="1"/>
  </w:num>
  <w:num w:numId="69">
    <w:abstractNumId w:val="21"/>
  </w:num>
  <w:num w:numId="70">
    <w:abstractNumId w:val="6"/>
  </w:num>
  <w:num w:numId="71">
    <w:abstractNumId w:val="80"/>
  </w:num>
  <w:num w:numId="72">
    <w:abstractNumId w:val="8"/>
  </w:num>
  <w:num w:numId="73">
    <w:abstractNumId w:val="37"/>
  </w:num>
  <w:num w:numId="74">
    <w:abstractNumId w:val="0"/>
  </w:num>
  <w:num w:numId="75">
    <w:abstractNumId w:val="81"/>
  </w:num>
  <w:num w:numId="76">
    <w:abstractNumId w:val="73"/>
  </w:num>
  <w:num w:numId="77">
    <w:abstractNumId w:val="15"/>
  </w:num>
  <w:num w:numId="78">
    <w:abstractNumId w:val="38"/>
  </w:num>
  <w:num w:numId="79">
    <w:abstractNumId w:val="77"/>
  </w:num>
  <w:num w:numId="80">
    <w:abstractNumId w:val="51"/>
  </w:num>
  <w:num w:numId="81">
    <w:abstractNumId w:val="67"/>
  </w:num>
  <w:num w:numId="82">
    <w:abstractNumId w:val="4"/>
  </w:num>
  <w:num w:numId="83">
    <w:abstractNumId w:val="82"/>
  </w:num>
  <w:num w:numId="84">
    <w:abstractNumId w:val="52"/>
  </w:num>
  <w:num w:numId="85">
    <w:abstractNumId w:val="31"/>
  </w:num>
  <w:num w:numId="86">
    <w:abstractNumId w:val="2"/>
  </w:num>
  <w:num w:numId="87">
    <w:abstractNumId w:val="63"/>
  </w:num>
  <w:num w:numId="88">
    <w:abstractNumId w:val="52"/>
  </w:num>
  <w:num w:numId="89">
    <w:abstractNumId w:val="52"/>
  </w:num>
  <w:num w:numId="90">
    <w:abstractNumId w:val="5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1359-286E-4045-9DB7-9E018A3E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75</Pages>
  <Words>33268</Words>
  <Characters>189634</Characters>
  <Application>Microsoft Office Word</Application>
  <DocSecurity>0</DocSecurity>
  <Lines>1580</Lines>
  <Paragraphs>444</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4</cp:revision>
  <cp:lastPrinted>2019-08-16T08:11:00Z</cp:lastPrinted>
  <dcterms:created xsi:type="dcterms:W3CDTF">2021-10-12T10:51:00Z</dcterms:created>
  <dcterms:modified xsi:type="dcterms:W3CDTF">2021-10-12T11:01:00Z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77d8a03fe5ed4dc489e9facbb065be89">
    <vt:lpwstr>CWM9T2TZGyEM6Hi2AMwohsUwVtMlxAKMLD/nx7SsZcCQZIV3bWIt3LT9P8ez83OGsIt0XeatPlhYURAm8t95dgCFw==</vt:lpwstr>
  </property>
</Properties>
</file>