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13C5D991" w14:textId="7AA08F4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D250E9">
        <w:rPr>
          <w:sz w:val="20"/>
          <w:szCs w:val="20"/>
        </w:rPr>
        <w:t>-e/Inbox/drafts/8.1.3</w:t>
      </w:r>
      <w:r w:rsidRPr="00F843D2">
        <w:rPr>
          <w:sz w:val="20"/>
          <w:szCs w:val="20"/>
        </w:rPr>
        <w:t>/RRC</w:t>
      </w:r>
      <w:r w:rsidR="00942F1B">
        <w:rPr>
          <w:sz w:val="20"/>
          <w:szCs w:val="20"/>
        </w:rPr>
        <w:t xml:space="preserve"> </w:t>
      </w:r>
      <w:r w:rsidR="00B05CE4">
        <w:rPr>
          <w:sz w:val="20"/>
          <w:szCs w:val="20"/>
        </w:rPr>
        <w:t>parameters</w:t>
      </w:r>
      <w:r>
        <w:rPr>
          <w:sz w:val="20"/>
          <w:szCs w:val="20"/>
        </w:rPr>
        <w:t>/ herein.</w:t>
      </w: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10326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111CE2C" w:rsidR="002E6C30" w:rsidRDefault="00582BCF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5D5A" w14:textId="61621E3D" w:rsidR="002E6C30" w:rsidRPr="007D5FD7" w:rsidRDefault="007D5FD7" w:rsidP="007D5FD7">
            <w:pPr>
              <w:pStyle w:val="ListParagraph"/>
              <w:numPr>
                <w:ilvl w:val="0"/>
                <w:numId w:val="49"/>
              </w:numPr>
              <w:snapToGrid w:val="0"/>
              <w:rPr>
                <w:rFonts w:eastAsia="DengXian"/>
                <w:b/>
                <w:sz w:val="18"/>
                <w:szCs w:val="18"/>
                <w:lang w:eastAsia="zh-CN"/>
              </w:rPr>
            </w:pPr>
            <w:r w:rsidRPr="007D5FD7">
              <w:rPr>
                <w:rFonts w:eastAsia="DengXian"/>
                <w:b/>
                <w:noProof/>
                <w:color w:val="3333FF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FCF18A" wp14:editId="5AC2525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381178</wp:posOffset>
                      </wp:positionV>
                      <wp:extent cx="6202680" cy="723900"/>
                      <wp:effectExtent l="0" t="0" r="2667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268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6025C" w14:textId="2A0687C1" w:rsidR="007D5FD7" w:rsidRPr="007D5FD7" w:rsidRDefault="007D5FD7" w:rsidP="007D5FD7">
                                  <w:pPr>
                                    <w:adjustRightInd w:val="0"/>
                                    <w:snapToGrid w:val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eastAsia="x-none"/>
                                    </w:rPr>
                                  </w:pPr>
                                  <w:r w:rsidRPr="007D5FD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green"/>
                                      <w:lang w:eastAsia="x-none"/>
                                    </w:rPr>
                                    <w:t>Agreement</w:t>
                                  </w:r>
                                </w:p>
                                <w:p w14:paraId="124575EA" w14:textId="77777777" w:rsidR="007D5FD7" w:rsidRPr="007D5FD7" w:rsidRDefault="007D5FD7" w:rsidP="007D5FD7">
                                  <w:pPr>
                                    <w:snapToGrid w:val="0"/>
                                    <w:rPr>
                                      <w:rFonts w:eastAsia="DengXian"/>
                                      <w:b/>
                                      <w:color w:val="3333FF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A given aperiodic SRS resource set is transmitted in the (t+1)-</w:t>
                                  </w:r>
                                  <w:proofErr w:type="spellStart"/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th</w:t>
                                  </w:r>
                                  <w:proofErr w:type="spellEnd"/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available slot counting from a reference slot, where </w:t>
                                  </w:r>
                                  <w:proofErr w:type="spellStart"/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t</w:t>
                                  </w:r>
                                  <w:proofErr w:type="spellEnd"/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is indicated from DCI, or RRC (if only one value of t is configured in RRC), </w:t>
                                  </w:r>
                                  <w:r w:rsidRPr="007D5FD7">
                                    <w:rPr>
                                      <w:rFonts w:eastAsia="Microsoft YaHei"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  <w:t>and the candidate values of t at least include 0</w:t>
                                  </w:r>
                                  <w:r w:rsidRPr="007D5FD7">
                                    <w:rPr>
                                      <w:rFonts w:eastAsia="Microsoft YaHei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1EE041EA" w14:textId="0A102FCD" w:rsidR="007D5FD7" w:rsidRDefault="007D5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CF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95pt;margin-top:30pt;width:488.4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r9IwIAAEY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">
                      <v:textbox>
                        <w:txbxContent>
                          <w:p w14:paraId="6876025C" w14:textId="2A0687C1" w:rsidR="007D5FD7" w:rsidRPr="007D5FD7" w:rsidRDefault="007D5FD7" w:rsidP="007D5FD7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7D5FD7">
                              <w:rPr>
                                <w:b/>
                                <w:bCs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</w:t>
                            </w:r>
                          </w:p>
                          <w:p w14:paraId="124575EA" w14:textId="77777777" w:rsidR="007D5FD7" w:rsidRPr="007D5FD7" w:rsidRDefault="007D5FD7" w:rsidP="007D5FD7">
                            <w:pPr>
                              <w:snapToGrid w:val="0"/>
                              <w:rPr>
                                <w:rFonts w:eastAsia="DengXian"/>
                                <w:b/>
                                <w:color w:val="3333FF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A given aperiodic SRS resource set is transmitted in the (t+1)-</w:t>
                            </w:r>
                            <w:proofErr w:type="spellStart"/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th</w:t>
                            </w:r>
                            <w:proofErr w:type="spellEnd"/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 xml:space="preserve"> available slot counting from a reference slot, where </w:t>
                            </w:r>
                            <w:proofErr w:type="spellStart"/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t</w:t>
                            </w:r>
                            <w:proofErr w:type="spellEnd"/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 xml:space="preserve"> is indicated from DCI, or RRC (if only one value of t is configured in RRC), </w:t>
                            </w:r>
                            <w:r w:rsidRPr="007D5FD7">
                              <w:rPr>
                                <w:rFonts w:eastAsia="Microsoft YaHei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and the candidate values of t at least include 0</w:t>
                            </w:r>
                            <w:r w:rsidRPr="007D5FD7">
                              <w:rPr>
                                <w:rFonts w:eastAsia="Microsoft YaHe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EE041EA" w14:textId="0A102FCD" w:rsidR="007D5FD7" w:rsidRDefault="007D5F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For the value range, suggest updating the </w:t>
            </w:r>
            <w:proofErr w:type="spellStart"/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>deiscrtipon</w:t>
            </w:r>
            <w:proofErr w:type="spellEnd"/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DengXian"/>
                <w:b/>
                <w:sz w:val="18"/>
                <w:szCs w:val="18"/>
                <w:lang w:eastAsia="zh-CN"/>
              </w:rPr>
              <w:t xml:space="preserve">by adding a sentence that candidate values include 0. This is </w:t>
            </w:r>
            <w:r w:rsidR="00582BCF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based on RAN1 agreement below. </w:t>
            </w:r>
          </w:p>
          <w:p w14:paraId="05BCEDDF" w14:textId="486DD491" w:rsidR="00582BCF" w:rsidRPr="007D5FD7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7F296777" w14:textId="77777777" w:rsidR="007D5FD7" w:rsidRPr="007D5FD7" w:rsidRDefault="00974F3A" w:rsidP="0042547A">
            <w:pPr>
              <w:pStyle w:val="ListParagraph"/>
              <w:numPr>
                <w:ilvl w:val="0"/>
                <w:numId w:val="49"/>
              </w:num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>We need to discuss the granularity of RRC parameter ‘</w:t>
            </w:r>
            <w:proofErr w:type="spellStart"/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>TriggerSRSOnly</w:t>
            </w:r>
            <w:proofErr w:type="spellEnd"/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’. There is no RAN1 agreement that </w:t>
            </w:r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>indicate</w:t>
            </w:r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 per-UE</w:t>
            </w:r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 configuration</w:t>
            </w:r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. Our preference is per-CC. So, suggest </w:t>
            </w:r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>adding</w:t>
            </w:r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 FFS on the </w:t>
            </w:r>
            <w:proofErr w:type="spellStart"/>
            <w:r w:rsidRPr="007D5FD7">
              <w:rPr>
                <w:rFonts w:eastAsia="DengXian"/>
                <w:b/>
                <w:sz w:val="18"/>
                <w:szCs w:val="18"/>
                <w:lang w:eastAsia="zh-CN"/>
              </w:rPr>
              <w:t>gruanlirty</w:t>
            </w:r>
            <w:proofErr w:type="spellEnd"/>
            <w:r w:rsidR="007D5FD7" w:rsidRPr="007D5FD7">
              <w:rPr>
                <w:rFonts w:eastAsia="DengXian"/>
                <w:b/>
                <w:sz w:val="18"/>
                <w:szCs w:val="18"/>
                <w:lang w:eastAsia="zh-CN"/>
              </w:rPr>
              <w:t xml:space="preserve">. </w:t>
            </w:r>
          </w:p>
          <w:p w14:paraId="5D46F8F2" w14:textId="4D811E2B" w:rsidR="00582BCF" w:rsidRPr="007D5FD7" w:rsidRDefault="007D5FD7" w:rsidP="0042547A">
            <w:pPr>
              <w:pStyle w:val="ListParagraph"/>
              <w:numPr>
                <w:ilvl w:val="0"/>
                <w:numId w:val="49"/>
              </w:num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 w:rsidRPr="007D5FD7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For “</w:t>
            </w:r>
            <w:proofErr w:type="spellStart"/>
            <w:r w:rsidRPr="007D5FD7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EnableStartRBHopping</w:t>
            </w:r>
            <w:proofErr w:type="spellEnd"/>
            <w:r w:rsidRPr="007D5FD7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”, suggest clarifying the description field and use similar language based on the RAN1 agreement</w:t>
            </w:r>
            <w:r w:rsidR="007F2B84">
              <w:rPr>
                <w:rFonts w:eastAsia="DengXian"/>
                <w:b/>
                <w:bCs/>
                <w:sz w:val="18"/>
                <w:szCs w:val="18"/>
                <w:lang w:eastAsia="zh-CN"/>
              </w:rPr>
              <w:t>. Also, suggest enabling this feature when this RRC parameter is configured.</w:t>
            </w:r>
          </w:p>
          <w:p w14:paraId="66530255" w14:textId="1106AC9D" w:rsidR="007D5FD7" w:rsidRDefault="007D5FD7" w:rsidP="007D5FD7">
            <w:pPr>
              <w:pStyle w:val="ListParagraph"/>
              <w:snapToGrid w:val="0"/>
              <w:ind w:left="360"/>
              <w:rPr>
                <w:color w:val="FF0000"/>
                <w:sz w:val="20"/>
                <w:szCs w:val="20"/>
              </w:rPr>
            </w:pPr>
            <w:r w:rsidRPr="007D5FD7">
              <w:rPr>
                <w:color w:val="000000"/>
                <w:sz w:val="20"/>
                <w:szCs w:val="20"/>
              </w:rPr>
              <w:t>“</w:t>
            </w:r>
            <w:r w:rsidR="007F2B84" w:rsidRPr="00206A23">
              <w:rPr>
                <w:color w:val="FF0000"/>
                <w:sz w:val="20"/>
                <w:szCs w:val="20"/>
              </w:rPr>
              <w:t>When this RRC parameter is configured</w:t>
            </w:r>
            <w:r w:rsidR="007F2B84">
              <w:rPr>
                <w:color w:val="000000"/>
                <w:sz w:val="20"/>
                <w:szCs w:val="20"/>
              </w:rPr>
              <w:t xml:space="preserve">, </w:t>
            </w:r>
            <w:r w:rsidRPr="007F2B84">
              <w:rPr>
                <w:strike/>
                <w:color w:val="000000"/>
                <w:sz w:val="20"/>
                <w:szCs w:val="20"/>
              </w:rPr>
              <w:t xml:space="preserve">Enable or disable </w:t>
            </w:r>
            <w:r w:rsidRPr="007D5FD7">
              <w:rPr>
                <w:color w:val="000000"/>
                <w:sz w:val="20"/>
                <w:szCs w:val="20"/>
              </w:rPr>
              <w:t xml:space="preserve">start RB location hopping </w:t>
            </w:r>
            <w:r w:rsidR="007F2B84" w:rsidRPr="00206A23">
              <w:rPr>
                <w:color w:val="FF0000"/>
                <w:sz w:val="20"/>
                <w:szCs w:val="20"/>
              </w:rPr>
              <w:t xml:space="preserve">is enabled </w:t>
            </w:r>
            <w:r w:rsidRPr="007D5FD7">
              <w:rPr>
                <w:color w:val="000000"/>
                <w:sz w:val="20"/>
                <w:szCs w:val="20"/>
              </w:rPr>
              <w:t xml:space="preserve">for partial frequency sounding </w:t>
            </w:r>
            <w:r w:rsidRPr="007D5FD7">
              <w:rPr>
                <w:color w:val="FF0000"/>
                <w:sz w:val="20"/>
                <w:szCs w:val="20"/>
              </w:rPr>
              <w:t>in different SRS frequency hopping periods for periodic/semi-persistent SRS</w:t>
            </w:r>
            <w:r w:rsidR="007F2B84">
              <w:rPr>
                <w:color w:val="FF0000"/>
                <w:sz w:val="20"/>
                <w:szCs w:val="20"/>
              </w:rPr>
              <w:t xml:space="preserve"> based on the hopping pattern </w:t>
            </w:r>
            <m:oMath>
              <m:sSub>
                <m:sSubPr>
                  <m:ctrlPr>
                    <w:rPr>
                      <w:rFonts w:ascii="Cambria Math" w:eastAsia="Microsoft YaHei" w:hAnsi="Cambria Math"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color w:val="FF0000"/>
                      <w:sz w:val="20"/>
                      <w:szCs w:val="20"/>
                    </w:rPr>
                    <m:t>hopping</m:t>
                  </m:r>
                </m:sub>
              </m:sSub>
              <m:r>
                <w:rPr>
                  <w:rFonts w:ascii="Cambria Math" w:eastAsia="Microsoft YaHei" w:hAnsi="Cambria Math"/>
                  <w:color w:val="FF0000"/>
                  <w:sz w:val="20"/>
                  <w:szCs w:val="20"/>
                </w:rPr>
                <m:t xml:space="preserve"> </m:t>
              </m:r>
            </m:oMath>
            <w:r w:rsidR="007F2B84" w:rsidRPr="007F2B84">
              <w:rPr>
                <w:color w:val="FF0000"/>
                <w:sz w:val="20"/>
                <w:szCs w:val="20"/>
              </w:rPr>
              <w:t>as described in Clause X.Y in TS38.211</w:t>
            </w:r>
            <w:r w:rsidRPr="007D5FD7">
              <w:rPr>
                <w:color w:val="FF0000"/>
                <w:sz w:val="20"/>
                <w:szCs w:val="20"/>
              </w:rPr>
              <w:t>”</w:t>
            </w:r>
          </w:p>
          <w:p w14:paraId="7BEA84DB" w14:textId="67B28F3A" w:rsidR="007F2B84" w:rsidRPr="007F2B84" w:rsidRDefault="007F2B84" w:rsidP="007F2B84">
            <w:pPr>
              <w:snapToGrid w:val="0"/>
              <w:rPr>
                <w:color w:val="FF0000"/>
                <w:sz w:val="20"/>
                <w:szCs w:val="20"/>
              </w:rPr>
            </w:pPr>
            <w:r w:rsidRPr="007F2B84">
              <w:rPr>
                <w:color w:val="FF0000"/>
                <w:sz w:val="20"/>
                <w:szCs w:val="20"/>
              </w:rPr>
              <w:t xml:space="preserve"> </w:t>
            </w:r>
          </w:p>
          <w:p w14:paraId="7BE65D0D" w14:textId="63D7F0E0" w:rsidR="00D6097B" w:rsidRPr="007D5FD7" w:rsidRDefault="00D6097B" w:rsidP="007D5FD7">
            <w:pPr>
              <w:pStyle w:val="ListParagraph"/>
              <w:snapToGrid w:val="0"/>
              <w:ind w:left="36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tbl>
            <w:tblPr>
              <w:tblW w:w="10100" w:type="dxa"/>
              <w:tblLook w:val="04A0" w:firstRow="1" w:lastRow="0" w:firstColumn="1" w:lastColumn="0" w:noHBand="0" w:noVBand="1"/>
            </w:tblPr>
            <w:tblGrid>
              <w:gridCol w:w="1557"/>
              <w:gridCol w:w="670"/>
              <w:gridCol w:w="739"/>
              <w:gridCol w:w="3295"/>
              <w:gridCol w:w="1520"/>
              <w:gridCol w:w="1030"/>
              <w:gridCol w:w="1289"/>
            </w:tblGrid>
            <w:tr w:rsidR="00353427" w:rsidRPr="00582BCF" w14:paraId="599808B7" w14:textId="77777777" w:rsidTr="00D6097B">
              <w:trPr>
                <w:trHeight w:val="1365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11C74FEE" w14:textId="5315D7AE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Parameter name in the spec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2652137C" w14:textId="08001458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New or existing?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35C25477" w14:textId="06191730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Parameter name in the text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7B2F1997" w14:textId="0B9B4E2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58F5B72E" w14:textId="6011ED1B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Value range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65814D54" w14:textId="2AC214D4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Default value aspect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B9BD5" w:themeFill="accent5"/>
                  <w:vAlign w:val="center"/>
                </w:tcPr>
                <w:p w14:paraId="2C8085C1" w14:textId="72A5D1B1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 (UE, cell, TRP, …)</w:t>
                  </w:r>
                </w:p>
              </w:tc>
            </w:tr>
            <w:tr w:rsidR="00582BCF" w:rsidRPr="00582BCF" w14:paraId="65A506D7" w14:textId="6967A818" w:rsidTr="00D6097B">
              <w:trPr>
                <w:trHeight w:val="1365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1B222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AvailableSlotOffset</w:t>
                  </w:r>
                  <w:proofErr w:type="spellEnd"/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B8C62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New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550C3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8156B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The t value, which indicates the number of available slots from slot </w:t>
                  </w:r>
                  <w:proofErr w:type="spellStart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n+k</w:t>
                  </w:r>
                  <w:proofErr w:type="spellEnd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 to the slot where the aperiodic SRS resource set is transmitted, where slot n is the slot with the triggering DCI, and k is the legacy triggering offset (</w:t>
                  </w:r>
                  <w:proofErr w:type="spellStart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slotOffset</w:t>
                  </w:r>
                  <w:proofErr w:type="spellEnd"/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).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83575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A list with up to 4 values per SRS resource set.</w:t>
                  </w:r>
                  <w:r w:rsidRPr="00582B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br/>
                    <w:t>(t0, t1, t2, t3), where each entry takes value from {0, 1, 2, …, 7}.</w:t>
                  </w:r>
                </w:p>
                <w:p w14:paraId="699A75C5" w14:textId="40F0EEBF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>At least one</w:t>
                  </w:r>
                  <w:r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 xml:space="preserve"> candidate values</w:t>
                  </w:r>
                  <w:r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 xml:space="preserve"> </w:t>
                  </w:r>
                  <w:r w:rsidR="00D6097B"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>include</w:t>
                  </w:r>
                  <w:r w:rsidRPr="007D5FD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GB"/>
                    </w:rPr>
                    <w:t xml:space="preserve"> 0.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C63B3D" w14:textId="77777777" w:rsidR="00582BCF" w:rsidRPr="00582BCF" w:rsidRDefault="00582BCF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894A2" w14:textId="09552427" w:rsidR="00582BCF" w:rsidRPr="00582BCF" w:rsidRDefault="00974F3A" w:rsidP="00582BC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  <w:t>Per SRS resource set</w:t>
                  </w:r>
                </w:p>
              </w:tc>
            </w:tr>
            <w:tr w:rsidR="00974F3A" w:rsidRPr="00582BCF" w14:paraId="3C00048F" w14:textId="065AF015" w:rsidTr="00D6097B">
              <w:trPr>
                <w:trHeight w:val="1365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09407" w14:textId="5A14CBD5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TriggerSRSOnly</w:t>
                  </w:r>
                  <w:proofErr w:type="spellEnd"/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BC07D" w14:textId="6ADC7F0C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43D20" w14:textId="2802D2F1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9B391" w14:textId="0F632A77" w:rsidR="00974F3A" w:rsidRPr="00974F3A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When this parameter is configured, UE can be indicated with DCI 0_1 and 0_2 to trigger aperiodic SRS without data and without CSI </w:t>
                  </w:r>
                  <w:r w:rsidRPr="00974F3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as described in clause 7.3.1.1 of TS38.212. Otherwise, except for DCI format 0_1/0_2 with CRC scrambled by SP-CSI-RNTI, a UE is not expected to receive a DCI format 0_1/0_2 with UL-SCH indicator of "0" and CSI request of all zero(s) as described in clause 7.3.1.1 of TS38.212.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A8B55" w14:textId="77777777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257F5D" w14:textId="77777777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91850" w14:textId="763B5493" w:rsidR="00974F3A" w:rsidRPr="00582BCF" w:rsidRDefault="00974F3A" w:rsidP="00974F3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  <w:r w:rsidRPr="00974F3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>FFS: per-UE, per-</w:t>
                  </w:r>
                  <w:r w:rsidR="003D5703" w:rsidRPr="00974F3A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 xml:space="preserve">cell, </w:t>
                  </w:r>
                  <w:r w:rsidR="003D5703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  <w:t>...</w:t>
                  </w:r>
                </w:p>
              </w:tc>
            </w:tr>
            <w:tr w:rsidR="007D5FD7" w:rsidRPr="00582BCF" w14:paraId="336A745F" w14:textId="77777777" w:rsidTr="00D6097B">
              <w:trPr>
                <w:trHeight w:val="1365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6EC90" w14:textId="43110587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EnableStartRBHopping</w:t>
                  </w:r>
                  <w:proofErr w:type="spellEnd"/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E1B8B" w14:textId="7F0DE4AE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36510" w14:textId="530AE2D7" w:rsidR="007D5FD7" w:rsidRPr="00974F3A" w:rsidRDefault="007D5FD7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8C7D0" w14:textId="4627A579" w:rsidR="007D5FD7" w:rsidRPr="00974F3A" w:rsidRDefault="00206A23" w:rsidP="007D5FD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When this RRC parameter is configured</w:t>
                  </w: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,</w:t>
                  </w:r>
                  <w:r w:rsidRPr="00206A23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 xml:space="preserve"> </w:t>
                  </w:r>
                  <w:r w:rsidR="007D5FD7" w:rsidRPr="00206A23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>Enable or disable</w:t>
                  </w:r>
                  <w:r w:rsidR="007D5F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start RB location hopping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is enabled</w:t>
                  </w:r>
                  <w:r w:rsidR="007D5FD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for partial frequency sounding </w:t>
                  </w:r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in different SRS frequency hopping periods for periodic/semi-persistent SRS based on the hopping pattern </w:t>
                  </w:r>
                  <w:proofErr w:type="spellStart"/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k_</w:t>
                  </w:r>
                  <w:proofErr w:type="gramStart"/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hopping</w:t>
                  </w:r>
                  <w:proofErr w:type="spellEnd"/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as</w:t>
                  </w:r>
                  <w:proofErr w:type="gramEnd"/>
                  <w:r w:rsidRPr="00206A2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described in Clause X.Y in TS38.211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C9CCD" w14:textId="77777777" w:rsidR="007F2B84" w:rsidRPr="007F2B84" w:rsidRDefault="007F2B84" w:rsidP="007F2B84">
                  <w:pPr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  <w:lang w:eastAsia="en-US"/>
                    </w:rPr>
                  </w:pPr>
                  <w:r w:rsidRPr="007F2B84"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</w:rPr>
                    <w:t>{'Enable', 'Disable'}</w:t>
                  </w:r>
                </w:p>
                <w:p w14:paraId="5F366ED3" w14:textId="31E16F36" w:rsidR="007D5FD7" w:rsidRPr="00582BCF" w:rsidRDefault="007D5FD7" w:rsidP="007D5FD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67396" w14:textId="31680AC3" w:rsidR="007D5FD7" w:rsidRPr="00582BCF" w:rsidRDefault="007D5FD7" w:rsidP="007D5FD7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D20A7" w14:textId="53DC3122" w:rsidR="007D5FD7" w:rsidRPr="00974F3A" w:rsidRDefault="007D5FD7" w:rsidP="007D5FD7">
                  <w:pPr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 SRS resource</w:t>
                  </w:r>
                </w:p>
              </w:tc>
            </w:tr>
          </w:tbl>
          <w:p w14:paraId="4A933D49" w14:textId="7DB4EAE1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C548483" w14:textId="6A9D202B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br/>
            </w: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br/>
            </w:r>
          </w:p>
          <w:p w14:paraId="20A3A7F6" w14:textId="2B497685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F5C0239" w14:textId="77777777" w:rsidR="00582BCF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903C0D6" w14:textId="0DA2F349" w:rsidR="00582BCF" w:rsidRPr="00534802" w:rsidRDefault="00582BCF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E44F" w14:textId="77777777" w:rsidR="0003553B" w:rsidRDefault="0003553B">
      <w:r>
        <w:separator/>
      </w:r>
    </w:p>
  </w:endnote>
  <w:endnote w:type="continuationSeparator" w:id="0">
    <w:p w14:paraId="5CE609FE" w14:textId="77777777" w:rsidR="0003553B" w:rsidRDefault="0003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00000287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98E2" w14:textId="77777777" w:rsidR="0003553B" w:rsidRDefault="0003553B">
      <w:r>
        <w:rPr>
          <w:color w:val="000000"/>
        </w:rPr>
        <w:separator/>
      </w:r>
    </w:p>
  </w:footnote>
  <w:footnote w:type="continuationSeparator" w:id="0">
    <w:p w14:paraId="2D65C589" w14:textId="77777777" w:rsidR="0003553B" w:rsidRDefault="0003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2475A"/>
    <w:multiLevelType w:val="hybridMultilevel"/>
    <w:tmpl w:val="9660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37BE4"/>
    <w:multiLevelType w:val="hybridMultilevel"/>
    <w:tmpl w:val="63A4F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718C0"/>
    <w:multiLevelType w:val="hybridMultilevel"/>
    <w:tmpl w:val="49F007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4797F"/>
    <w:multiLevelType w:val="hybridMultilevel"/>
    <w:tmpl w:val="79729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6"/>
  </w:num>
  <w:num w:numId="4">
    <w:abstractNumId w:val="16"/>
  </w:num>
  <w:num w:numId="5">
    <w:abstractNumId w:val="35"/>
  </w:num>
  <w:num w:numId="6">
    <w:abstractNumId w:val="10"/>
  </w:num>
  <w:num w:numId="7">
    <w:abstractNumId w:val="31"/>
  </w:num>
  <w:num w:numId="8">
    <w:abstractNumId w:val="24"/>
  </w:num>
  <w:num w:numId="9">
    <w:abstractNumId w:val="38"/>
  </w:num>
  <w:num w:numId="10">
    <w:abstractNumId w:val="33"/>
  </w:num>
  <w:num w:numId="11">
    <w:abstractNumId w:val="26"/>
  </w:num>
  <w:num w:numId="12">
    <w:abstractNumId w:val="8"/>
  </w:num>
  <w:num w:numId="13">
    <w:abstractNumId w:val="36"/>
  </w:num>
  <w:num w:numId="14">
    <w:abstractNumId w:val="28"/>
  </w:num>
  <w:num w:numId="15">
    <w:abstractNumId w:val="30"/>
  </w:num>
  <w:num w:numId="16">
    <w:abstractNumId w:val="18"/>
  </w:num>
  <w:num w:numId="17">
    <w:abstractNumId w:val="23"/>
  </w:num>
  <w:num w:numId="18">
    <w:abstractNumId w:val="45"/>
  </w:num>
  <w:num w:numId="19">
    <w:abstractNumId w:val="40"/>
  </w:num>
  <w:num w:numId="20">
    <w:abstractNumId w:val="43"/>
  </w:num>
  <w:num w:numId="21">
    <w:abstractNumId w:val="13"/>
  </w:num>
  <w:num w:numId="22">
    <w:abstractNumId w:val="12"/>
  </w:num>
  <w:num w:numId="23">
    <w:abstractNumId w:val="39"/>
  </w:num>
  <w:num w:numId="24">
    <w:abstractNumId w:val="0"/>
  </w:num>
  <w:num w:numId="25">
    <w:abstractNumId w:val="44"/>
  </w:num>
  <w:num w:numId="26">
    <w:abstractNumId w:val="5"/>
  </w:num>
  <w:num w:numId="27">
    <w:abstractNumId w:val="21"/>
  </w:num>
  <w:num w:numId="28">
    <w:abstractNumId w:val="1"/>
  </w:num>
  <w:num w:numId="29">
    <w:abstractNumId w:val="37"/>
  </w:num>
  <w:num w:numId="30">
    <w:abstractNumId w:val="20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41"/>
  </w:num>
  <w:num w:numId="36">
    <w:abstractNumId w:val="25"/>
  </w:num>
  <w:num w:numId="37">
    <w:abstractNumId w:val="47"/>
  </w:num>
  <w:num w:numId="38">
    <w:abstractNumId w:val="4"/>
  </w:num>
  <w:num w:numId="39">
    <w:abstractNumId w:val="27"/>
  </w:num>
  <w:num w:numId="40">
    <w:abstractNumId w:val="29"/>
  </w:num>
  <w:num w:numId="41">
    <w:abstractNumId w:val="14"/>
  </w:num>
  <w:num w:numId="42">
    <w:abstractNumId w:val="19"/>
  </w:num>
  <w:num w:numId="43">
    <w:abstractNumId w:val="32"/>
  </w:num>
  <w:num w:numId="44">
    <w:abstractNumId w:val="13"/>
  </w:num>
  <w:num w:numId="45">
    <w:abstractNumId w:val="22"/>
  </w:num>
  <w:num w:numId="46">
    <w:abstractNumId w:val="15"/>
  </w:num>
  <w:num w:numId="47">
    <w:abstractNumId w:val="34"/>
  </w:num>
  <w:num w:numId="48">
    <w:abstractNumId w:val="17"/>
  </w:num>
  <w:num w:numId="49">
    <w:abstractNumId w:val="4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553B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6A23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427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5703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2BCF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047D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5FD7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2B84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456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2F1B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4F3A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3DE3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50E9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097B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F783-5B14-45E6-BC81-F1236683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Muhammad Abdelghaffar (Khairy)</cp:lastModifiedBy>
  <cp:revision>21</cp:revision>
  <dcterms:created xsi:type="dcterms:W3CDTF">2021-08-27T19:29:00Z</dcterms:created>
  <dcterms:modified xsi:type="dcterms:W3CDTF">2021-10-12T20:08:00Z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