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a"/>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a"/>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aa"/>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a"/>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a"/>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hint="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proofErr w:type="spellStart"/>
      <w:r w:rsidRPr="009C5FAE">
        <w:rPr>
          <w:rFonts w:eastAsiaTheme="minorEastAsia" w:hint="eastAsia"/>
          <w:b/>
          <w:i/>
          <w:szCs w:val="20"/>
          <w:lang w:eastAsia="zh-CN"/>
        </w:rPr>
        <w:t>gNB</w:t>
      </w:r>
      <w:proofErr w:type="spellEnd"/>
      <w:r w:rsidRPr="009C5FAE">
        <w:rPr>
          <w:rFonts w:eastAsiaTheme="minorEastAsia" w:hint="eastAsia"/>
          <w:b/>
          <w:i/>
          <w:szCs w:val="20"/>
          <w:lang w:eastAsia="zh-CN"/>
        </w:rPr>
        <w:t xml:space="preserve">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w:t>
      </w:r>
      <w:proofErr w:type="spellStart"/>
      <w:r w:rsidRPr="009C5FAE">
        <w:rPr>
          <w:rFonts w:ascii="Times New Roman" w:hAnsi="Times New Roman" w:cs="Times New Roman"/>
          <w:b/>
          <w:i/>
          <w:sz w:val="20"/>
          <w:szCs w:val="20"/>
          <w:lang w:val="en-US"/>
        </w:rPr>
        <w:t>gNB</w:t>
      </w:r>
      <w:proofErr w:type="spellEnd"/>
      <w:r w:rsidRPr="009C5FAE">
        <w:rPr>
          <w:rFonts w:ascii="Times New Roman" w:hAnsi="Times New Roman" w:cs="Times New Roman"/>
          <w:b/>
          <w:i/>
          <w:sz w:val="20"/>
          <w:szCs w:val="20"/>
          <w:lang w:val="en-US"/>
        </w:rPr>
        <w:t xml:space="preserve"> configures UE to report beams are associated with same and/or different RX spatial filters </w:t>
      </w:r>
    </w:p>
    <w:p w14:paraId="389459BA" w14:textId="77777777" w:rsidR="00913B5A" w:rsidRPr="00946976"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4"/>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w:t>
      </w:r>
      <w:proofErr w:type="gramStart"/>
      <w:r w:rsidRPr="00946976">
        <w:rPr>
          <w:rFonts w:ascii="Times New Roman" w:hAnsi="Times New Roman" w:cs="Times New Roman"/>
          <w:b/>
          <w:i/>
          <w:sz w:val="20"/>
          <w:szCs w:val="20"/>
          <w:lang w:val="en-US"/>
        </w:rPr>
        <w:t>2a :</w:t>
      </w:r>
      <w:proofErr w:type="gramEnd"/>
      <w:r w:rsidRPr="00946976">
        <w:rPr>
          <w:rFonts w:ascii="Times New Roman" w:hAnsi="Times New Roman" w:cs="Times New Roman"/>
          <w:b/>
          <w:i/>
          <w:sz w:val="20"/>
          <w:szCs w:val="20"/>
          <w:lang w:val="en-US"/>
        </w:rPr>
        <w:t xml:space="preserve"> </w:t>
      </w:r>
      <w:proofErr w:type="spellStart"/>
      <w:r w:rsidRPr="00946976">
        <w:rPr>
          <w:rFonts w:ascii="Times New Roman" w:hAnsi="Times New Roman" w:cs="Times New Roman"/>
          <w:b/>
          <w:i/>
          <w:sz w:val="20"/>
          <w:szCs w:val="20"/>
          <w:lang w:val="en-US"/>
        </w:rPr>
        <w:t>gNB</w:t>
      </w:r>
      <w:proofErr w:type="spellEnd"/>
      <w:r w:rsidRPr="00946976">
        <w:rPr>
          <w:rFonts w:ascii="Times New Roman" w:hAnsi="Times New Roman" w:cs="Times New Roman"/>
          <w:b/>
          <w:i/>
          <w:sz w:val="20"/>
          <w:szCs w:val="20"/>
          <w:lang w:val="en-US"/>
        </w:rPr>
        <w:t xml:space="preserve"> configures UE to report beams for spatial multiplexing or diversity.</w:t>
      </w:r>
    </w:p>
    <w:p w14:paraId="5BCF17DC" w14:textId="77777777" w:rsidR="00913B5A" w:rsidRPr="009C5FAE" w:rsidRDefault="00913B5A" w:rsidP="00913B5A">
      <w:pPr>
        <w:pStyle w:val="af4"/>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77777777"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Alt-1: </w:t>
      </w:r>
      <w:proofErr w:type="spellStart"/>
      <w:r w:rsidRPr="00972DC4">
        <w:rPr>
          <w:rFonts w:ascii="Times New Roman" w:hAnsi="Times New Roman" w:cs="Times New Roman"/>
          <w:sz w:val="20"/>
          <w:szCs w:val="20"/>
          <w:lang w:val="en-US"/>
        </w:rPr>
        <w:t>Xiaomi</w:t>
      </w:r>
      <w:proofErr w:type="spellEnd"/>
      <w:r w:rsidRPr="00972DC4">
        <w:rPr>
          <w:rFonts w:ascii="Times New Roman" w:hAnsi="Times New Roman" w:cs="Times New Roman"/>
          <w:sz w:val="20"/>
          <w:szCs w:val="20"/>
          <w:lang w:val="en-US"/>
        </w:rPr>
        <w:t>,</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4"/>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proofErr w:type="spellStart"/>
      <w:r w:rsidRPr="00972DC4">
        <w:rPr>
          <w:rFonts w:ascii="Times New Roman" w:hAnsi="Times New Roman" w:cs="Times New Roman"/>
          <w:sz w:val="20"/>
          <w:szCs w:val="20"/>
          <w:lang w:val="en-US"/>
        </w:rPr>
        <w:t>MediaTek</w:t>
      </w:r>
      <w:proofErr w:type="spellEnd"/>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4"/>
        <w:numPr>
          <w:ilvl w:val="0"/>
          <w:numId w:val="33"/>
        </w:numPr>
        <w:spacing w:after="0"/>
        <w:rPr>
          <w:rFonts w:eastAsiaTheme="minorEastAsia" w:hint="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hint="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4DEA34B3" w:rsidR="00AB61BB" w:rsidRPr="003E4EA5" w:rsidRDefault="00AB61BB" w:rsidP="006D3D57">
            <w:pPr>
              <w:rPr>
                <w:rFonts w:eastAsiaTheme="minorEastAsia"/>
                <w:sz w:val="18"/>
                <w:szCs w:val="18"/>
                <w:lang w:eastAsia="zh-CN"/>
              </w:rPr>
            </w:pPr>
          </w:p>
        </w:tc>
        <w:tc>
          <w:tcPr>
            <w:tcW w:w="7931" w:type="dxa"/>
          </w:tcPr>
          <w:p w14:paraId="1932FA75" w14:textId="2B3C9343" w:rsidR="00AB61BB" w:rsidRPr="003E4EA5" w:rsidRDefault="00AB61BB" w:rsidP="006D3D57">
            <w:pPr>
              <w:rPr>
                <w:rFonts w:eastAsiaTheme="minorEastAsia"/>
                <w:sz w:val="18"/>
                <w:szCs w:val="18"/>
                <w:lang w:eastAsia="zh-CN"/>
              </w:rPr>
            </w:pPr>
          </w:p>
        </w:tc>
      </w:tr>
      <w:tr w:rsidR="00913B5A" w:rsidRPr="003E4EA5" w14:paraId="2F7F924A" w14:textId="77777777" w:rsidTr="00E12FAB">
        <w:tc>
          <w:tcPr>
            <w:tcW w:w="1276" w:type="dxa"/>
          </w:tcPr>
          <w:p w14:paraId="007C0883" w14:textId="77777777" w:rsidR="00913B5A" w:rsidRPr="003E4EA5" w:rsidRDefault="00913B5A" w:rsidP="006D3D57">
            <w:pPr>
              <w:rPr>
                <w:rFonts w:eastAsiaTheme="minorEastAsia"/>
                <w:sz w:val="18"/>
                <w:szCs w:val="18"/>
                <w:lang w:eastAsia="zh-CN"/>
              </w:rPr>
            </w:pPr>
          </w:p>
        </w:tc>
        <w:tc>
          <w:tcPr>
            <w:tcW w:w="7931" w:type="dxa"/>
          </w:tcPr>
          <w:p w14:paraId="315F48FB" w14:textId="77777777" w:rsidR="00913B5A" w:rsidRPr="003E4EA5" w:rsidRDefault="00913B5A" w:rsidP="006D3D57">
            <w:pPr>
              <w:rPr>
                <w:rFonts w:eastAsiaTheme="minorEastAsia"/>
                <w:sz w:val="18"/>
                <w:szCs w:val="18"/>
                <w:lang w:eastAsia="zh-CN"/>
              </w:rPr>
            </w:pP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hint="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4"/>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lastRenderedPageBreak/>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5239E275" w14:textId="77777777"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p>
    <w:p w14:paraId="11B196A5"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proofErr w:type="spellStart"/>
      <w:r w:rsidRPr="00610CF7">
        <w:rPr>
          <w:rFonts w:ascii="Times New Roman" w:eastAsiaTheme="minorEastAsia" w:hAnsi="Times New Roman" w:cs="Times New Roman"/>
          <w:sz w:val="20"/>
          <w:szCs w:val="20"/>
          <w:lang w:val="en-US" w:eastAsia="zh-CN"/>
        </w:rPr>
        <w:t>MediaTek</w:t>
      </w:r>
      <w:proofErr w:type="spellEnd"/>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9"/>
        <w:tblW w:w="0" w:type="auto"/>
        <w:tblLook w:val="04A0" w:firstRow="1" w:lastRow="0" w:firstColumn="1" w:lastColumn="0" w:noHBand="0" w:noVBand="1"/>
      </w:tblPr>
      <w:tblGrid>
        <w:gridCol w:w="1057"/>
        <w:gridCol w:w="9095"/>
      </w:tblGrid>
      <w:tr w:rsidR="006D3D57" w:rsidRPr="003E4EA5" w14:paraId="186232B4" w14:textId="77777777" w:rsidTr="00913B5A">
        <w:tc>
          <w:tcPr>
            <w:tcW w:w="1057"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9095"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913B5A">
        <w:tc>
          <w:tcPr>
            <w:tcW w:w="1057" w:type="dxa"/>
          </w:tcPr>
          <w:p w14:paraId="0A3FE8DA" w14:textId="79F3607D" w:rsidR="006D3D57" w:rsidRPr="003E4EA5" w:rsidRDefault="006D3D57" w:rsidP="006D3D57">
            <w:pPr>
              <w:rPr>
                <w:rFonts w:eastAsiaTheme="minorEastAsia"/>
                <w:sz w:val="18"/>
                <w:szCs w:val="18"/>
                <w:lang w:eastAsia="zh-CN"/>
              </w:rPr>
            </w:pPr>
          </w:p>
        </w:tc>
        <w:tc>
          <w:tcPr>
            <w:tcW w:w="9095" w:type="dxa"/>
          </w:tcPr>
          <w:p w14:paraId="50D4B548" w14:textId="732F5596" w:rsidR="006D3D57" w:rsidRPr="003E4EA5" w:rsidRDefault="006D3D57" w:rsidP="006D3D57">
            <w:pPr>
              <w:rPr>
                <w:rFonts w:eastAsiaTheme="minorEastAsia"/>
                <w:sz w:val="18"/>
                <w:szCs w:val="18"/>
                <w:lang w:eastAsia="zh-CN"/>
              </w:rPr>
            </w:pPr>
          </w:p>
        </w:tc>
      </w:tr>
      <w:tr w:rsidR="006D3D57" w:rsidRPr="003E4EA5" w14:paraId="0503A215" w14:textId="77777777" w:rsidTr="00913B5A">
        <w:tc>
          <w:tcPr>
            <w:tcW w:w="1057" w:type="dxa"/>
          </w:tcPr>
          <w:p w14:paraId="01CF0E9B" w14:textId="36054E95" w:rsidR="006D3D57" w:rsidRPr="003E4EA5" w:rsidRDefault="006D3D57" w:rsidP="006D3D57">
            <w:pPr>
              <w:rPr>
                <w:rFonts w:eastAsiaTheme="minorEastAsia"/>
                <w:sz w:val="18"/>
                <w:szCs w:val="18"/>
                <w:lang w:eastAsia="zh-CN"/>
              </w:rPr>
            </w:pPr>
          </w:p>
        </w:tc>
        <w:tc>
          <w:tcPr>
            <w:tcW w:w="9095" w:type="dxa"/>
          </w:tcPr>
          <w:p w14:paraId="7F6FF47F" w14:textId="08C98523" w:rsidR="006D3D57" w:rsidRPr="003E4EA5" w:rsidRDefault="006D3D57" w:rsidP="006D3D57">
            <w:pPr>
              <w:rPr>
                <w:rFonts w:eastAsiaTheme="minorEastAsia"/>
                <w:sz w:val="18"/>
                <w:szCs w:val="18"/>
                <w:lang w:eastAsia="zh-CN"/>
              </w:rPr>
            </w:pP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hint="eastAsia"/>
          <w:b/>
          <w:szCs w:val="20"/>
          <w:u w:val="single"/>
          <w:lang w:eastAsia="zh-CN"/>
        </w:rPr>
      </w:pPr>
    </w:p>
    <w:p w14:paraId="3169C68E" w14:textId="683E063D" w:rsidR="00956CED" w:rsidRPr="00956CED" w:rsidRDefault="00956CED" w:rsidP="00956CED">
      <w:pPr>
        <w:snapToGrid w:val="0"/>
        <w:jc w:val="both"/>
        <w:rPr>
          <w:rFonts w:eastAsiaTheme="minorEastAsia" w:hint="eastAsia"/>
          <w:b/>
          <w:szCs w:val="20"/>
          <w:u w:val="single"/>
          <w:lang w:eastAsia="zh-CN"/>
        </w:rPr>
      </w:pPr>
      <w:r w:rsidRPr="00956CED">
        <w:rPr>
          <w:rFonts w:eastAsiaTheme="minorEastAsia" w:hint="eastAsia"/>
          <w:b/>
          <w:i/>
          <w:szCs w:val="20"/>
          <w:lang w:eastAsia="zh-CN"/>
        </w:rPr>
        <w:t xml:space="preserve">FL Proposal </w:t>
      </w:r>
      <w:r w:rsidRPr="00956CED">
        <w:rPr>
          <w:rFonts w:eastAsiaTheme="minorEastAsia" w:hint="eastAsia"/>
          <w:b/>
          <w:i/>
          <w:szCs w:val="20"/>
          <w:lang w:eastAsia="zh-CN"/>
        </w:rPr>
        <w:t>2.1</w:t>
      </w:r>
      <w:r w:rsidRPr="00956CED">
        <w:rPr>
          <w:rFonts w:eastAsiaTheme="minorEastAsia" w:hint="eastAsia"/>
          <w:b/>
          <w:i/>
          <w:szCs w:val="20"/>
          <w:lang w:eastAsia="zh-CN"/>
        </w:rPr>
        <w:t>:</w:t>
      </w:r>
    </w:p>
    <w:p w14:paraId="5C91F0FA" w14:textId="2E824C25" w:rsidR="00956CED" w:rsidRPr="00956CED" w:rsidRDefault="00956CED" w:rsidP="00956CED">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w:t>
      </w:r>
      <w:proofErr w:type="spellStart"/>
      <w:r w:rsidRPr="00956CED">
        <w:rPr>
          <w:rFonts w:ascii="Times New Roman" w:hAnsi="Times New Roman" w:cs="Times New Roman"/>
          <w:b/>
          <w:i/>
          <w:iCs/>
          <w:sz w:val="20"/>
          <w:szCs w:val="20"/>
          <w:lang w:val="en-US"/>
        </w:rPr>
        <w:t>SpCell</w:t>
      </w:r>
      <w:proofErr w:type="spellEnd"/>
      <w:r w:rsidRPr="00956CED">
        <w:rPr>
          <w:rFonts w:ascii="Times New Roman" w:hAnsi="Times New Roman" w:cs="Times New Roman"/>
          <w:b/>
          <w:i/>
          <w:iCs/>
          <w:sz w:val="20"/>
          <w:szCs w:val="20"/>
          <w:lang w:val="en-US"/>
        </w:rPr>
        <w:t>)</w:t>
      </w:r>
    </w:p>
    <w:p w14:paraId="2A44B95F" w14:textId="17ACB33B" w:rsidR="00E41103" w:rsidRDefault="00E41103" w:rsidP="00E41103">
      <w:pPr>
        <w:pStyle w:val="af4"/>
        <w:snapToGrid w:val="0"/>
        <w:spacing w:after="0" w:line="240" w:lineRule="auto"/>
        <w:ind w:left="360"/>
        <w:rPr>
          <w:rFonts w:eastAsiaTheme="minorEastAsia" w:hint="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w:t>
      </w:r>
      <w:r>
        <w:rPr>
          <w:rFonts w:eastAsiaTheme="minorEastAsia" w:hint="eastAsia"/>
          <w:szCs w:val="20"/>
          <w:lang w:val="en-US" w:eastAsia="zh-CN"/>
        </w:rPr>
        <w:t>2.1</w:t>
      </w:r>
      <w:r>
        <w:rPr>
          <w:rFonts w:eastAsiaTheme="minorEastAsia" w:hint="eastAsia"/>
          <w:szCs w:val="20"/>
          <w:lang w:val="en-US" w:eastAsia="zh-CN"/>
        </w:rPr>
        <w:t xml:space="preserve"> are listed as follows:</w:t>
      </w:r>
    </w:p>
    <w:p w14:paraId="7EACE8BC" w14:textId="3D35F81A"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p>
    <w:p w14:paraId="524E1932" w14:textId="6333278D"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Not support</w:t>
      </w:r>
      <w:r>
        <w:rPr>
          <w:rFonts w:ascii="Times New Roman" w:eastAsiaTheme="minorEastAsia" w:hAnsi="Times New Roman" w:cs="Times New Roman" w:hint="eastAsia"/>
          <w:sz w:val="20"/>
          <w:szCs w:val="20"/>
          <w:lang w:val="en-US" w:eastAsia="zh-CN"/>
        </w:rPr>
        <w:t xml:space="preserve">: </w:t>
      </w:r>
    </w:p>
    <w:p w14:paraId="7C1ECAD3" w14:textId="77777777" w:rsidR="00956CED" w:rsidRPr="00956CED" w:rsidRDefault="00956CED" w:rsidP="00E41103">
      <w:pPr>
        <w:pStyle w:val="af4"/>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3BFA7E96" w:rsidR="00E41103" w:rsidRPr="003E4EA5" w:rsidRDefault="00E41103" w:rsidP="002516F9">
            <w:pPr>
              <w:rPr>
                <w:rFonts w:eastAsiaTheme="minorEastAsia"/>
                <w:sz w:val="18"/>
                <w:szCs w:val="18"/>
                <w:lang w:eastAsia="zh-CN"/>
              </w:rPr>
            </w:pPr>
          </w:p>
        </w:tc>
        <w:tc>
          <w:tcPr>
            <w:tcW w:w="7931" w:type="dxa"/>
          </w:tcPr>
          <w:p w14:paraId="2E688CE6" w14:textId="14848BF9" w:rsidR="00E41103" w:rsidRPr="003E4EA5" w:rsidRDefault="00E41103" w:rsidP="002516F9">
            <w:pPr>
              <w:rPr>
                <w:rFonts w:eastAsiaTheme="minorEastAsia"/>
                <w:sz w:val="18"/>
                <w:szCs w:val="18"/>
                <w:lang w:eastAsia="zh-CN"/>
              </w:rPr>
            </w:pPr>
          </w:p>
        </w:tc>
      </w:tr>
      <w:tr w:rsidR="00E41103" w:rsidRPr="003E4EA5" w14:paraId="07FF5E06" w14:textId="77777777" w:rsidTr="00092DCC">
        <w:tc>
          <w:tcPr>
            <w:tcW w:w="1276" w:type="dxa"/>
          </w:tcPr>
          <w:p w14:paraId="1285673B" w14:textId="3F8CCFDE" w:rsidR="00E41103" w:rsidRPr="003E4EA5" w:rsidRDefault="00E41103" w:rsidP="002516F9">
            <w:pPr>
              <w:rPr>
                <w:rFonts w:eastAsia="PMingLiU"/>
                <w:sz w:val="18"/>
                <w:szCs w:val="18"/>
                <w:lang w:eastAsia="zh-TW"/>
              </w:rPr>
            </w:pPr>
          </w:p>
        </w:tc>
        <w:tc>
          <w:tcPr>
            <w:tcW w:w="7931" w:type="dxa"/>
          </w:tcPr>
          <w:p w14:paraId="22D6080B" w14:textId="13D72400" w:rsidR="00E41103" w:rsidRPr="003E4EA5" w:rsidRDefault="00E41103" w:rsidP="002516F9">
            <w:pPr>
              <w:rPr>
                <w:rFonts w:eastAsia="PMingLiU"/>
                <w:sz w:val="18"/>
                <w:szCs w:val="18"/>
                <w:lang w:eastAsia="zh-TW"/>
              </w:rPr>
            </w:pP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hint="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71909863" w:rsidR="00DF5008" w:rsidRPr="003E4EA5" w:rsidRDefault="00DF5008" w:rsidP="002516F9">
            <w:pPr>
              <w:rPr>
                <w:rFonts w:eastAsiaTheme="minorEastAsia"/>
                <w:sz w:val="18"/>
                <w:szCs w:val="18"/>
                <w:lang w:eastAsia="zh-CN"/>
              </w:rPr>
            </w:pPr>
          </w:p>
        </w:tc>
        <w:tc>
          <w:tcPr>
            <w:tcW w:w="6655" w:type="dxa"/>
          </w:tcPr>
          <w:p w14:paraId="74F75981" w14:textId="3002AC16" w:rsidR="00DF5008" w:rsidRPr="003E4EA5" w:rsidRDefault="00DF5008" w:rsidP="002516F9">
            <w:pPr>
              <w:rPr>
                <w:rFonts w:eastAsiaTheme="minorEastAsia"/>
                <w:sz w:val="18"/>
                <w:szCs w:val="18"/>
                <w:lang w:eastAsia="zh-CN"/>
              </w:rPr>
            </w:pPr>
          </w:p>
        </w:tc>
      </w:tr>
      <w:tr w:rsidR="00DF5008" w:rsidRPr="003E4EA5" w14:paraId="053D8413" w14:textId="77777777" w:rsidTr="002516F9">
        <w:tc>
          <w:tcPr>
            <w:tcW w:w="2405" w:type="dxa"/>
          </w:tcPr>
          <w:p w14:paraId="1A761573" w14:textId="6820BFE3" w:rsidR="00DF5008" w:rsidRPr="003E4EA5" w:rsidRDefault="00DF5008" w:rsidP="002516F9">
            <w:pPr>
              <w:rPr>
                <w:rFonts w:eastAsiaTheme="minorEastAsia"/>
                <w:sz w:val="18"/>
                <w:szCs w:val="18"/>
                <w:lang w:eastAsia="zh-CN"/>
              </w:rPr>
            </w:pPr>
          </w:p>
        </w:tc>
        <w:tc>
          <w:tcPr>
            <w:tcW w:w="6655" w:type="dxa"/>
          </w:tcPr>
          <w:p w14:paraId="3F218D7B" w14:textId="53330A58" w:rsidR="00DF5008" w:rsidRPr="003E4EA5" w:rsidRDefault="00DF5008" w:rsidP="002516F9">
            <w:pPr>
              <w:rPr>
                <w:rFonts w:eastAsiaTheme="minorEastAsia"/>
                <w:sz w:val="18"/>
                <w:szCs w:val="18"/>
                <w:lang w:eastAsia="zh-CN"/>
              </w:rPr>
            </w:pP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hint="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lastRenderedPageBreak/>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w:t>
      </w:r>
      <w:proofErr w:type="spellStart"/>
      <w:r w:rsidRPr="002C4CCE">
        <w:rPr>
          <w:rFonts w:ascii="Times New Roman" w:eastAsiaTheme="minorEastAsia" w:hAnsi="Times New Roman" w:cs="Times New Roman"/>
          <w:b/>
          <w:i/>
          <w:sz w:val="20"/>
          <w:szCs w:val="20"/>
          <w:lang w:val="en-US" w:eastAsia="zh-CN"/>
        </w:rPr>
        <w:t>gNB</w:t>
      </w:r>
      <w:proofErr w:type="spellEnd"/>
      <w:r w:rsidRPr="002C4CCE">
        <w:rPr>
          <w:rFonts w:ascii="Times New Roman" w:eastAsiaTheme="minorEastAsia" w:hAnsi="Times New Roman" w:cs="Times New Roman"/>
          <w:b/>
          <w:i/>
          <w:sz w:val="20"/>
          <w:szCs w:val="20"/>
          <w:lang w:val="en-US" w:eastAsia="zh-CN"/>
        </w:rPr>
        <w:t xml:space="preserve">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hint="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 xml:space="preserve">BFD-RS set k (k = 0, 1) is derived based on X TCI of CORESETs with </w:t>
      </w:r>
      <w:proofErr w:type="spellStart"/>
      <w:r w:rsidRPr="003C56DC">
        <w:rPr>
          <w:rFonts w:eastAsiaTheme="minorEastAsia"/>
          <w:b/>
          <w:i/>
          <w:szCs w:val="20"/>
          <w:lang w:eastAsia="zh-CN"/>
        </w:rPr>
        <w:t>CORESETPoolIndex</w:t>
      </w:r>
      <w:proofErr w:type="spellEnd"/>
      <w:r w:rsidRPr="003C56DC">
        <w:rPr>
          <w:rFonts w:eastAsiaTheme="minorEastAsia"/>
          <w:b/>
          <w:i/>
          <w:szCs w:val="20"/>
          <w:lang w:eastAsia="zh-CN"/>
        </w:rPr>
        <w:t xml:space="preserve">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524F55E1"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p>
    <w:p w14:paraId="4CBE0116" w14:textId="489E6EAE"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4D9DB1CD"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p>
    <w:p w14:paraId="7D6C3F84" w14:textId="35BAED19"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af4"/>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587278E5" w:rsidR="00944501" w:rsidRPr="003E4EA5" w:rsidRDefault="00944501" w:rsidP="002516F9">
            <w:pPr>
              <w:rPr>
                <w:rFonts w:eastAsiaTheme="minorEastAsia"/>
                <w:sz w:val="18"/>
                <w:szCs w:val="18"/>
                <w:lang w:eastAsia="zh-CN"/>
              </w:rPr>
            </w:pPr>
          </w:p>
        </w:tc>
        <w:tc>
          <w:tcPr>
            <w:tcW w:w="6655" w:type="dxa"/>
          </w:tcPr>
          <w:p w14:paraId="2D235C17" w14:textId="7BFDF37A" w:rsidR="002A4D56" w:rsidRPr="003E4EA5" w:rsidRDefault="002A4D56" w:rsidP="002516F9">
            <w:pPr>
              <w:rPr>
                <w:rFonts w:eastAsiaTheme="minorEastAsia"/>
                <w:sz w:val="18"/>
                <w:szCs w:val="18"/>
                <w:lang w:eastAsia="zh-CN"/>
              </w:rPr>
            </w:pPr>
          </w:p>
        </w:tc>
      </w:tr>
      <w:tr w:rsidR="00944501" w:rsidRPr="003E4EA5" w14:paraId="50DD74C3" w14:textId="77777777" w:rsidTr="002516F9">
        <w:tc>
          <w:tcPr>
            <w:tcW w:w="2405" w:type="dxa"/>
          </w:tcPr>
          <w:p w14:paraId="0A16F1ED" w14:textId="77A91FF9" w:rsidR="00944501" w:rsidRPr="003E4EA5" w:rsidRDefault="00944501" w:rsidP="00DC62EC">
            <w:pPr>
              <w:rPr>
                <w:rFonts w:eastAsiaTheme="minorEastAsia"/>
                <w:sz w:val="18"/>
                <w:szCs w:val="18"/>
                <w:lang w:eastAsia="zh-CN"/>
              </w:rPr>
            </w:pPr>
          </w:p>
        </w:tc>
        <w:tc>
          <w:tcPr>
            <w:tcW w:w="6655" w:type="dxa"/>
          </w:tcPr>
          <w:p w14:paraId="2D4BD2A9" w14:textId="3A94C07C" w:rsidR="00944501" w:rsidRPr="003E4EA5" w:rsidRDefault="00944501" w:rsidP="002516F9">
            <w:pPr>
              <w:rPr>
                <w:rFonts w:eastAsiaTheme="minorEastAsia"/>
                <w:sz w:val="18"/>
                <w:szCs w:val="18"/>
                <w:lang w:eastAsia="zh-CN"/>
              </w:rPr>
            </w:pP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proofErr w:type="spellStart"/>
      <w:r w:rsidRPr="004964FF">
        <w:rPr>
          <w:rFonts w:ascii="Times New Roman" w:hAnsi="Times New Roman" w:cs="Times New Roman"/>
          <w:sz w:val="20"/>
          <w:szCs w:val="20"/>
          <w:lang w:val="en-US"/>
        </w:rPr>
        <w:t>MediaTek</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0F58AB6E" w:rsidR="00777586" w:rsidRPr="003E4EA5" w:rsidRDefault="00777586" w:rsidP="002516F9">
            <w:pPr>
              <w:rPr>
                <w:rFonts w:eastAsiaTheme="minorEastAsia"/>
                <w:sz w:val="18"/>
                <w:szCs w:val="18"/>
                <w:lang w:eastAsia="zh-CN"/>
              </w:rPr>
            </w:pPr>
          </w:p>
        </w:tc>
        <w:tc>
          <w:tcPr>
            <w:tcW w:w="6655" w:type="dxa"/>
          </w:tcPr>
          <w:p w14:paraId="04171371" w14:textId="2AF18A70" w:rsidR="00777586" w:rsidRPr="003E4EA5" w:rsidRDefault="00777586" w:rsidP="002516F9">
            <w:pPr>
              <w:rPr>
                <w:rFonts w:eastAsiaTheme="minorEastAsia"/>
                <w:sz w:val="18"/>
                <w:szCs w:val="18"/>
                <w:lang w:eastAsia="zh-CN"/>
              </w:rPr>
            </w:pPr>
          </w:p>
        </w:tc>
      </w:tr>
      <w:tr w:rsidR="00777586" w:rsidRPr="003E4EA5" w14:paraId="1FC3FFA5" w14:textId="77777777" w:rsidTr="002516F9">
        <w:tc>
          <w:tcPr>
            <w:tcW w:w="2405" w:type="dxa"/>
          </w:tcPr>
          <w:p w14:paraId="498B5564" w14:textId="6132F47F" w:rsidR="00777586" w:rsidRPr="003E4EA5" w:rsidRDefault="00777586" w:rsidP="002516F9">
            <w:pPr>
              <w:rPr>
                <w:rFonts w:eastAsia="PMingLiU"/>
                <w:sz w:val="18"/>
                <w:szCs w:val="18"/>
                <w:lang w:eastAsia="zh-TW"/>
              </w:rPr>
            </w:pPr>
          </w:p>
        </w:tc>
        <w:tc>
          <w:tcPr>
            <w:tcW w:w="6655" w:type="dxa"/>
          </w:tcPr>
          <w:p w14:paraId="0157C8EE" w14:textId="57B54C0A" w:rsidR="00777586" w:rsidRPr="003E4EA5" w:rsidRDefault="00777586" w:rsidP="002516F9">
            <w:pPr>
              <w:rPr>
                <w:rFonts w:eastAsia="PMingLiU"/>
                <w:sz w:val="18"/>
                <w:szCs w:val="18"/>
                <w:lang w:eastAsia="zh-TW"/>
              </w:rPr>
            </w:pP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hint="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 xml:space="preserve">Support to configure an association between a BFD-RS set on </w:t>
      </w:r>
      <w:proofErr w:type="spellStart"/>
      <w:r w:rsidRPr="00410CA1">
        <w:rPr>
          <w:color w:val="212121"/>
          <w:szCs w:val="20"/>
        </w:rPr>
        <w:t>SpCell</w:t>
      </w:r>
      <w:proofErr w:type="spellEnd"/>
      <w:r w:rsidRPr="00410CA1">
        <w:rPr>
          <w:color w:val="212121"/>
          <w:szCs w:val="20"/>
        </w:rPr>
        <w:t xml:space="preserve">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BD6934">
      <w:pPr>
        <w:pStyle w:val="0Maintext"/>
        <w:numPr>
          <w:ilvl w:val="0"/>
          <w:numId w:val="57"/>
        </w:numPr>
        <w:spacing w:afterLines="50" w:after="120"/>
        <w:rPr>
          <w:sz w:val="18"/>
          <w:szCs w:val="18"/>
          <w:lang w:val="en-US" w:eastAsia="zh-CN"/>
        </w:rPr>
      </w:pPr>
      <w:r w:rsidRPr="00410CA1">
        <w:rPr>
          <w:color w:val="212121"/>
          <w:lang w:val="en-US"/>
        </w:rPr>
        <w:lastRenderedPageBreak/>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w:t>
      </w:r>
      <w:proofErr w:type="spellStart"/>
      <w:r w:rsidRPr="00410CA1">
        <w:rPr>
          <w:color w:val="212121"/>
          <w:lang w:val="en-US"/>
        </w:rPr>
        <w:t>SCell</w:t>
      </w:r>
      <w:proofErr w:type="spellEnd"/>
      <w:r w:rsidRPr="00410CA1">
        <w:rPr>
          <w:color w:val="212121"/>
          <w:lang w:val="en-US"/>
        </w:rPr>
        <w:t xml:space="preserve">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hint="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hint="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af4"/>
        <w:numPr>
          <w:ilvl w:val="0"/>
          <w:numId w:val="41"/>
        </w:numPr>
        <w:snapToGrid w:val="0"/>
        <w:spacing w:after="0" w:line="240" w:lineRule="auto"/>
        <w:ind w:left="360"/>
        <w:jc w:val="both"/>
        <w:rPr>
          <w:rFonts w:ascii="Times New Roman" w:hAnsi="Times New Roman" w:cs="Times New Roman" w:hint="eastAsia"/>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5CF6F7CD" w:rsidR="00100C68" w:rsidRPr="003E4EA5"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4B0505E3" w:rsidR="009175EB" w:rsidRPr="003E4EA5" w:rsidRDefault="009175EB" w:rsidP="002516F9">
            <w:pPr>
              <w:rPr>
                <w:rFonts w:eastAsiaTheme="minorEastAsia"/>
                <w:sz w:val="18"/>
                <w:szCs w:val="18"/>
                <w:lang w:eastAsia="zh-CN"/>
              </w:rPr>
            </w:pPr>
          </w:p>
        </w:tc>
        <w:tc>
          <w:tcPr>
            <w:tcW w:w="6655" w:type="dxa"/>
          </w:tcPr>
          <w:p w14:paraId="4A90B9E5" w14:textId="0D1A74F1" w:rsidR="009175EB" w:rsidRPr="003E4EA5" w:rsidRDefault="009175EB" w:rsidP="002516F9">
            <w:pPr>
              <w:rPr>
                <w:rFonts w:eastAsiaTheme="minorEastAsia"/>
                <w:sz w:val="18"/>
                <w:szCs w:val="18"/>
                <w:lang w:eastAsia="zh-CN"/>
              </w:rPr>
            </w:pPr>
          </w:p>
        </w:tc>
      </w:tr>
      <w:tr w:rsidR="009175EB" w:rsidRPr="003E4EA5" w14:paraId="316381DC" w14:textId="77777777" w:rsidTr="002516F9">
        <w:tc>
          <w:tcPr>
            <w:tcW w:w="2405" w:type="dxa"/>
          </w:tcPr>
          <w:p w14:paraId="6802367B" w14:textId="44BB2BC5" w:rsidR="009175EB" w:rsidRPr="003E4EA5" w:rsidRDefault="009175EB" w:rsidP="002516F9">
            <w:pPr>
              <w:rPr>
                <w:rFonts w:eastAsia="PMingLiU"/>
                <w:sz w:val="18"/>
                <w:szCs w:val="18"/>
                <w:lang w:eastAsia="zh-TW"/>
              </w:rPr>
            </w:pPr>
          </w:p>
        </w:tc>
        <w:tc>
          <w:tcPr>
            <w:tcW w:w="6655" w:type="dxa"/>
          </w:tcPr>
          <w:p w14:paraId="37F0F13D" w14:textId="1ABFA21E" w:rsidR="009175EB" w:rsidRPr="003E4EA5" w:rsidRDefault="009175EB" w:rsidP="002516F9">
            <w:pPr>
              <w:rPr>
                <w:rFonts w:eastAsia="PMingLiU"/>
                <w:sz w:val="18"/>
                <w:szCs w:val="18"/>
                <w:lang w:eastAsia="zh-TW"/>
              </w:rPr>
            </w:pP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hint="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4"/>
        <w:snapToGrid w:val="0"/>
        <w:spacing w:after="0" w:line="240" w:lineRule="auto"/>
        <w:ind w:left="0"/>
        <w:rPr>
          <w:rFonts w:ascii="Times New Roman" w:eastAsiaTheme="minorEastAsia" w:hAnsi="Times New Roman" w:cs="Times New Roman" w:hint="eastAsia"/>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hint="eastAsia"/>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hint="eastAsia"/>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77777777"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hint="eastAsia"/>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p>
    <w:p w14:paraId="0496E25B" w14:textId="3F6AECE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hint="eastAsia"/>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hint="eastAsia"/>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56406E94" w:rsidR="00EA7C22" w:rsidRPr="003E4EA5" w:rsidRDefault="00EA7C22" w:rsidP="002516F9">
            <w:pPr>
              <w:rPr>
                <w:rFonts w:eastAsiaTheme="minorEastAsia"/>
                <w:sz w:val="18"/>
                <w:szCs w:val="18"/>
                <w:lang w:eastAsia="zh-CN"/>
              </w:rPr>
            </w:pPr>
          </w:p>
        </w:tc>
        <w:tc>
          <w:tcPr>
            <w:tcW w:w="6655" w:type="dxa"/>
          </w:tcPr>
          <w:p w14:paraId="23A0AB5E" w14:textId="53C561A9" w:rsidR="00EA7C22" w:rsidRPr="003E4EA5" w:rsidRDefault="00EA7C22" w:rsidP="002516F9">
            <w:pPr>
              <w:rPr>
                <w:rFonts w:eastAsiaTheme="minorEastAsia"/>
                <w:sz w:val="18"/>
                <w:szCs w:val="18"/>
                <w:lang w:eastAsia="zh-CN"/>
              </w:rPr>
            </w:pPr>
          </w:p>
        </w:tc>
      </w:tr>
      <w:tr w:rsidR="00EA7C22" w:rsidRPr="003E4EA5" w14:paraId="0467FD0D" w14:textId="77777777" w:rsidTr="002516F9">
        <w:tc>
          <w:tcPr>
            <w:tcW w:w="2405" w:type="dxa"/>
          </w:tcPr>
          <w:p w14:paraId="1C3A5B5B" w14:textId="078E3FA5" w:rsidR="00EA7C22" w:rsidRPr="003E4EA5" w:rsidRDefault="00EA7C22" w:rsidP="002516F9">
            <w:pPr>
              <w:rPr>
                <w:rFonts w:eastAsiaTheme="minorEastAsia"/>
                <w:sz w:val="18"/>
                <w:szCs w:val="18"/>
                <w:lang w:eastAsia="zh-CN"/>
              </w:rPr>
            </w:pPr>
          </w:p>
        </w:tc>
        <w:tc>
          <w:tcPr>
            <w:tcW w:w="6655" w:type="dxa"/>
          </w:tcPr>
          <w:p w14:paraId="05CF7FD7" w14:textId="00DF09F9" w:rsidR="00EA7C22" w:rsidRPr="003E4EA5" w:rsidRDefault="00EA7C22" w:rsidP="002516F9">
            <w:pPr>
              <w:rPr>
                <w:rFonts w:eastAsiaTheme="minorEastAsia"/>
                <w:sz w:val="18"/>
                <w:szCs w:val="18"/>
                <w:lang w:eastAsia="zh-CN"/>
              </w:rPr>
            </w:pP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lastRenderedPageBreak/>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hint="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5B594086" w:rsidR="000403A1" w:rsidRPr="003E4EA5" w:rsidRDefault="000403A1" w:rsidP="002516F9">
            <w:pPr>
              <w:rPr>
                <w:rFonts w:eastAsiaTheme="minorEastAsia"/>
                <w:sz w:val="18"/>
                <w:szCs w:val="18"/>
                <w:lang w:eastAsia="zh-CN"/>
              </w:rPr>
            </w:pPr>
          </w:p>
        </w:tc>
        <w:tc>
          <w:tcPr>
            <w:tcW w:w="6655" w:type="dxa"/>
          </w:tcPr>
          <w:p w14:paraId="2A5962F7" w14:textId="3524AEF8" w:rsidR="000403A1" w:rsidRPr="003E4EA5" w:rsidRDefault="000403A1" w:rsidP="002516F9">
            <w:pPr>
              <w:rPr>
                <w:rFonts w:eastAsiaTheme="minorEastAsia"/>
                <w:sz w:val="18"/>
                <w:szCs w:val="18"/>
                <w:lang w:eastAsia="zh-CN"/>
              </w:rPr>
            </w:pPr>
          </w:p>
        </w:tc>
      </w:tr>
      <w:tr w:rsidR="00DC62EC" w:rsidRPr="003E4EA5" w14:paraId="33E38C54" w14:textId="77777777" w:rsidTr="002516F9">
        <w:tc>
          <w:tcPr>
            <w:tcW w:w="2405" w:type="dxa"/>
          </w:tcPr>
          <w:p w14:paraId="3BA4CF98" w14:textId="3B2DE2E8" w:rsidR="00DC62EC" w:rsidRPr="003E4EA5" w:rsidRDefault="00DC62EC" w:rsidP="00DC62EC">
            <w:pPr>
              <w:rPr>
                <w:rFonts w:eastAsiaTheme="minorEastAsia"/>
                <w:sz w:val="18"/>
                <w:szCs w:val="18"/>
                <w:lang w:eastAsia="zh-CN"/>
              </w:rPr>
            </w:pPr>
          </w:p>
        </w:tc>
        <w:tc>
          <w:tcPr>
            <w:tcW w:w="6655" w:type="dxa"/>
          </w:tcPr>
          <w:p w14:paraId="3CBCD927" w14:textId="0A0D4C1E" w:rsidR="00DC62EC" w:rsidRPr="003E4EA5" w:rsidRDefault="00DC62EC" w:rsidP="00DC62EC">
            <w:pPr>
              <w:rPr>
                <w:rFonts w:eastAsiaTheme="minorEastAsia"/>
                <w:sz w:val="18"/>
                <w:szCs w:val="18"/>
                <w:lang w:eastAsia="zh-CN"/>
              </w:rPr>
            </w:pP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hint="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 xml:space="preserve">Support beam/power update for PUCCH after receiving </w:t>
      </w:r>
      <w:proofErr w:type="spellStart"/>
      <w:r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7F8AED9B" w14:textId="77777777" w:rsidR="005626E5" w:rsidRDefault="005626E5" w:rsidP="005626E5">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w:t>
      </w:r>
      <w:proofErr w:type="spellStart"/>
      <w:r w:rsidRPr="00F03341">
        <w:rPr>
          <w:rFonts w:ascii="Times New Roman" w:hAnsi="Times New Roman" w:cs="Times New Roman"/>
          <w:b/>
          <w:i/>
          <w:sz w:val="20"/>
          <w:szCs w:val="20"/>
          <w:lang w:val="en-US"/>
        </w:rPr>
        <w:t>CORESETPoolIndex</w:t>
      </w:r>
      <w:proofErr w:type="spellEnd"/>
      <w:r w:rsidRPr="00F03341">
        <w:rPr>
          <w:rFonts w:ascii="Times New Roman" w:hAnsi="Times New Roman" w:cs="Times New Roman"/>
          <w:b/>
          <w:i/>
          <w:sz w:val="20"/>
          <w:szCs w:val="20"/>
          <w:lang w:val="en-US"/>
        </w:rPr>
        <w:t>,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77777777" w:rsidR="005626E5" w:rsidRPr="00F03341"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w:t>
      </w:r>
      <w:proofErr w:type="spellStart"/>
      <w:r w:rsidRPr="00F03341">
        <w:rPr>
          <w:rFonts w:ascii="Times New Roman" w:eastAsiaTheme="minorEastAsia" w:hAnsi="Times New Roman" w:cs="Times New Roman"/>
          <w:sz w:val="20"/>
          <w:szCs w:val="20"/>
          <w:lang w:val="en-US" w:eastAsia="zh-CN"/>
        </w:rPr>
        <w:t>MoM</w:t>
      </w:r>
      <w:proofErr w:type="spellEnd"/>
      <w:r w:rsidRPr="00F03341">
        <w:rPr>
          <w:rFonts w:ascii="Times New Roman" w:eastAsiaTheme="minorEastAsia" w:hAnsi="Times New Roman" w:cs="Times New Roman"/>
          <w:sz w:val="20"/>
          <w:szCs w:val="20"/>
          <w:lang w:val="en-US" w:eastAsia="zh-CN"/>
        </w:rPr>
        <w:t>, Fujitsu, Qualcomm, Sony, ETRI, CATT, DOCOMO</w:t>
      </w:r>
      <w:r w:rsidRPr="00F03341">
        <w:rPr>
          <w:rFonts w:ascii="Times New Roman" w:eastAsiaTheme="minorEastAsia" w:hAnsi="Times New Roman" w:cs="Times New Roman" w:hint="eastAsia"/>
          <w:sz w:val="20"/>
          <w:szCs w:val="20"/>
          <w:lang w:val="en-US" w:eastAsia="zh-CN"/>
        </w:rPr>
        <w:t xml:space="preserve">, NEC, </w:t>
      </w:r>
      <w:proofErr w:type="spellStart"/>
      <w:r w:rsidRPr="00F03341">
        <w:rPr>
          <w:rFonts w:ascii="Times New Roman" w:eastAsiaTheme="minorEastAsia" w:hAnsi="Times New Roman" w:cs="Times New Roman" w:hint="eastAsia"/>
          <w:sz w:val="20"/>
          <w:szCs w:val="20"/>
          <w:lang w:val="en-US" w:eastAsia="zh-CN"/>
        </w:rPr>
        <w:t>Xiaomi</w:t>
      </w:r>
      <w:proofErr w:type="spellEnd"/>
      <w:r w:rsidRPr="00F03341">
        <w:rPr>
          <w:rFonts w:ascii="Times New Roman" w:eastAsiaTheme="minorEastAsia" w:hAnsi="Times New Roman" w:cs="Times New Roman" w:hint="eastAsia"/>
          <w:sz w:val="20"/>
          <w:szCs w:val="20"/>
          <w:lang w:val="en-US" w:eastAsia="zh-CN"/>
        </w:rPr>
        <w:t>, CMCC</w:t>
      </w:r>
      <w:r>
        <w:rPr>
          <w:rFonts w:ascii="Times New Roman" w:eastAsiaTheme="minorEastAsia" w:hAnsi="Times New Roman" w:cs="Times New Roman" w:hint="eastAsia"/>
          <w:sz w:val="20"/>
          <w:szCs w:val="20"/>
          <w:lang w:val="en-US" w:eastAsia="zh-CN"/>
        </w:rPr>
        <w:t xml:space="preserve">, TCL, Sony,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p>
    <w:p w14:paraId="22FB3151" w14:textId="36957831" w:rsidR="00432C17"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hint="eastAsia"/>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proofErr w:type="spellStart"/>
      <w:r w:rsidRPr="005626E5">
        <w:rPr>
          <w:rFonts w:ascii="Times New Roman" w:eastAsiaTheme="minorEastAsia" w:hAnsi="Times New Roman" w:cs="Times New Roman"/>
          <w:sz w:val="20"/>
          <w:szCs w:val="20"/>
          <w:lang w:val="en-US" w:eastAsia="zh-CN"/>
        </w:rPr>
        <w:t>MediaTek</w:t>
      </w:r>
      <w:proofErr w:type="spellEnd"/>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51640B03" w:rsidR="00432C17" w:rsidRPr="003E4EA5" w:rsidRDefault="00432C17" w:rsidP="002516F9">
            <w:pPr>
              <w:rPr>
                <w:rFonts w:eastAsiaTheme="minorEastAsia"/>
                <w:sz w:val="18"/>
                <w:szCs w:val="18"/>
                <w:lang w:eastAsia="zh-CN"/>
              </w:rPr>
            </w:pPr>
          </w:p>
        </w:tc>
        <w:tc>
          <w:tcPr>
            <w:tcW w:w="6655" w:type="dxa"/>
          </w:tcPr>
          <w:p w14:paraId="21934AE0" w14:textId="19CC65A4" w:rsidR="00432C17" w:rsidRPr="003E4EA5" w:rsidRDefault="00432C17" w:rsidP="002516F9">
            <w:pPr>
              <w:rPr>
                <w:rFonts w:eastAsiaTheme="minorEastAsia"/>
                <w:sz w:val="18"/>
                <w:szCs w:val="18"/>
                <w:lang w:eastAsia="zh-CN"/>
              </w:rPr>
            </w:pPr>
          </w:p>
        </w:tc>
      </w:tr>
      <w:tr w:rsidR="00432C17" w:rsidRPr="003E4EA5" w14:paraId="4113C294" w14:textId="77777777" w:rsidTr="002516F9">
        <w:tc>
          <w:tcPr>
            <w:tcW w:w="2405" w:type="dxa"/>
          </w:tcPr>
          <w:p w14:paraId="2C46A93E" w14:textId="5F7D4C34" w:rsidR="00432C17" w:rsidRPr="003E4EA5" w:rsidRDefault="00432C17" w:rsidP="002516F9">
            <w:pPr>
              <w:rPr>
                <w:rFonts w:eastAsia="PMingLiU"/>
                <w:sz w:val="18"/>
                <w:szCs w:val="18"/>
                <w:lang w:eastAsia="zh-TW"/>
              </w:rPr>
            </w:pPr>
          </w:p>
        </w:tc>
        <w:tc>
          <w:tcPr>
            <w:tcW w:w="6655" w:type="dxa"/>
          </w:tcPr>
          <w:p w14:paraId="2DD78B9D" w14:textId="0607420B" w:rsidR="00432C17" w:rsidRPr="003E4EA5" w:rsidRDefault="00432C17" w:rsidP="002516F9">
            <w:pPr>
              <w:rPr>
                <w:rFonts w:eastAsia="PMingLiU"/>
                <w:sz w:val="18"/>
                <w:szCs w:val="18"/>
                <w:lang w:eastAsia="zh-TW"/>
              </w:rPr>
            </w:pPr>
          </w:p>
        </w:tc>
      </w:tr>
    </w:tbl>
    <w:p w14:paraId="719A8924" w14:textId="77777777" w:rsidR="00432C17" w:rsidRPr="003E4EA5" w:rsidRDefault="00432C17" w:rsidP="00432C17">
      <w:pPr>
        <w:pStyle w:val="af4"/>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 xml:space="preserve">Issue 2.9: Beam update for PDSCH after receiving </w:t>
      </w:r>
      <w:proofErr w:type="spellStart"/>
      <w:r w:rsidRPr="003E4EA5">
        <w:rPr>
          <w:rFonts w:eastAsiaTheme="minorEastAsia"/>
          <w:sz w:val="20"/>
          <w:szCs w:val="20"/>
          <w:lang w:val="en-US" w:eastAsia="zh-CN"/>
        </w:rPr>
        <w:t>gNB</w:t>
      </w:r>
      <w:proofErr w:type="spellEnd"/>
      <w:r w:rsidRPr="003E4EA5">
        <w:rPr>
          <w:rFonts w:eastAsiaTheme="minorEastAsia"/>
          <w:sz w:val="20"/>
          <w:szCs w:val="20"/>
          <w:lang w:val="en-US" w:eastAsia="zh-CN"/>
        </w:rPr>
        <w:t xml:space="preserve"> response</w:t>
      </w:r>
    </w:p>
    <w:p w14:paraId="0DAD2758" w14:textId="77777777" w:rsidR="009900C1" w:rsidRDefault="009900C1" w:rsidP="009900C1">
      <w:pPr>
        <w:snapToGrid w:val="0"/>
        <w:spacing w:before="240"/>
        <w:rPr>
          <w:rFonts w:eastAsiaTheme="minorEastAsia" w:hint="eastAsia"/>
          <w:b/>
          <w:i/>
          <w:lang w:eastAsia="zh-CN"/>
        </w:rPr>
      </w:pPr>
      <w:r w:rsidRPr="00E746EF">
        <w:rPr>
          <w:rFonts w:eastAsiaTheme="minorEastAsia" w:hint="eastAsia"/>
          <w:b/>
          <w:i/>
          <w:szCs w:val="20"/>
          <w:lang w:eastAsia="zh-CN"/>
        </w:rPr>
        <w:t>FL Proposal 2.9: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0D108E42" w:rsidR="009900C1" w:rsidRPr="00F0334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015B83D3" w14:textId="4F2E29B5" w:rsidR="009900C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hint="eastAsia"/>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hint="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C70326B" w:rsidR="000B67DD" w:rsidRPr="003E4EA5" w:rsidRDefault="000B67DD" w:rsidP="002516F9">
            <w:pPr>
              <w:rPr>
                <w:rFonts w:eastAsiaTheme="minorEastAsia"/>
                <w:sz w:val="18"/>
                <w:szCs w:val="18"/>
                <w:lang w:eastAsia="zh-CN"/>
              </w:rPr>
            </w:pPr>
          </w:p>
        </w:tc>
        <w:tc>
          <w:tcPr>
            <w:tcW w:w="6655" w:type="dxa"/>
          </w:tcPr>
          <w:p w14:paraId="4D9B05FE" w14:textId="3902D348" w:rsidR="000B67DD" w:rsidRPr="003E4EA5" w:rsidRDefault="000B67DD" w:rsidP="002516F9">
            <w:pPr>
              <w:rPr>
                <w:rFonts w:eastAsiaTheme="minorEastAsia"/>
                <w:sz w:val="18"/>
                <w:szCs w:val="18"/>
                <w:lang w:eastAsia="zh-CN"/>
              </w:rPr>
            </w:pPr>
          </w:p>
        </w:tc>
      </w:tr>
      <w:tr w:rsidR="000B67DD" w:rsidRPr="003E4EA5" w14:paraId="62D48CC0" w14:textId="77777777" w:rsidTr="002516F9">
        <w:tc>
          <w:tcPr>
            <w:tcW w:w="2405" w:type="dxa"/>
          </w:tcPr>
          <w:p w14:paraId="2604EC9C" w14:textId="566705F3" w:rsidR="000B67DD" w:rsidRPr="003E4EA5" w:rsidRDefault="000B67DD" w:rsidP="002516F9">
            <w:pPr>
              <w:rPr>
                <w:rFonts w:eastAsia="PMingLiU"/>
                <w:sz w:val="18"/>
                <w:szCs w:val="18"/>
                <w:lang w:eastAsia="zh-TW"/>
              </w:rPr>
            </w:pPr>
          </w:p>
        </w:tc>
        <w:tc>
          <w:tcPr>
            <w:tcW w:w="6655" w:type="dxa"/>
          </w:tcPr>
          <w:p w14:paraId="25F5D40C" w14:textId="374B14BA" w:rsidR="000B67DD" w:rsidRPr="003E4EA5" w:rsidRDefault="000B67DD" w:rsidP="002516F9">
            <w:pPr>
              <w:rPr>
                <w:rFonts w:eastAsia="PMingLiU"/>
                <w:sz w:val="18"/>
                <w:szCs w:val="18"/>
                <w:lang w:eastAsia="zh-TW"/>
              </w:rPr>
            </w:pP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lastRenderedPageBreak/>
        <w:t>Issue 2.10: Association between CORESET(s) and failed BFD-RS set</w:t>
      </w:r>
    </w:p>
    <w:p w14:paraId="112E9C33" w14:textId="77777777" w:rsidR="00771B84" w:rsidRDefault="00771B84" w:rsidP="00A0094F">
      <w:pPr>
        <w:snapToGrid w:val="0"/>
        <w:jc w:val="both"/>
        <w:rPr>
          <w:rFonts w:eastAsiaTheme="minorEastAsia" w:hint="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hint="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hint="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7777777" w:rsidR="00A0094F" w:rsidRPr="00F03341"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1037D1D9" w14:textId="77777777" w:rsidR="00A0094F"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hint="eastAsia"/>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61CB809C" w:rsidR="000B17BA" w:rsidRPr="003E4EA5" w:rsidRDefault="000B17BA" w:rsidP="002516F9">
            <w:pPr>
              <w:rPr>
                <w:rFonts w:eastAsiaTheme="minorEastAsia"/>
                <w:sz w:val="18"/>
                <w:szCs w:val="18"/>
                <w:lang w:eastAsia="zh-CN"/>
              </w:rPr>
            </w:pPr>
          </w:p>
        </w:tc>
        <w:tc>
          <w:tcPr>
            <w:tcW w:w="7931" w:type="dxa"/>
          </w:tcPr>
          <w:p w14:paraId="064B78A4" w14:textId="24295C6D" w:rsidR="000B17BA" w:rsidRPr="003E4EA5" w:rsidRDefault="000B17BA" w:rsidP="002516F9">
            <w:pPr>
              <w:rPr>
                <w:rFonts w:eastAsiaTheme="minorEastAsia"/>
                <w:sz w:val="18"/>
                <w:szCs w:val="18"/>
                <w:lang w:eastAsia="zh-CN"/>
              </w:rPr>
            </w:pPr>
          </w:p>
        </w:tc>
      </w:tr>
      <w:tr w:rsidR="000B17BA" w:rsidRPr="003E4EA5" w14:paraId="5A80C132" w14:textId="77777777" w:rsidTr="00092DCC">
        <w:tc>
          <w:tcPr>
            <w:tcW w:w="1276" w:type="dxa"/>
          </w:tcPr>
          <w:p w14:paraId="30AC7161" w14:textId="628B32F4" w:rsidR="000B17BA" w:rsidRPr="003E4EA5" w:rsidRDefault="000B17BA" w:rsidP="002516F9">
            <w:pPr>
              <w:rPr>
                <w:rFonts w:eastAsiaTheme="minorEastAsia"/>
                <w:sz w:val="18"/>
                <w:szCs w:val="18"/>
                <w:lang w:eastAsia="zh-CN"/>
              </w:rPr>
            </w:pPr>
          </w:p>
        </w:tc>
        <w:tc>
          <w:tcPr>
            <w:tcW w:w="7931" w:type="dxa"/>
          </w:tcPr>
          <w:p w14:paraId="62866FED" w14:textId="5711D7A8" w:rsidR="000B17BA" w:rsidRPr="003E4EA5" w:rsidRDefault="000B17BA" w:rsidP="002516F9">
            <w:pPr>
              <w:rPr>
                <w:rFonts w:eastAsiaTheme="minorEastAsia"/>
                <w:sz w:val="18"/>
                <w:szCs w:val="18"/>
                <w:lang w:eastAsia="zh-CN"/>
              </w:rPr>
            </w:pP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hint="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w:t>
      </w:r>
      <w:r>
        <w:rPr>
          <w:rFonts w:eastAsiaTheme="minorEastAsia" w:hint="eastAsia"/>
          <w:szCs w:val="20"/>
          <w:lang w:val="en-US" w:eastAsia="zh-CN"/>
        </w:rPr>
        <w:t>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hint="eastAsia"/>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9"/>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ED02C02" w:rsidR="003976DF" w:rsidRPr="003E4EA5" w:rsidRDefault="003976DF" w:rsidP="002516F9">
            <w:pPr>
              <w:rPr>
                <w:rFonts w:eastAsiaTheme="minorEastAsia"/>
                <w:sz w:val="18"/>
                <w:szCs w:val="18"/>
                <w:lang w:eastAsia="zh-CN"/>
              </w:rPr>
            </w:pPr>
          </w:p>
        </w:tc>
        <w:tc>
          <w:tcPr>
            <w:tcW w:w="7265" w:type="dxa"/>
          </w:tcPr>
          <w:p w14:paraId="7A92E77D" w14:textId="1203974D" w:rsidR="003976DF" w:rsidRPr="003E4EA5" w:rsidRDefault="003976DF" w:rsidP="002516F9">
            <w:pPr>
              <w:rPr>
                <w:rFonts w:eastAsiaTheme="minorEastAsia"/>
                <w:sz w:val="18"/>
                <w:szCs w:val="18"/>
                <w:lang w:eastAsia="zh-CN"/>
              </w:rPr>
            </w:pPr>
          </w:p>
        </w:tc>
      </w:tr>
      <w:tr w:rsidR="00DC62EC" w:rsidRPr="003E4EA5" w14:paraId="1CBD0BC9" w14:textId="77777777" w:rsidTr="00F9680D">
        <w:tc>
          <w:tcPr>
            <w:tcW w:w="1795" w:type="dxa"/>
          </w:tcPr>
          <w:p w14:paraId="340DE0B4" w14:textId="23DB9BA2" w:rsidR="00DC62EC" w:rsidRPr="003E4EA5" w:rsidRDefault="00DC62EC" w:rsidP="00DC62EC">
            <w:pPr>
              <w:rPr>
                <w:rFonts w:eastAsiaTheme="minorEastAsia"/>
                <w:sz w:val="18"/>
                <w:szCs w:val="18"/>
                <w:lang w:eastAsia="zh-CN"/>
              </w:rPr>
            </w:pPr>
          </w:p>
        </w:tc>
        <w:tc>
          <w:tcPr>
            <w:tcW w:w="7265" w:type="dxa"/>
          </w:tcPr>
          <w:p w14:paraId="13722333" w14:textId="033503B3" w:rsidR="00DC62EC" w:rsidRPr="003E4EA5" w:rsidRDefault="00DC62EC" w:rsidP="00DC62EC">
            <w:pPr>
              <w:rPr>
                <w:rFonts w:eastAsiaTheme="minorEastAsia"/>
                <w:sz w:val="18"/>
                <w:szCs w:val="18"/>
                <w:lang w:eastAsia="zh-CN"/>
              </w:rPr>
            </w:pP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hint="eastAsia"/>
          <w:szCs w:val="20"/>
          <w:lang w:eastAsia="zh-CN"/>
        </w:rPr>
      </w:pPr>
    </w:p>
    <w:p w14:paraId="55361CCF" w14:textId="03EF76B4" w:rsidR="00E85B16" w:rsidRDefault="00296241" w:rsidP="00296241">
      <w:pPr>
        <w:snapToGrid w:val="0"/>
        <w:jc w:val="both"/>
        <w:rPr>
          <w:rFonts w:eastAsiaTheme="minorEastAsia" w:hint="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hint="eastAsia"/>
          <w:szCs w:val="20"/>
          <w:lang w:val="x-none" w:eastAsia="zh-CN"/>
        </w:rPr>
      </w:pPr>
    </w:p>
    <w:p w14:paraId="7A208D7C" w14:textId="506D1AA9" w:rsidR="00607F25" w:rsidRDefault="00034453" w:rsidP="00296241">
      <w:pPr>
        <w:snapToGrid w:val="0"/>
        <w:jc w:val="both"/>
        <w:rPr>
          <w:rFonts w:eastAsiaTheme="minorEastAsia" w:hint="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bookmarkStart w:id="0" w:name="_GoBack"/>
      <w:bookmarkEnd w:id="0"/>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hint="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lastRenderedPageBreak/>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7777777" w:rsidR="00607F25" w:rsidRPr="00F03341"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5CB9D960" w14:textId="77777777" w:rsidR="00607F25"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hint="eastAsia"/>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67A5843F" w:rsidR="00E85B16" w:rsidRPr="003E4EA5" w:rsidRDefault="00E85B16" w:rsidP="002516F9">
            <w:pPr>
              <w:rPr>
                <w:rFonts w:eastAsiaTheme="minorEastAsia"/>
                <w:sz w:val="18"/>
                <w:szCs w:val="18"/>
                <w:lang w:eastAsia="zh-CN"/>
              </w:rPr>
            </w:pPr>
          </w:p>
        </w:tc>
        <w:tc>
          <w:tcPr>
            <w:tcW w:w="7789" w:type="dxa"/>
          </w:tcPr>
          <w:p w14:paraId="5F164B73" w14:textId="057153B9" w:rsidR="00E85B16" w:rsidRPr="003E4EA5" w:rsidRDefault="00E85B16" w:rsidP="002516F9">
            <w:pPr>
              <w:rPr>
                <w:rFonts w:eastAsiaTheme="minorEastAsia"/>
                <w:sz w:val="18"/>
                <w:szCs w:val="18"/>
                <w:lang w:eastAsia="zh-CN"/>
              </w:rPr>
            </w:pPr>
          </w:p>
        </w:tc>
      </w:tr>
      <w:tr w:rsidR="00E85B16" w:rsidRPr="003E4EA5" w14:paraId="7AA02082" w14:textId="77777777" w:rsidTr="00092DCC">
        <w:tc>
          <w:tcPr>
            <w:tcW w:w="1276" w:type="dxa"/>
          </w:tcPr>
          <w:p w14:paraId="0199A5D9" w14:textId="52C57ECC" w:rsidR="00E85B16" w:rsidRPr="003E4EA5" w:rsidRDefault="00E85B16" w:rsidP="002516F9">
            <w:pPr>
              <w:rPr>
                <w:rFonts w:eastAsia="PMingLiU"/>
                <w:sz w:val="18"/>
                <w:szCs w:val="18"/>
                <w:lang w:eastAsia="zh-TW"/>
              </w:rPr>
            </w:pPr>
          </w:p>
        </w:tc>
        <w:tc>
          <w:tcPr>
            <w:tcW w:w="7789" w:type="dxa"/>
          </w:tcPr>
          <w:p w14:paraId="7E7C1E37" w14:textId="53CF4CE3" w:rsidR="00E85B16" w:rsidRPr="003E4EA5" w:rsidRDefault="00E85B16" w:rsidP="002516F9">
            <w:pPr>
              <w:rPr>
                <w:rFonts w:eastAsia="PMingLiU"/>
                <w:sz w:val="18"/>
                <w:szCs w:val="18"/>
                <w:lang w:eastAsia="zh-TW"/>
              </w:rPr>
            </w:pP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7"/>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7"/>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lastRenderedPageBreak/>
        <w:t>Option 1: In a CSI-report, UE can report N&gt;1 pair/groups and M&gt;=1 beams per pair/group</w:t>
      </w:r>
    </w:p>
    <w:p w14:paraId="394C1A86"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7"/>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7"/>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lastRenderedPageBreak/>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7"/>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4"/>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4"/>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support  indication of more than one TRP failure, corresponding BFR procedure, and applicable cell type (SCell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FFS: Introduce a UE capability </w:t>
      </w:r>
      <w:proofErr w:type="spellStart"/>
      <w:r w:rsidRPr="003E4EA5">
        <w:rPr>
          <w:rFonts w:eastAsia="等线" w:cs="Times"/>
          <w:bCs/>
          <w:iCs/>
          <w:kern w:val="32"/>
          <w:szCs w:val="22"/>
          <w:lang w:eastAsia="zh-CN"/>
        </w:rPr>
        <w:t>Ncap</w:t>
      </w:r>
      <w:proofErr w:type="spellEnd"/>
      <w:r w:rsidRPr="003E4EA5">
        <w:rPr>
          <w:rFonts w:eastAsia="等线"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lastRenderedPageBreak/>
        <w:t xml:space="preserve">Alt2: The value of N is upper bounded by a maximum value </w:t>
      </w:r>
      <w:proofErr w:type="spellStart"/>
      <w:r w:rsidRPr="003E4EA5">
        <w:rPr>
          <w:rFonts w:eastAsia="等线" w:cs="Times"/>
          <w:bCs/>
          <w:iCs/>
          <w:kern w:val="32"/>
          <w:szCs w:val="22"/>
          <w:lang w:eastAsia="zh-CN"/>
        </w:rPr>
        <w:t>Nmax</w:t>
      </w:r>
      <w:proofErr w:type="spellEnd"/>
      <w:r w:rsidRPr="003E4EA5">
        <w:rPr>
          <w:rFonts w:eastAsia="等线"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等线" w:cs="Times"/>
          <w:bCs/>
          <w:iCs/>
          <w:kern w:val="32"/>
          <w:szCs w:val="22"/>
          <w:lang w:eastAsia="zh-CN"/>
        </w:rPr>
        <w:t>ms</w:t>
      </w:r>
      <w:proofErr w:type="spellEnd"/>
      <w:r w:rsidRPr="003E4EA5">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4"/>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lastRenderedPageBreak/>
        <w:t>On CMR resource configuration for beam reporting option 2, decide in RAN1#105-e whether to adopt “set” or “subset”:</w:t>
      </w:r>
    </w:p>
    <w:p w14:paraId="06B38E5F"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4"/>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FFS :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4"/>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bookmarkStart w:id="1"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lastRenderedPageBreak/>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4"/>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4"/>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4"/>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4"/>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4"/>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4"/>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lastRenderedPageBreak/>
        <w:t xml:space="preserve">Reference </w:t>
      </w:r>
    </w:p>
    <w:p w14:paraId="4232E45A" w14:textId="6B584250" w:rsidR="00E85B16" w:rsidRPr="003E4EA5" w:rsidRDefault="00913B5A" w:rsidP="00F96014">
      <w:pPr>
        <w:pStyle w:val="af4"/>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913B5A" w:rsidP="00F96014">
      <w:pPr>
        <w:pStyle w:val="af4"/>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913B5A" w:rsidP="00F96014">
      <w:pPr>
        <w:pStyle w:val="af4"/>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913B5A" w:rsidP="00F96014">
      <w:pPr>
        <w:pStyle w:val="af4"/>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913B5A" w:rsidP="00F96014">
      <w:pPr>
        <w:pStyle w:val="af4"/>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913B5A" w:rsidP="00F96014">
      <w:pPr>
        <w:pStyle w:val="af4"/>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913B5A" w:rsidP="00F96014">
      <w:pPr>
        <w:pStyle w:val="af4"/>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913B5A" w:rsidP="00F96014">
      <w:pPr>
        <w:pStyle w:val="af4"/>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913B5A" w:rsidP="00F96014">
      <w:pPr>
        <w:pStyle w:val="af4"/>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913B5A" w:rsidP="00F96014">
      <w:pPr>
        <w:pStyle w:val="af4"/>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913B5A" w:rsidP="00F96014">
      <w:pPr>
        <w:pStyle w:val="af4"/>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913B5A" w:rsidP="00F96014">
      <w:pPr>
        <w:pStyle w:val="af4"/>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913B5A" w:rsidP="00F96014">
      <w:pPr>
        <w:pStyle w:val="af4"/>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913B5A" w:rsidP="00F96014">
      <w:pPr>
        <w:pStyle w:val="af4"/>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913B5A" w:rsidP="00F96014">
      <w:pPr>
        <w:pStyle w:val="af4"/>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913B5A" w:rsidP="00F96014">
      <w:pPr>
        <w:pStyle w:val="af4"/>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913B5A" w:rsidP="00F96014">
      <w:pPr>
        <w:pStyle w:val="af4"/>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913B5A" w:rsidP="00F96014">
      <w:pPr>
        <w:pStyle w:val="af4"/>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913B5A" w:rsidP="00F96014">
      <w:pPr>
        <w:pStyle w:val="af4"/>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913B5A" w:rsidP="00F96014">
      <w:pPr>
        <w:pStyle w:val="af4"/>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913B5A" w:rsidP="00F96014">
      <w:pPr>
        <w:pStyle w:val="af4"/>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913B5A" w:rsidP="00F96014">
      <w:pPr>
        <w:pStyle w:val="af4"/>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913B5A" w:rsidP="00F96014">
      <w:pPr>
        <w:pStyle w:val="af4"/>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913B5A" w:rsidP="00F96014">
      <w:pPr>
        <w:pStyle w:val="af4"/>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913B5A" w:rsidP="00F96014">
      <w:pPr>
        <w:pStyle w:val="af4"/>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913B5A" w:rsidP="00F96014">
      <w:pPr>
        <w:pStyle w:val="af4"/>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913B5A" w:rsidP="00F96014">
      <w:pPr>
        <w:pStyle w:val="af4"/>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913B5A" w:rsidP="00F96014">
      <w:pPr>
        <w:pStyle w:val="af4"/>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913B5A" w:rsidP="00F96014">
      <w:pPr>
        <w:pStyle w:val="af4"/>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40247" w14:textId="77777777" w:rsidR="00216774" w:rsidRDefault="00216774" w:rsidP="005A0FB0">
      <w:r>
        <w:separator/>
      </w:r>
    </w:p>
  </w:endnote>
  <w:endnote w:type="continuationSeparator" w:id="0">
    <w:p w14:paraId="5BF89B3A" w14:textId="77777777" w:rsidR="00216774" w:rsidRDefault="00216774"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168FC" w14:textId="77777777" w:rsidR="00216774" w:rsidRDefault="00216774" w:rsidP="005A0FB0">
      <w:r>
        <w:separator/>
      </w:r>
    </w:p>
  </w:footnote>
  <w:footnote w:type="continuationSeparator" w:id="0">
    <w:p w14:paraId="0793737C" w14:textId="77777777" w:rsidR="00216774" w:rsidRDefault="00216774"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1">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5">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52"/>
  </w:num>
  <w:num w:numId="15">
    <w:abstractNumId w:val="0"/>
  </w:num>
  <w:num w:numId="16">
    <w:abstractNumId w:val="47"/>
  </w:num>
  <w:num w:numId="17">
    <w:abstractNumId w:val="34"/>
  </w:num>
  <w:num w:numId="18">
    <w:abstractNumId w:val="32"/>
  </w:num>
  <w:num w:numId="19">
    <w:abstractNumId w:val="20"/>
  </w:num>
  <w:num w:numId="20">
    <w:abstractNumId w:val="53"/>
  </w:num>
  <w:num w:numId="21">
    <w:abstractNumId w:val="17"/>
  </w:num>
  <w:num w:numId="22">
    <w:abstractNumId w:val="33"/>
  </w:num>
  <w:num w:numId="23">
    <w:abstractNumId w:val="42"/>
  </w:num>
  <w:num w:numId="24">
    <w:abstractNumId w:val="50"/>
  </w:num>
  <w:num w:numId="25">
    <w:abstractNumId w:val="25"/>
  </w:num>
  <w:num w:numId="26">
    <w:abstractNumId w:val="6"/>
  </w:num>
  <w:num w:numId="27">
    <w:abstractNumId w:val="49"/>
  </w:num>
  <w:num w:numId="28">
    <w:abstractNumId w:val="31"/>
  </w:num>
  <w:num w:numId="29">
    <w:abstractNumId w:val="4"/>
  </w:num>
  <w:num w:numId="30">
    <w:abstractNumId w:val="13"/>
  </w:num>
  <w:num w:numId="31">
    <w:abstractNumId w:val="7"/>
  </w:num>
  <w:num w:numId="32">
    <w:abstractNumId w:val="45"/>
  </w:num>
  <w:num w:numId="33">
    <w:abstractNumId w:val="15"/>
  </w:num>
  <w:num w:numId="34">
    <w:abstractNumId w:val="18"/>
  </w:num>
  <w:num w:numId="35">
    <w:abstractNumId w:val="36"/>
  </w:num>
  <w:num w:numId="36">
    <w:abstractNumId w:val="24"/>
  </w:num>
  <w:num w:numId="37">
    <w:abstractNumId w:val="35"/>
  </w:num>
  <w:num w:numId="38">
    <w:abstractNumId w:val="8"/>
  </w:num>
  <w:num w:numId="39">
    <w:abstractNumId w:val="41"/>
  </w:num>
  <w:num w:numId="40">
    <w:abstractNumId w:val="27"/>
  </w:num>
  <w:num w:numId="41">
    <w:abstractNumId w:val="2"/>
  </w:num>
  <w:num w:numId="42">
    <w:abstractNumId w:val="44"/>
  </w:num>
  <w:num w:numId="43">
    <w:abstractNumId w:val="22"/>
  </w:num>
  <w:num w:numId="44">
    <w:abstractNumId w:val="26"/>
  </w:num>
  <w:num w:numId="45">
    <w:abstractNumId w:val="55"/>
  </w:num>
  <w:num w:numId="46">
    <w:abstractNumId w:val="12"/>
  </w:num>
  <w:num w:numId="47">
    <w:abstractNumId w:val="19"/>
  </w:num>
  <w:num w:numId="48">
    <w:abstractNumId w:val="40"/>
  </w:num>
  <w:num w:numId="49">
    <w:abstractNumId w:val="10"/>
  </w:num>
  <w:num w:numId="50">
    <w:abstractNumId w:val="37"/>
  </w:num>
  <w:num w:numId="51">
    <w:abstractNumId w:val="39"/>
  </w:num>
  <w:num w:numId="52">
    <w:abstractNumId w:val="9"/>
  </w:num>
  <w:num w:numId="53">
    <w:abstractNumId w:val="11"/>
  </w:num>
  <w:num w:numId="54">
    <w:abstractNumId w:val="23"/>
  </w:num>
  <w:num w:numId="55">
    <w:abstractNumId w:val="3"/>
  </w:num>
  <w:num w:numId="56">
    <w:abstractNumId w:val="54"/>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suxin\AppData\Local\Docs\R1-2108792.zip" TargetMode="External"/><Relationship Id="rId18" Type="http://schemas.openxmlformats.org/officeDocument/2006/relationships/hyperlink" Target="file:///C:\Users\suxin\AppData\Local\Docs\R1-2109031.zip" TargetMode="External"/><Relationship Id="rId26" Type="http://schemas.openxmlformats.org/officeDocument/2006/relationships/hyperlink" Target="file:///C:\Users\suxin\AppData\Local\Docs\R1-2109471.zip" TargetMode="External"/><Relationship Id="rId39" Type="http://schemas.openxmlformats.org/officeDocument/2006/relationships/hyperlink" Target="file:///C:\Users\suxin\AppData\Local\Docs\R1-2110241.zip" TargetMode="External"/><Relationship Id="rId3" Type="http://schemas.openxmlformats.org/officeDocument/2006/relationships/customXml" Target="../customXml/item3.xml"/><Relationship Id="rId21" Type="http://schemas.openxmlformats.org/officeDocument/2006/relationships/hyperlink" Target="file:///C:\Users\suxin\AppData\Local\Docs\R1-2109108.zip" TargetMode="External"/><Relationship Id="rId34" Type="http://schemas.openxmlformats.org/officeDocument/2006/relationships/hyperlink" Target="file:///C:\Users\suxin\AppData\Local\Docs\R1-2110016.zip"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suxin\AppData\Local\Docs\R1-2108759.zip" TargetMode="External"/><Relationship Id="rId17" Type="http://schemas.openxmlformats.org/officeDocument/2006/relationships/hyperlink" Target="file:///C:\Users\suxin\AppData\Local\Docs\R1-2108954.zip" TargetMode="External"/><Relationship Id="rId25" Type="http://schemas.openxmlformats.org/officeDocument/2006/relationships/hyperlink" Target="file:///C:\Users\suxin\AppData\Local\Docs\R1-2109381.zip" TargetMode="External"/><Relationship Id="rId33" Type="http://schemas.openxmlformats.org/officeDocument/2006/relationships/hyperlink" Target="file:///C:\Users\suxin\AppData\Local\Docs\R1-2109873.zip" TargetMode="External"/><Relationship Id="rId38" Type="http://schemas.openxmlformats.org/officeDocument/2006/relationships/hyperlink" Target="file:///C:\Users\suxin\AppData\Local\Docs\R1-2110168.zip" TargetMode="External"/><Relationship Id="rId2" Type="http://schemas.openxmlformats.org/officeDocument/2006/relationships/customXml" Target="../customXml/item2.xml"/><Relationship Id="rId16" Type="http://schemas.openxmlformats.org/officeDocument/2006/relationships/hyperlink" Target="file:///C:\Users\suxin\AppData\Local\Docs\R1-2108898.zip" TargetMode="External"/><Relationship Id="rId20" Type="http://schemas.openxmlformats.org/officeDocument/2006/relationships/hyperlink" Target="file:///C:\Users\suxin\AppData\Local\Docs\R1-2109106.zip" TargetMode="External"/><Relationship Id="rId29" Type="http://schemas.openxmlformats.org/officeDocument/2006/relationships/hyperlink" Target="file:///C:\Users\suxin\AppData\Local\Docs\R1-210966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suxin\AppData\Local\Docs\R1-2109273.zip" TargetMode="External"/><Relationship Id="rId32" Type="http://schemas.openxmlformats.org/officeDocument/2006/relationships/hyperlink" Target="file:///C:\Users\suxin\AppData\Local\Docs\R1-2109833.zip" TargetMode="External"/><Relationship Id="rId37" Type="http://schemas.openxmlformats.org/officeDocument/2006/relationships/hyperlink" Target="file:///C:\Users\suxin\AppData\Local\Docs\R1-2110114.zip" TargetMode="External"/><Relationship Id="rId40" Type="http://schemas.openxmlformats.org/officeDocument/2006/relationships/hyperlink" Target="file:///C:\Users\suxin\AppData\Local\Docs\R1-2110288.zip" TargetMode="External"/><Relationship Id="rId5" Type="http://schemas.openxmlformats.org/officeDocument/2006/relationships/numbering" Target="numbering.xml"/><Relationship Id="rId15" Type="http://schemas.openxmlformats.org/officeDocument/2006/relationships/hyperlink" Target="file:///C:\Users\suxin\AppData\Local\Docs\R1-2108873.zip" TargetMode="External"/><Relationship Id="rId23" Type="http://schemas.openxmlformats.org/officeDocument/2006/relationships/hyperlink" Target="file:///C:\Users\suxin\AppData\Local\Docs\R1-2109187.zip" TargetMode="External"/><Relationship Id="rId28" Type="http://schemas.openxmlformats.org/officeDocument/2006/relationships/hyperlink" Target="file:///C:\Users\suxin\AppData\Local\Docs\R1-2109594.zip" TargetMode="External"/><Relationship Id="rId36" Type="http://schemas.openxmlformats.org/officeDocument/2006/relationships/hyperlink" Target="file:///C:\Users\suxin\AppData\Local\Docs\R1-2110106.zip" TargetMode="External"/><Relationship Id="rId10" Type="http://schemas.openxmlformats.org/officeDocument/2006/relationships/footnotes" Target="footnotes.xml"/><Relationship Id="rId19" Type="http://schemas.openxmlformats.org/officeDocument/2006/relationships/hyperlink" Target="file:///C:\Users\suxin\AppData\Local\Docs\R1-2109041.zip" TargetMode="External"/><Relationship Id="rId31" Type="http://schemas.openxmlformats.org/officeDocument/2006/relationships/hyperlink" Target="file:///C:\Users\suxin\AppData\Local\Docs\R1-2109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suxin\AppData\Local\Docs\R1-2108811.zip" TargetMode="External"/><Relationship Id="rId22" Type="http://schemas.openxmlformats.org/officeDocument/2006/relationships/hyperlink" Target="file:///C:\Users\suxin\AppData\Local\Docs\R1-2109125.zip" TargetMode="External"/><Relationship Id="rId27" Type="http://schemas.openxmlformats.org/officeDocument/2006/relationships/hyperlink" Target="file:///C:\Users\suxin\AppData\Local\Docs\R1-2109545.zip" TargetMode="External"/><Relationship Id="rId30" Type="http://schemas.openxmlformats.org/officeDocument/2006/relationships/hyperlink" Target="file:///C:\Users\suxin\AppData\Local\Docs\R1-2109774.zip" TargetMode="External"/><Relationship Id="rId35" Type="http://schemas.openxmlformats.org/officeDocument/2006/relationships/hyperlink" Target="file:///C:\Users\suxin\AppData\Local\Docs\R1-21100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8AF3A148-1382-4A71-B9C6-EBCBABEF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4587</Words>
  <Characters>26149</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CATT</cp:lastModifiedBy>
  <cp:revision>19</cp:revision>
  <dcterms:created xsi:type="dcterms:W3CDTF">2021-10-13T03:10:00Z</dcterms:created>
  <dcterms:modified xsi:type="dcterms:W3CDTF">2021-10-13T09:27:00Z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