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A101C8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</w:t>
      </w:r>
      <w:proofErr w:type="spellStart"/>
      <w:r w:rsidRPr="00F843D2">
        <w:rPr>
          <w:sz w:val="20"/>
          <w:szCs w:val="20"/>
        </w:rPr>
        <w:t>tsg_ran</w:t>
      </w:r>
      <w:proofErr w:type="spellEnd"/>
      <w:r w:rsidRPr="00F843D2">
        <w:rPr>
          <w:sz w:val="20"/>
          <w:szCs w:val="20"/>
        </w:rPr>
        <w:t>/WG1_RL1/TSGR1_106</w:t>
      </w:r>
      <w:r w:rsidR="00B05CE4">
        <w:rPr>
          <w:sz w:val="20"/>
          <w:szCs w:val="20"/>
        </w:rPr>
        <w:t>b</w:t>
      </w:r>
      <w:r w:rsidR="00263EBB">
        <w:rPr>
          <w:sz w:val="20"/>
          <w:szCs w:val="20"/>
        </w:rPr>
        <w:t>-e/Inbox/drafts/8.1.2.3</w:t>
      </w:r>
      <w:r w:rsidRPr="00F843D2">
        <w:rPr>
          <w:sz w:val="20"/>
          <w:szCs w:val="20"/>
        </w:rPr>
        <w:t>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7420658" w:rsidR="002E6C30" w:rsidRDefault="007A1BBF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435D" w14:textId="2567129A" w:rsidR="007A1BBF" w:rsidRPr="007A1BBF" w:rsidRDefault="00A94105" w:rsidP="007A1BBF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For the row “</w:t>
            </w:r>
            <w:r w:rsidR="007A1BBF" w:rsidRPr="007A1BBF">
              <w:rPr>
                <w:rFonts w:eastAsia="DengXian"/>
                <w:bCs/>
                <w:sz w:val="18"/>
                <w:szCs w:val="18"/>
                <w:lang w:eastAsia="zh-CN"/>
              </w:rPr>
              <w:t>new beam identification threshold for TRP 2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>”, suggest to add the following FFS. The use case for separate thresholds is unclear.</w:t>
            </w:r>
          </w:p>
          <w:p w14:paraId="5CAC9DB8" w14:textId="77777777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4FA7A83C" w14:textId="623524B5" w:rsidR="007A1BBF" w:rsidRPr="00A94105" w:rsidRDefault="007A1BBF" w:rsidP="007A1BBF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 xml:space="preserve">FFS: whether 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this parameter can reuse “</w:t>
            </w:r>
            <w:r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new beam identification threshold for TRP 1</w:t>
            </w:r>
            <w:r w:rsidR="00A94105" w:rsidRPr="00A94105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”, i.e. same threshold for both TRPs</w:t>
            </w:r>
          </w:p>
          <w:p w14:paraId="5D71F64D" w14:textId="6AC4CC9E" w:rsidR="007A1BBF" w:rsidRDefault="007A1BBF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1AEABB11" w14:textId="7D18A1AD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For the row #8 and 9, 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suggest to add PCI field to indicate SSB is from which cell. </w:t>
            </w:r>
          </w:p>
          <w:p w14:paraId="299029DF" w14:textId="1AA31E2A" w:rsidR="00A94105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3903C0D6" w14:textId="548AB809" w:rsidR="007A1BBF" w:rsidRPr="007A1BBF" w:rsidRDefault="00A94105" w:rsidP="007A1BBF">
            <w:pPr>
              <w:snapToGrid w:val="0"/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resource list (including periodic CSI-RS resource configuration indexes and/or SS/PBCH block indexes</w:t>
            </w:r>
            <w:r w:rsidR="00ED23CF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D23CF" w:rsidRPr="00ED23CF"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  <w:t>and corresponding PCI if different from serving cell PCI</w:t>
            </w:r>
            <w:r w:rsidRPr="00A94105">
              <w:rPr>
                <w:rFonts w:eastAsia="DengXian"/>
                <w:bCs/>
                <w:color w:val="000000" w:themeColor="text1"/>
                <w:sz w:val="18"/>
                <w:szCs w:val="18"/>
                <w:lang w:eastAsia="zh-CN"/>
              </w:rPr>
              <w:t>) for M-TRP new beam identification set 1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B68CE6" w:rsidR="00115FC7" w:rsidRDefault="00FA3268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9E8E" w14:textId="77777777" w:rsidR="00115FC7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Regarding row #5 and #6, we share similar view with QC that one threshold for both TRPs should be sufficient.</w:t>
            </w:r>
          </w:p>
          <w:p w14:paraId="0D118388" w14:textId="77777777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0BF6A51D" w14:textId="3F758DC0" w:rsidR="00FA3268" w:rsidRPr="007279DC" w:rsidRDefault="00FA3268" w:rsidP="00115FC7">
            <w:p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According to </w:t>
            </w:r>
            <w:proofErr w:type="spellStart"/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>preivoius</w:t>
            </w:r>
            <w:proofErr w:type="spellEnd"/>
            <w:r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agreements, we may also need to add one more resource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set </w:t>
            </w:r>
            <w:r w:rsid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list </w:t>
            </w:r>
            <w:r w:rsidR="007279DC" w:rsidRPr="007279DC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for the 2nd CMR set for P/SP resource setting, e.g., </w:t>
            </w:r>
            <w:r w:rsidR="007279DC" w:rsidRPr="007279DC">
              <w:rPr>
                <w:rFonts w:eastAsia="DengXian"/>
                <w:bCs/>
                <w:i/>
                <w:sz w:val="18"/>
                <w:szCs w:val="18"/>
                <w:lang w:eastAsia="zh-CN"/>
              </w:rPr>
              <w:t>csi-RS-ResourceSetList2.</w:t>
            </w:r>
          </w:p>
          <w:p w14:paraId="02D51B3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448280CC" w14:textId="05442068" w:rsidR="00FA3268" w:rsidRPr="007279DC" w:rsidRDefault="00FA3268" w:rsidP="00FA3268">
            <w:pPr>
              <w:rPr>
                <w:b/>
                <w:bCs/>
                <w:sz w:val="18"/>
                <w:szCs w:val="18"/>
                <w:highlight w:val="green"/>
                <w:lang w:eastAsia="x-none"/>
              </w:rPr>
            </w:pPr>
            <w:r w:rsidRPr="007279DC">
              <w:rPr>
                <w:b/>
                <w:bCs/>
                <w:sz w:val="18"/>
                <w:szCs w:val="18"/>
                <w:highlight w:val="green"/>
                <w:lang w:eastAsia="x-none"/>
              </w:rPr>
              <w:t>Agreement from RAN1#106</w:t>
            </w:r>
          </w:p>
          <w:p w14:paraId="5D93EE32" w14:textId="77777777" w:rsidR="00FA3268" w:rsidRPr="007279DC" w:rsidRDefault="00FA3268" w:rsidP="00FA3268">
            <w:pPr>
              <w:pStyle w:val="0Maintext"/>
              <w:spacing w:after="0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For aperiodic report of beam reporting option 2, </w:t>
            </w:r>
          </w:p>
          <w:p w14:paraId="0F25EE13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When associated with aperiodic resource setting, extend the existing RRC parameter </w:t>
            </w:r>
            <w:r w:rsidRPr="007279DC">
              <w:rPr>
                <w:i/>
                <w:sz w:val="18"/>
                <w:szCs w:val="18"/>
              </w:rPr>
              <w:t>CSI-</w:t>
            </w:r>
            <w:proofErr w:type="spellStart"/>
            <w:r w:rsidRPr="007279DC">
              <w:rPr>
                <w:i/>
                <w:sz w:val="18"/>
                <w:szCs w:val="18"/>
              </w:rPr>
              <w:t>AssociatedReportConfigInfo</w:t>
            </w:r>
            <w:proofErr w:type="spellEnd"/>
            <w:r w:rsidRPr="007279DC">
              <w:rPr>
                <w:sz w:val="18"/>
                <w:szCs w:val="18"/>
              </w:rPr>
              <w:t xml:space="preserve"> to be configured with two CMR resource sets where each may be configured with their corresponding QCL information.</w:t>
            </w:r>
          </w:p>
          <w:p w14:paraId="3D2B16AF" w14:textId="77777777" w:rsidR="00FA3268" w:rsidRPr="007279DC" w:rsidRDefault="00FA3268" w:rsidP="00FA3268">
            <w:pPr>
              <w:pStyle w:val="ListParagraph"/>
              <w:numPr>
                <w:ilvl w:val="1"/>
                <w:numId w:val="47"/>
              </w:numPr>
              <w:snapToGrid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7279DC">
              <w:rPr>
                <w:sz w:val="18"/>
                <w:szCs w:val="18"/>
              </w:rPr>
              <w:t xml:space="preserve">FFS: Detailed association scheme </w:t>
            </w:r>
          </w:p>
          <w:p w14:paraId="391211DD" w14:textId="77777777" w:rsidR="00FA3268" w:rsidRPr="007279DC" w:rsidRDefault="00FA3268" w:rsidP="00FA3268">
            <w:pPr>
              <w:pStyle w:val="0Maintext"/>
              <w:numPr>
                <w:ilvl w:val="0"/>
                <w:numId w:val="46"/>
              </w:numPr>
              <w:spacing w:after="0" w:line="240" w:lineRule="auto"/>
              <w:jc w:val="left"/>
              <w:rPr>
                <w:sz w:val="18"/>
                <w:szCs w:val="18"/>
                <w:highlight w:val="yellow"/>
              </w:rPr>
            </w:pPr>
            <w:r w:rsidRPr="007279DC">
              <w:rPr>
                <w:sz w:val="18"/>
                <w:szCs w:val="18"/>
                <w:highlight w:val="yellow"/>
              </w:rPr>
              <w:t xml:space="preserve">When associated with periodic/semi-persist resource setting, the resource setting comprises two CMR resource sets. </w:t>
            </w:r>
          </w:p>
          <w:p w14:paraId="0F09348C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6F31A776" w14:textId="77777777" w:rsidR="00FA3268" w:rsidRPr="007279DC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  <w:p w14:paraId="5EF25A7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CSI-ResourceConfig ::=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{</w:t>
            </w:r>
          </w:p>
          <w:p w14:paraId="12849591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csi-ResourceConfigId        CSI-ResourceConfigId,</w:t>
            </w:r>
          </w:p>
          <w:p w14:paraId="036AA077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</w:rPr>
              <w:t xml:space="preserve">    </w:t>
            </w:r>
            <w:r w:rsidRPr="007279DC">
              <w:rPr>
                <w:szCs w:val="18"/>
                <w:highlight w:val="yellow"/>
              </w:rPr>
              <w:t xml:space="preserve">csi-RS-ResourceSetList      </w:t>
            </w:r>
            <w:r w:rsidRPr="007279DC">
              <w:rPr>
                <w:color w:val="993366"/>
                <w:szCs w:val="18"/>
                <w:highlight w:val="yellow"/>
              </w:rPr>
              <w:t>CHOICE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2C9A9EF8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nzp-CSI-RS-SSB         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{</w:t>
            </w:r>
          </w:p>
          <w:p w14:paraId="42D14A3D" w14:textId="77777777" w:rsidR="00FA3268" w:rsidRPr="007279DC" w:rsidRDefault="00FA3268" w:rsidP="00FA3268">
            <w:pPr>
              <w:pStyle w:val="PL"/>
              <w:rPr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nzp-CSI-RS-ResourceSetList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(1..maxNrofNZP-CSI-RS-ResourceSetsPerConfig))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NZP-CSI-RS-ResourceSetId</w:t>
            </w:r>
          </w:p>
          <w:p w14:paraId="7219DE33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                                                                                                              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,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656E34C6" w14:textId="77777777" w:rsidR="00FA3268" w:rsidRPr="007279DC" w:rsidRDefault="00FA3268" w:rsidP="00FA3268">
            <w:pPr>
              <w:pStyle w:val="PL"/>
              <w:rPr>
                <w:color w:val="808080"/>
                <w:szCs w:val="18"/>
                <w:highlight w:val="yellow"/>
              </w:rPr>
            </w:pPr>
            <w:r w:rsidRPr="007279DC">
              <w:rPr>
                <w:szCs w:val="18"/>
                <w:highlight w:val="yellow"/>
              </w:rPr>
              <w:t xml:space="preserve">            csi-SSB-ResourceSetList     </w:t>
            </w:r>
            <w:r w:rsidRPr="007279DC">
              <w:rPr>
                <w:color w:val="993366"/>
                <w:szCs w:val="18"/>
                <w:highlight w:val="yellow"/>
              </w:rPr>
              <w:t>SEQUENCE</w:t>
            </w:r>
            <w:r w:rsidRPr="007279DC">
              <w:rPr>
                <w:szCs w:val="18"/>
                <w:highlight w:val="yellow"/>
              </w:rPr>
              <w:t xml:space="preserve"> (</w:t>
            </w:r>
            <w:r w:rsidRPr="007279DC">
              <w:rPr>
                <w:color w:val="993366"/>
                <w:szCs w:val="18"/>
                <w:highlight w:val="yellow"/>
              </w:rPr>
              <w:t>SIZE</w:t>
            </w:r>
            <w:r w:rsidRPr="007279DC">
              <w:rPr>
                <w:szCs w:val="18"/>
                <w:highlight w:val="yellow"/>
              </w:rPr>
              <w:t xml:space="preserve"> (1..maxNrofCSI-SSB-ResourceSetsPerConfig))</w:t>
            </w:r>
            <w:r w:rsidRPr="007279DC">
              <w:rPr>
                <w:color w:val="993366"/>
                <w:szCs w:val="18"/>
                <w:highlight w:val="yellow"/>
              </w:rPr>
              <w:t xml:space="preserve"> OF</w:t>
            </w:r>
            <w:r w:rsidRPr="007279DC">
              <w:rPr>
                <w:szCs w:val="18"/>
                <w:highlight w:val="yellow"/>
              </w:rPr>
              <w:t xml:space="preserve"> CSI-SSB-ResourceSetId  </w:t>
            </w:r>
            <w:r w:rsidRPr="007279DC">
              <w:rPr>
                <w:color w:val="993366"/>
                <w:szCs w:val="18"/>
                <w:highlight w:val="yellow"/>
              </w:rPr>
              <w:t>OPTIONAL</w:t>
            </w:r>
            <w:r w:rsidRPr="007279DC">
              <w:rPr>
                <w:szCs w:val="18"/>
                <w:highlight w:val="yellow"/>
              </w:rPr>
              <w:t xml:space="preserve">  </w:t>
            </w:r>
            <w:r w:rsidRPr="007279DC">
              <w:rPr>
                <w:color w:val="808080"/>
                <w:szCs w:val="18"/>
                <w:highlight w:val="yellow"/>
              </w:rPr>
              <w:t>-- Need R</w:t>
            </w:r>
          </w:p>
          <w:p w14:paraId="4FEB7FA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  <w:highlight w:val="yellow"/>
              </w:rPr>
              <w:t xml:space="preserve">        },</w:t>
            </w:r>
          </w:p>
          <w:p w14:paraId="188CD67A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    csi-IM-ResourceSetList      </w:t>
            </w:r>
            <w:r w:rsidRPr="007279DC">
              <w:rPr>
                <w:color w:val="993366"/>
                <w:szCs w:val="18"/>
              </w:rPr>
              <w:t>SEQUENCE</w:t>
            </w:r>
            <w:r w:rsidRPr="007279DC">
              <w:rPr>
                <w:szCs w:val="18"/>
              </w:rPr>
              <w:t xml:space="preserve"> (</w:t>
            </w:r>
            <w:r w:rsidRPr="007279DC">
              <w:rPr>
                <w:color w:val="993366"/>
                <w:szCs w:val="18"/>
              </w:rPr>
              <w:t>SIZE</w:t>
            </w:r>
            <w:r w:rsidRPr="007279DC">
              <w:rPr>
                <w:szCs w:val="18"/>
              </w:rPr>
              <w:t xml:space="preserve"> (1..maxNrofCSI-IM-ResourceSetsPerConfig))</w:t>
            </w:r>
            <w:r w:rsidRPr="007279DC">
              <w:rPr>
                <w:color w:val="993366"/>
                <w:szCs w:val="18"/>
              </w:rPr>
              <w:t xml:space="preserve"> OF</w:t>
            </w:r>
            <w:r w:rsidRPr="007279DC">
              <w:rPr>
                <w:szCs w:val="18"/>
              </w:rPr>
              <w:t xml:space="preserve"> CSI-IM-ResourceSetId</w:t>
            </w:r>
          </w:p>
          <w:p w14:paraId="6E0CD19F" w14:textId="732A6E17" w:rsidR="00FA3268" w:rsidRPr="007279DC" w:rsidRDefault="00FA3268" w:rsidP="007279DC">
            <w:pPr>
              <w:pStyle w:val="PL"/>
              <w:tabs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rPr>
                <w:szCs w:val="18"/>
              </w:rPr>
            </w:pPr>
            <w:r w:rsidRPr="007279DC">
              <w:rPr>
                <w:szCs w:val="18"/>
              </w:rPr>
              <w:t xml:space="preserve">    },</w:t>
            </w:r>
            <w:r w:rsidR="007279DC">
              <w:rPr>
                <w:szCs w:val="18"/>
              </w:rPr>
              <w:tab/>
            </w:r>
            <w:r w:rsidR="007279DC">
              <w:rPr>
                <w:szCs w:val="18"/>
              </w:rPr>
              <w:tab/>
            </w:r>
          </w:p>
          <w:p w14:paraId="7CD2AFA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</w:p>
          <w:p w14:paraId="39A99347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bwp-Id                      BWP-Id,</w:t>
            </w:r>
          </w:p>
          <w:p w14:paraId="3983DD24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resourceType                </w:t>
            </w:r>
            <w:r w:rsidRPr="007279DC">
              <w:rPr>
                <w:color w:val="993366"/>
                <w:szCs w:val="18"/>
              </w:rPr>
              <w:t>ENUMERATED</w:t>
            </w:r>
            <w:r w:rsidRPr="007279DC">
              <w:rPr>
                <w:szCs w:val="18"/>
              </w:rPr>
              <w:t xml:space="preserve"> { aperiodic, semiPersistent, periodic },</w:t>
            </w:r>
          </w:p>
          <w:p w14:paraId="12C77976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 xml:space="preserve">    ...</w:t>
            </w:r>
          </w:p>
          <w:p w14:paraId="098B4D02" w14:textId="77777777" w:rsidR="00FA3268" w:rsidRPr="007279DC" w:rsidRDefault="00FA3268" w:rsidP="00FA3268">
            <w:pPr>
              <w:pStyle w:val="PL"/>
              <w:rPr>
                <w:szCs w:val="18"/>
              </w:rPr>
            </w:pPr>
            <w:r w:rsidRPr="007279DC">
              <w:rPr>
                <w:szCs w:val="18"/>
              </w:rPr>
              <w:t>}</w:t>
            </w:r>
          </w:p>
          <w:p w14:paraId="3981367E" w14:textId="7A52F269" w:rsidR="00FA3268" w:rsidRPr="00FA3268" w:rsidRDefault="00FA326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val="en-GB"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45253F2" w:rsidR="00534802" w:rsidRDefault="00410E96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E8E4CC0" w:rsidR="009443D3" w:rsidRPr="009443D3" w:rsidRDefault="00410E96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new IE shall be added to indicate the configuration of per-TRP BFR on one BWP, similar to the “</w:t>
            </w:r>
            <w:r w:rsidRPr="00410E96">
              <w:rPr>
                <w:i/>
                <w:iCs/>
              </w:rPr>
              <w:t>BeamFailureRecoverySCellConfig-r16</w:t>
            </w:r>
            <w:r>
              <w:rPr>
                <w:sz w:val="20"/>
                <w:szCs w:val="20"/>
              </w:rPr>
              <w:t>” for SCell BFR in rel16</w:t>
            </w: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0978" w14:textId="77777777" w:rsidR="00394C59" w:rsidRDefault="00394C59">
      <w:r>
        <w:separator/>
      </w:r>
    </w:p>
  </w:endnote>
  <w:endnote w:type="continuationSeparator" w:id="0">
    <w:p w14:paraId="1E574FA4" w14:textId="77777777" w:rsidR="00394C59" w:rsidRDefault="0039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968F" w14:textId="77777777" w:rsidR="00394C59" w:rsidRDefault="00394C59">
      <w:r>
        <w:rPr>
          <w:color w:val="000000"/>
        </w:rPr>
        <w:separator/>
      </w:r>
    </w:p>
  </w:footnote>
  <w:footnote w:type="continuationSeparator" w:id="0">
    <w:p w14:paraId="6222BBB6" w14:textId="77777777" w:rsidR="00394C59" w:rsidRDefault="0039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6"/>
  </w:num>
  <w:num w:numId="4">
    <w:abstractNumId w:val="15"/>
  </w:num>
  <w:num w:numId="5">
    <w:abstractNumId w:val="34"/>
  </w:num>
  <w:num w:numId="6">
    <w:abstractNumId w:val="10"/>
  </w:num>
  <w:num w:numId="7">
    <w:abstractNumId w:val="31"/>
  </w:num>
  <w:num w:numId="8">
    <w:abstractNumId w:val="22"/>
  </w:num>
  <w:num w:numId="9">
    <w:abstractNumId w:val="37"/>
  </w:num>
  <w:num w:numId="10">
    <w:abstractNumId w:val="33"/>
  </w:num>
  <w:num w:numId="11">
    <w:abstractNumId w:val="24"/>
  </w:num>
  <w:num w:numId="12">
    <w:abstractNumId w:val="8"/>
  </w:num>
  <w:num w:numId="13">
    <w:abstractNumId w:val="35"/>
  </w:num>
  <w:num w:numId="14">
    <w:abstractNumId w:val="26"/>
  </w:num>
  <w:num w:numId="15">
    <w:abstractNumId w:val="30"/>
  </w:num>
  <w:num w:numId="16">
    <w:abstractNumId w:val="16"/>
  </w:num>
  <w:num w:numId="17">
    <w:abstractNumId w:val="21"/>
  </w:num>
  <w:num w:numId="18">
    <w:abstractNumId w:val="44"/>
  </w:num>
  <w:num w:numId="19">
    <w:abstractNumId w:val="39"/>
  </w:num>
  <w:num w:numId="20">
    <w:abstractNumId w:val="42"/>
  </w:num>
  <w:num w:numId="21">
    <w:abstractNumId w:val="13"/>
  </w:num>
  <w:num w:numId="22">
    <w:abstractNumId w:val="12"/>
  </w:num>
  <w:num w:numId="23">
    <w:abstractNumId w:val="38"/>
  </w:num>
  <w:num w:numId="24">
    <w:abstractNumId w:val="0"/>
  </w:num>
  <w:num w:numId="25">
    <w:abstractNumId w:val="43"/>
  </w:num>
  <w:num w:numId="26">
    <w:abstractNumId w:val="5"/>
  </w:num>
  <w:num w:numId="27">
    <w:abstractNumId w:val="19"/>
  </w:num>
  <w:num w:numId="28">
    <w:abstractNumId w:val="1"/>
  </w:num>
  <w:num w:numId="29">
    <w:abstractNumId w:val="36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40"/>
  </w:num>
  <w:num w:numId="36">
    <w:abstractNumId w:val="23"/>
  </w:num>
  <w:num w:numId="37">
    <w:abstractNumId w:val="45"/>
  </w:num>
  <w:num w:numId="38">
    <w:abstractNumId w:val="4"/>
  </w:num>
  <w:num w:numId="39">
    <w:abstractNumId w:val="25"/>
  </w:num>
  <w:num w:numId="40">
    <w:abstractNumId w:val="28"/>
  </w:num>
  <w:num w:numId="41">
    <w:abstractNumId w:val="14"/>
  </w:num>
  <w:num w:numId="42">
    <w:abstractNumId w:val="17"/>
  </w:num>
  <w:num w:numId="43">
    <w:abstractNumId w:val="32"/>
  </w:num>
  <w:num w:numId="44">
    <w:abstractNumId w:val="13"/>
  </w:num>
  <w:num w:numId="45">
    <w:abstractNumId w:val="20"/>
  </w:num>
  <w:num w:numId="46">
    <w:abstractNumId w:val="29"/>
  </w:num>
  <w:num w:numId="4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279DC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,列表段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qFormat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6B26-04DC-4619-86FB-43D55DFD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Li Guo</cp:lastModifiedBy>
  <cp:revision>2</cp:revision>
  <dcterms:created xsi:type="dcterms:W3CDTF">2021-10-13T01:36:00Z</dcterms:created>
  <dcterms:modified xsi:type="dcterms:W3CDTF">2021-10-13T01:36:00Z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