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2418B" w14:textId="583DDAF1" w:rsidR="00D47B37" w:rsidRPr="00D47B37" w:rsidRDefault="00D47B37" w:rsidP="00D47B37">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#105-e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721802" w:rsidRPr="00721802">
        <w:rPr>
          <w:rFonts w:ascii="Arial" w:hAnsi="Arial" w:cs="Arial"/>
          <w:b/>
          <w:bCs/>
          <w:sz w:val="24"/>
          <w:szCs w:val="24"/>
          <w:lang w:val="en-GB"/>
        </w:rPr>
        <w:t>R1-2105246</w:t>
      </w:r>
      <w:bookmarkStart w:id="2" w:name="_GoBack"/>
      <w:bookmarkEnd w:id="2"/>
    </w:p>
    <w:p w14:paraId="44C0636D" w14:textId="77777777" w:rsidR="00D47B37" w:rsidRDefault="00D47B37" w:rsidP="00D47B37">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May 10th – 27th, 2021</w:t>
      </w:r>
    </w:p>
    <w:p w14:paraId="280BCFDA" w14:textId="77777777" w:rsidR="00B75817" w:rsidRPr="000F2383" w:rsidRDefault="00B75817" w:rsidP="00B75817">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5697B88" w14:textId="4D72380F" w:rsidR="00676C17" w:rsidRDefault="00676C17" w:rsidP="00676C17">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06717E">
        <w:rPr>
          <w:rFonts w:eastAsia="宋体"/>
          <w:color w:val="000000" w:themeColor="text1"/>
          <w:sz w:val="22"/>
          <w:szCs w:val="22"/>
          <w:lang w:eastAsia="zh-CN"/>
        </w:rPr>
        <w:t>4</w:t>
      </w:r>
      <w:r w:rsidR="006F1D98">
        <w:rPr>
          <w:rFonts w:eastAsia="宋体"/>
          <w:color w:val="000000" w:themeColor="text1"/>
          <w:sz w:val="22"/>
          <w:szCs w:val="22"/>
          <w:lang w:eastAsia="zh-CN"/>
        </w:rPr>
        <w:t>b</w:t>
      </w:r>
      <w:r w:rsidR="0006717E">
        <w:rPr>
          <w:rFonts w:eastAsia="宋体"/>
          <w:color w:val="000000" w:themeColor="text1"/>
          <w:sz w:val="22"/>
          <w:szCs w:val="22"/>
          <w:lang w:eastAsia="zh-CN"/>
        </w:rPr>
        <w:t>-</w:t>
      </w:r>
      <w:r>
        <w:rPr>
          <w:rFonts w:eastAsia="宋体"/>
          <w:color w:val="000000" w:themeColor="text1"/>
          <w:sz w:val="22"/>
          <w:szCs w:val="22"/>
          <w:lang w:eastAsia="zh-CN"/>
        </w:rPr>
        <w:t xml:space="preserve">e meeting [1], agreements for </w:t>
      </w:r>
      <w:r w:rsidR="00421E1D">
        <w:rPr>
          <w:rFonts w:eastAsia="宋体"/>
          <w:color w:val="000000" w:themeColor="text1"/>
          <w:sz w:val="22"/>
          <w:szCs w:val="22"/>
          <w:lang w:eastAsia="zh-CN"/>
        </w:rPr>
        <w:t xml:space="preserve">L1-based beam indication </w:t>
      </w:r>
      <w:r>
        <w:rPr>
          <w:rFonts w:eastAsia="宋体"/>
          <w:color w:val="000000" w:themeColor="text1"/>
          <w:sz w:val="22"/>
          <w:szCs w:val="22"/>
          <w:lang w:eastAsia="zh-CN"/>
        </w:rPr>
        <w:t>were achieved as:</w:t>
      </w:r>
    </w:p>
    <w:p w14:paraId="6715168D" w14:textId="77777777" w:rsidR="00421E1D" w:rsidRPr="00CA4B63" w:rsidRDefault="00421E1D" w:rsidP="00421E1D">
      <w:pPr>
        <w:snapToGrid w:val="0"/>
        <w:spacing w:after="0"/>
        <w:rPr>
          <w:b/>
          <w:bCs/>
          <w:sz w:val="16"/>
          <w:szCs w:val="22"/>
          <w:highlight w:val="green"/>
          <w:lang w:eastAsia="x-none"/>
        </w:rPr>
      </w:pPr>
      <w:bookmarkStart w:id="7" w:name="OLE_LINK9"/>
      <w:bookmarkStart w:id="8" w:name="OLE_LINK10"/>
      <w:r w:rsidRPr="00CA4B63">
        <w:rPr>
          <w:b/>
          <w:bCs/>
          <w:highlight w:val="green"/>
          <w:lang w:eastAsia="x-none"/>
        </w:rPr>
        <w:t>Agreement</w:t>
      </w:r>
    </w:p>
    <w:p w14:paraId="2F0F1277" w14:textId="77777777" w:rsidR="00421E1D" w:rsidRPr="00CA4B63" w:rsidRDefault="00421E1D" w:rsidP="00421E1D">
      <w:pPr>
        <w:snapToGrid w:val="0"/>
        <w:spacing w:after="0"/>
        <w:rPr>
          <w:rFonts w:cs="Times"/>
        </w:rPr>
      </w:pPr>
      <w:r w:rsidRPr="00CA4B63">
        <w:rPr>
          <w:rFonts w:cs="Times"/>
        </w:rPr>
        <w:t>For beam indication with Rel-17 unified TCI, support DCI format 1_1/1_2 without DL assignment:</w:t>
      </w:r>
    </w:p>
    <w:p w14:paraId="704420A4" w14:textId="77777777" w:rsidR="00421E1D" w:rsidRDefault="00421E1D" w:rsidP="00421E1D">
      <w:pPr>
        <w:pStyle w:val="a7"/>
        <w:numPr>
          <w:ilvl w:val="0"/>
          <w:numId w:val="32"/>
        </w:numPr>
        <w:snapToGrid w:val="0"/>
        <w:spacing w:after="0"/>
        <w:contextualSpacing w:val="0"/>
        <w:jc w:val="both"/>
        <w:rPr>
          <w:rFonts w:cs="Times"/>
          <w:lang w:eastAsia="zh-CN"/>
        </w:rPr>
      </w:pPr>
      <w:r w:rsidRPr="00CA4B63">
        <w:rPr>
          <w:rFonts w:cs="Times"/>
          <w:lang w:eastAsia="zh-CN"/>
        </w:rPr>
        <w:t>Use ACK/NACK mechanism analogous to that for SPS PDSCH release with both type-1 and type-2 HARQ-ACK codebook:</w:t>
      </w:r>
    </w:p>
    <w:p w14:paraId="00A52360" w14:textId="77777777" w:rsidR="00421E1D" w:rsidRPr="00CA4B63" w:rsidRDefault="00421E1D" w:rsidP="00421E1D">
      <w:pPr>
        <w:pStyle w:val="a7"/>
        <w:numPr>
          <w:ilvl w:val="1"/>
          <w:numId w:val="32"/>
        </w:numPr>
        <w:snapToGrid w:val="0"/>
        <w:spacing w:after="0"/>
        <w:contextualSpacing w:val="0"/>
        <w:jc w:val="both"/>
        <w:rPr>
          <w:rFonts w:cs="Times"/>
          <w:lang w:eastAsia="zh-CN"/>
        </w:rPr>
      </w:pPr>
      <w:r w:rsidRPr="00CA4B63">
        <w:rPr>
          <w:rFonts w:cs="Times"/>
        </w:rPr>
        <w:t xml:space="preserve">Upon a successful reception of the beam indication DCI, the UE reports an ACK </w:t>
      </w:r>
    </w:p>
    <w:p w14:paraId="5A4ACDA6"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Note that upon a failed reception of the beam indication DCI, a NACK can be reported.</w:t>
      </w:r>
    </w:p>
    <w:p w14:paraId="02C046DB"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For type-1 HARQ-ACK codebook, a location for the ACK information in the HARQ-ACK codebook is determined based on a virtual PDSCH indicated by the TDRA field in the beam indication DCI, based on the time domain allocation list configured for PDSCH</w:t>
      </w:r>
    </w:p>
    <w:p w14:paraId="256AED91" w14:textId="77777777" w:rsidR="00421E1D" w:rsidRDefault="00421E1D" w:rsidP="00421E1D">
      <w:pPr>
        <w:pStyle w:val="a7"/>
        <w:numPr>
          <w:ilvl w:val="2"/>
          <w:numId w:val="32"/>
        </w:numPr>
        <w:snapToGrid w:val="0"/>
        <w:spacing w:after="0"/>
        <w:contextualSpacing w:val="0"/>
        <w:jc w:val="both"/>
        <w:rPr>
          <w:rFonts w:cs="Times"/>
        </w:rPr>
      </w:pPr>
      <w:r w:rsidRPr="00CA4B63">
        <w:rPr>
          <w:rFonts w:cs="Times"/>
        </w:rPr>
        <w:t xml:space="preserve">For type-2 HARQ-ACK codebook, a location for the ACK information in the HARQ-ACK codebook is determined according to the same rule for SPS release </w:t>
      </w:r>
    </w:p>
    <w:p w14:paraId="12289B63"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 xml:space="preserve">The ACK is reported in a PUCCH </w:t>
      </w:r>
      <w:r w:rsidRPr="00CA4B63">
        <w:rPr>
          <w:rFonts w:cs="Times"/>
          <w:i/>
          <w:iCs/>
        </w:rPr>
        <w:t xml:space="preserve">k </w:t>
      </w:r>
      <w:r w:rsidRPr="00CA4B63">
        <w:rPr>
          <w:rFonts w:cs="Times"/>
        </w:rPr>
        <w:t xml:space="preserve">slots after the end of the PDCCH reception where </w:t>
      </w:r>
      <w:r w:rsidRPr="00CA4B63">
        <w:rPr>
          <w:rFonts w:cs="Times"/>
          <w:i/>
          <w:iCs/>
        </w:rPr>
        <w:t>k</w:t>
      </w:r>
      <w:r w:rsidRPr="00CA4B63">
        <w:rPr>
          <w:rFonts w:cs="Times"/>
        </w:rPr>
        <w:t xml:space="preserve"> is indicated by the PDSCH-to-</w:t>
      </w:r>
      <w:proofErr w:type="spellStart"/>
      <w:r w:rsidRPr="00CA4B63">
        <w:rPr>
          <w:rFonts w:cs="Times"/>
        </w:rPr>
        <w:t>HARQ_feedback</w:t>
      </w:r>
      <w:proofErr w:type="spellEnd"/>
      <w:r w:rsidRPr="00CA4B63">
        <w:rPr>
          <w:rFonts w:cs="Times"/>
        </w:rPr>
        <w:t xml:space="preserve"> timing indicator field in the DCI format, or provided </w:t>
      </w:r>
      <w:r w:rsidRPr="00CA4B63">
        <w:rPr>
          <w:rFonts w:cs="Times"/>
          <w:i/>
          <w:iCs/>
        </w:rPr>
        <w:t>dl-</w:t>
      </w:r>
      <w:proofErr w:type="spellStart"/>
      <w:r w:rsidRPr="00CA4B63">
        <w:rPr>
          <w:rFonts w:cs="Times"/>
          <w:i/>
          <w:iCs/>
        </w:rPr>
        <w:t>DataToUL</w:t>
      </w:r>
      <w:proofErr w:type="spellEnd"/>
      <w:r w:rsidRPr="00CA4B63">
        <w:rPr>
          <w:rFonts w:cs="Times"/>
          <w:i/>
          <w:iCs/>
        </w:rPr>
        <w:t>-ACK</w:t>
      </w:r>
      <w:r w:rsidRPr="00CA4B63">
        <w:rPr>
          <w:rFonts w:cs="Times"/>
        </w:rPr>
        <w:t xml:space="preserve"> or </w:t>
      </w:r>
      <w:r w:rsidRPr="00CA4B63">
        <w:rPr>
          <w:rFonts w:cs="Times"/>
          <w:i/>
          <w:iCs/>
        </w:rPr>
        <w:t xml:space="preserve">dl-DataToUL-ACK-ForDCI-Format1-2-r16 </w:t>
      </w:r>
      <w:r w:rsidRPr="00CA4B63">
        <w:rPr>
          <w:rFonts w:cs="Times"/>
        </w:rPr>
        <w:t>if the PDSCH-to-</w:t>
      </w:r>
      <w:proofErr w:type="spellStart"/>
      <w:r w:rsidRPr="00CA4B63">
        <w:rPr>
          <w:rFonts w:cs="Times"/>
        </w:rPr>
        <w:t>HARQ_feedback</w:t>
      </w:r>
      <w:proofErr w:type="spellEnd"/>
      <w:r w:rsidRPr="00CA4B63">
        <w:rPr>
          <w:rFonts w:cs="Times"/>
        </w:rPr>
        <w:t xml:space="preserve"> timing indicator field is not present in the DCI</w:t>
      </w:r>
    </w:p>
    <w:p w14:paraId="3ADDE8ED" w14:textId="77777777" w:rsidR="00421E1D" w:rsidRPr="00CA4B63" w:rsidRDefault="00421E1D" w:rsidP="00421E1D">
      <w:pPr>
        <w:pStyle w:val="a7"/>
        <w:numPr>
          <w:ilvl w:val="0"/>
          <w:numId w:val="32"/>
        </w:numPr>
        <w:snapToGrid w:val="0"/>
        <w:spacing w:after="0"/>
        <w:contextualSpacing w:val="0"/>
        <w:jc w:val="both"/>
        <w:rPr>
          <w:rFonts w:cs="Times"/>
          <w:lang w:eastAsia="zh-CN"/>
        </w:rPr>
      </w:pPr>
      <w:r w:rsidRPr="00CA4B63">
        <w:rPr>
          <w:rFonts w:cs="Times"/>
          <w:lang w:eastAsia="zh-CN"/>
        </w:rPr>
        <w:t>When used for beam indication:</w:t>
      </w:r>
    </w:p>
    <w:p w14:paraId="6E3D9C45"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 xml:space="preserve">CS-RNTI is used to scramble the CRC for the DCI </w:t>
      </w:r>
    </w:p>
    <w:p w14:paraId="4CA0EA8B"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The values of the following DCI fields are set as follows:</w:t>
      </w:r>
    </w:p>
    <w:p w14:paraId="5452AA7D"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RV = all ‘1’s</w:t>
      </w:r>
    </w:p>
    <w:p w14:paraId="02636F01"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MCS = all ‘1’s</w:t>
      </w:r>
    </w:p>
    <w:p w14:paraId="3BA63AED"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NDI = 0</w:t>
      </w:r>
    </w:p>
    <w:p w14:paraId="732F6D77"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 xml:space="preserve">Set to all ‘0’s for FDRA Type 0, or all ‘1’s for FDRA Type 1, or all ‘0’s for </w:t>
      </w:r>
      <w:proofErr w:type="spellStart"/>
      <w:r w:rsidRPr="00CA4B63">
        <w:rPr>
          <w:rFonts w:cs="Times"/>
          <w:i/>
        </w:rPr>
        <w:t>dynamicSwitch</w:t>
      </w:r>
      <w:proofErr w:type="spellEnd"/>
      <w:r w:rsidRPr="00CA4B63">
        <w:rPr>
          <w:rFonts w:cs="Times"/>
        </w:rPr>
        <w:t xml:space="preserve"> (same as in Table 10.2-4 of TS38.213) </w:t>
      </w:r>
    </w:p>
    <w:p w14:paraId="7D875720" w14:textId="77777777" w:rsidR="00421E1D" w:rsidRPr="00CA4B63" w:rsidRDefault="00421E1D" w:rsidP="00421E1D">
      <w:pPr>
        <w:pStyle w:val="a7"/>
        <w:numPr>
          <w:ilvl w:val="2"/>
          <w:numId w:val="32"/>
        </w:numPr>
        <w:snapToGrid w:val="0"/>
        <w:spacing w:after="0"/>
        <w:contextualSpacing w:val="0"/>
        <w:jc w:val="both"/>
        <w:rPr>
          <w:rFonts w:cs="Times"/>
        </w:rPr>
      </w:pPr>
      <w:r w:rsidRPr="00CA4B63">
        <w:rPr>
          <w:rFonts w:cs="Times"/>
        </w:rPr>
        <w:t xml:space="preserve">FFS: Whether HPN is also used     </w:t>
      </w:r>
    </w:p>
    <w:p w14:paraId="4C267237" w14:textId="77777777" w:rsidR="00421E1D" w:rsidRPr="00CA4B63" w:rsidRDefault="00421E1D" w:rsidP="00421E1D">
      <w:pPr>
        <w:pStyle w:val="a7"/>
        <w:numPr>
          <w:ilvl w:val="0"/>
          <w:numId w:val="32"/>
        </w:numPr>
        <w:snapToGrid w:val="0"/>
        <w:spacing w:after="0"/>
        <w:contextualSpacing w:val="0"/>
        <w:jc w:val="both"/>
        <w:rPr>
          <w:rFonts w:cs="Times"/>
          <w:lang w:eastAsia="zh-CN"/>
        </w:rPr>
      </w:pPr>
      <w:r w:rsidRPr="00CA4B63">
        <w:rPr>
          <w:rFonts w:cs="Times"/>
          <w:lang w:eastAsia="zh-CN"/>
        </w:rPr>
        <w:t xml:space="preserve">Use the existing TCI field (always present) to signal the following: 1) Joint DL/UL TCI state, 2) DL-only TCI state (for separate DL/UL TCI), 3) UL-only TCI state (for separate DL/UL TCI) </w:t>
      </w:r>
    </w:p>
    <w:p w14:paraId="79F8911A"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 xml:space="preserve">FFS: Whether both DL TCI and UL TCI states can be </w:t>
      </w:r>
      <w:proofErr w:type="spellStart"/>
      <w:r w:rsidRPr="00CA4B63">
        <w:rPr>
          <w:rFonts w:cs="Times"/>
        </w:rPr>
        <w:t>signaled</w:t>
      </w:r>
      <w:proofErr w:type="spellEnd"/>
      <w:r w:rsidRPr="00CA4B63">
        <w:rPr>
          <w:rFonts w:cs="Times"/>
        </w:rPr>
        <w:t xml:space="preserve"> in one instance of beam indication DCI</w:t>
      </w:r>
    </w:p>
    <w:p w14:paraId="4FE38C94"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FFS: Relation with joint vs separate TCI (DL and/or UL) switching, including M/N&gt;1 if supported</w:t>
      </w:r>
    </w:p>
    <w:p w14:paraId="6794E69A" w14:textId="77777777" w:rsidR="00421E1D" w:rsidRPr="00CA4B63" w:rsidRDefault="00421E1D" w:rsidP="00421E1D">
      <w:pPr>
        <w:pStyle w:val="a7"/>
        <w:numPr>
          <w:ilvl w:val="0"/>
          <w:numId w:val="32"/>
        </w:numPr>
        <w:snapToGrid w:val="0"/>
        <w:spacing w:after="0"/>
        <w:contextualSpacing w:val="0"/>
        <w:jc w:val="both"/>
        <w:rPr>
          <w:rFonts w:cs="Times"/>
          <w:lang w:eastAsia="zh-CN"/>
        </w:rPr>
      </w:pPr>
      <w:r w:rsidRPr="00CA4B63">
        <w:rPr>
          <w:rFonts w:cs="Times"/>
          <w:lang w:eastAsia="zh-CN"/>
        </w:rPr>
        <w:t>In addition, use the following DCI fields as the fields are being used in Rel-16:</w:t>
      </w:r>
    </w:p>
    <w:p w14:paraId="565F7DCE"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Identifier for DCI formats</w:t>
      </w:r>
    </w:p>
    <w:p w14:paraId="286A3C34"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Carrier indicator</w:t>
      </w:r>
    </w:p>
    <w:p w14:paraId="0E944DBE"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Bandwidth part indicator</w:t>
      </w:r>
    </w:p>
    <w:p w14:paraId="6A772400" w14:textId="77777777" w:rsidR="00421E1D" w:rsidRPr="00CA4B63" w:rsidRDefault="00421E1D" w:rsidP="00421E1D">
      <w:pPr>
        <w:pStyle w:val="a7"/>
        <w:numPr>
          <w:ilvl w:val="1"/>
          <w:numId w:val="32"/>
        </w:numPr>
        <w:snapToGrid w:val="0"/>
        <w:spacing w:after="0"/>
        <w:contextualSpacing w:val="0"/>
        <w:jc w:val="both"/>
        <w:rPr>
          <w:rFonts w:cs="Times"/>
        </w:rPr>
      </w:pPr>
      <w:r w:rsidRPr="00CA4B63">
        <w:rPr>
          <w:rFonts w:cs="Times"/>
        </w:rPr>
        <w:t>TDRA</w:t>
      </w:r>
    </w:p>
    <w:p w14:paraId="77ACF3C1" w14:textId="77777777" w:rsidR="00421E1D" w:rsidRPr="00C76BA8" w:rsidRDefault="00421E1D" w:rsidP="00421E1D">
      <w:pPr>
        <w:pStyle w:val="a7"/>
        <w:numPr>
          <w:ilvl w:val="1"/>
          <w:numId w:val="32"/>
        </w:numPr>
        <w:snapToGrid w:val="0"/>
        <w:spacing w:after="0"/>
        <w:contextualSpacing w:val="0"/>
        <w:jc w:val="both"/>
        <w:rPr>
          <w:rFonts w:cs="Times"/>
          <w:color w:val="000000"/>
        </w:rPr>
      </w:pPr>
      <w:r w:rsidRPr="00C76BA8">
        <w:rPr>
          <w:rFonts w:cs="Times"/>
          <w:color w:val="000000"/>
        </w:rPr>
        <w:t>Downlink assignment index (if configured)</w:t>
      </w:r>
    </w:p>
    <w:p w14:paraId="41103890" w14:textId="77777777" w:rsidR="00421E1D" w:rsidRPr="00C76BA8" w:rsidRDefault="00421E1D" w:rsidP="00421E1D">
      <w:pPr>
        <w:pStyle w:val="a7"/>
        <w:numPr>
          <w:ilvl w:val="1"/>
          <w:numId w:val="32"/>
        </w:numPr>
        <w:snapToGrid w:val="0"/>
        <w:spacing w:after="0"/>
        <w:contextualSpacing w:val="0"/>
        <w:jc w:val="both"/>
        <w:rPr>
          <w:rFonts w:cs="Times"/>
          <w:color w:val="000000"/>
        </w:rPr>
      </w:pPr>
      <w:r w:rsidRPr="00C76BA8">
        <w:rPr>
          <w:rFonts w:cs="Times"/>
          <w:color w:val="000000"/>
        </w:rPr>
        <w:t>TPC command for scheduled PUCCH</w:t>
      </w:r>
    </w:p>
    <w:p w14:paraId="2656B31F" w14:textId="77777777" w:rsidR="00421E1D" w:rsidRPr="00C76BA8" w:rsidRDefault="00421E1D" w:rsidP="00421E1D">
      <w:pPr>
        <w:pStyle w:val="a7"/>
        <w:numPr>
          <w:ilvl w:val="1"/>
          <w:numId w:val="32"/>
        </w:numPr>
        <w:snapToGrid w:val="0"/>
        <w:spacing w:after="0"/>
        <w:contextualSpacing w:val="0"/>
        <w:jc w:val="both"/>
        <w:rPr>
          <w:rFonts w:cs="Times"/>
          <w:color w:val="000000"/>
        </w:rPr>
      </w:pPr>
      <w:r w:rsidRPr="00C76BA8">
        <w:rPr>
          <w:rFonts w:cs="Times"/>
          <w:color w:val="000000"/>
        </w:rPr>
        <w:t xml:space="preserve">PUCCH resource indicator </w:t>
      </w:r>
    </w:p>
    <w:p w14:paraId="672278B0" w14:textId="77777777" w:rsidR="00421E1D" w:rsidRPr="00C76BA8" w:rsidRDefault="00421E1D" w:rsidP="00421E1D">
      <w:pPr>
        <w:pStyle w:val="a7"/>
        <w:numPr>
          <w:ilvl w:val="1"/>
          <w:numId w:val="32"/>
        </w:numPr>
        <w:snapToGrid w:val="0"/>
        <w:spacing w:after="0"/>
        <w:contextualSpacing w:val="0"/>
        <w:jc w:val="both"/>
        <w:rPr>
          <w:rFonts w:cs="Times"/>
          <w:color w:val="000000"/>
        </w:rPr>
      </w:pPr>
      <w:r w:rsidRPr="00C76BA8">
        <w:rPr>
          <w:rFonts w:cs="Times"/>
          <w:color w:val="000000"/>
        </w:rPr>
        <w:t>PDSCH-to-</w:t>
      </w:r>
      <w:proofErr w:type="spellStart"/>
      <w:r w:rsidRPr="00C76BA8">
        <w:rPr>
          <w:rFonts w:cs="Times"/>
          <w:color w:val="000000"/>
        </w:rPr>
        <w:t>HARQ_feedback</w:t>
      </w:r>
      <w:proofErr w:type="spellEnd"/>
      <w:r w:rsidRPr="00C76BA8">
        <w:rPr>
          <w:rFonts w:cs="Times"/>
          <w:color w:val="000000"/>
        </w:rPr>
        <w:t xml:space="preserve"> timing indicator (if present)   </w:t>
      </w:r>
    </w:p>
    <w:p w14:paraId="307CDC45" w14:textId="77777777" w:rsidR="00421E1D" w:rsidRPr="00C76BA8" w:rsidRDefault="00421E1D" w:rsidP="00421E1D">
      <w:pPr>
        <w:pStyle w:val="a7"/>
        <w:numPr>
          <w:ilvl w:val="0"/>
          <w:numId w:val="32"/>
        </w:numPr>
        <w:snapToGrid w:val="0"/>
        <w:spacing w:after="0"/>
        <w:contextualSpacing w:val="0"/>
        <w:jc w:val="both"/>
        <w:rPr>
          <w:rFonts w:cs="Times"/>
          <w:color w:val="000000"/>
          <w:lang w:eastAsia="zh-CN"/>
        </w:rPr>
      </w:pPr>
      <w:r w:rsidRPr="00C76BA8">
        <w:rPr>
          <w:rFonts w:cs="Times"/>
          <w:color w:val="000000"/>
          <w:lang w:eastAsia="zh-CN"/>
        </w:rPr>
        <w:t xml:space="preserve">The remaining unused DCI fields and </w:t>
      </w:r>
      <w:proofErr w:type="spellStart"/>
      <w:r w:rsidRPr="00C76BA8">
        <w:rPr>
          <w:rFonts w:cs="Times"/>
          <w:color w:val="000000"/>
          <w:lang w:eastAsia="zh-CN"/>
        </w:rPr>
        <w:t>codepoints</w:t>
      </w:r>
      <w:proofErr w:type="spellEnd"/>
      <w:r w:rsidRPr="00C76BA8">
        <w:rPr>
          <w:rFonts w:cs="Times"/>
          <w:color w:val="000000"/>
          <w:lang w:eastAsia="zh-CN"/>
        </w:rPr>
        <w:t xml:space="preserve"> are reserved in R17</w:t>
      </w:r>
    </w:p>
    <w:p w14:paraId="411AFEDC" w14:textId="77777777" w:rsidR="00421E1D" w:rsidRPr="00C76BA8" w:rsidRDefault="00421E1D" w:rsidP="00421E1D">
      <w:pPr>
        <w:numPr>
          <w:ilvl w:val="0"/>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Support UE to report whether or not to support TCI update by DCI format 1_1/1_2.</w:t>
      </w:r>
      <w:r w:rsidRPr="00C76BA8">
        <w:rPr>
          <w:rFonts w:eastAsia="Times New Roman" w:cs="Times"/>
          <w:color w:val="000000"/>
          <w:lang w:eastAsia="zh-CN"/>
        </w:rPr>
        <w:t xml:space="preserve"> </w:t>
      </w:r>
    </w:p>
    <w:p w14:paraId="43B015D0" w14:textId="77777777" w:rsidR="00421E1D" w:rsidRPr="00C76BA8" w:rsidRDefault="00421E1D" w:rsidP="00421E1D">
      <w:pPr>
        <w:numPr>
          <w:ilvl w:val="1"/>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For a UE supporting TCI update by DCI format 1_1/1_2, it must support TCI update by using DCI 1_1/1_2 with DL assignment, and support of the above feature for TCI update by DCI format 1_1/1_2 without DL assignment is UE optional</w:t>
      </w:r>
    </w:p>
    <w:p w14:paraId="5541A8E0" w14:textId="77777777" w:rsidR="00421E1D" w:rsidRPr="00C76BA8" w:rsidRDefault="00421E1D" w:rsidP="00421E1D">
      <w:pPr>
        <w:numPr>
          <w:ilvl w:val="1"/>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FFS: How to handle the case when there is only UL data</w:t>
      </w:r>
    </w:p>
    <w:p w14:paraId="52F86AD2" w14:textId="77777777" w:rsidR="00421E1D" w:rsidRPr="00C76BA8" w:rsidRDefault="00421E1D" w:rsidP="00421E1D">
      <w:pPr>
        <w:numPr>
          <w:ilvl w:val="1"/>
          <w:numId w:val="33"/>
        </w:numPr>
        <w:autoSpaceDN w:val="0"/>
        <w:snapToGrid w:val="0"/>
        <w:spacing w:after="0"/>
        <w:ind w:left="1434" w:hanging="357"/>
        <w:rPr>
          <w:rFonts w:eastAsia="Malgun Gothic" w:cs="Times"/>
          <w:color w:val="000000"/>
          <w:lang w:eastAsia="x-none"/>
        </w:rPr>
      </w:pPr>
      <w:r w:rsidRPr="00C76BA8">
        <w:rPr>
          <w:rFonts w:cs="Times"/>
          <w:color w:val="000000"/>
          <w:lang w:eastAsia="x-none"/>
        </w:rPr>
        <w:t>FFS: The case for UE being indicated with separate UL TCI in DCI format 1_1/1_2 with DL assignment</w:t>
      </w:r>
    </w:p>
    <w:p w14:paraId="1F26E524" w14:textId="77777777" w:rsidR="00421E1D" w:rsidRPr="00C76BA8" w:rsidRDefault="00421E1D" w:rsidP="00421E1D">
      <w:pPr>
        <w:numPr>
          <w:ilvl w:val="0"/>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 xml:space="preserve">FFS: When more than one TCI </w:t>
      </w:r>
      <w:proofErr w:type="spellStart"/>
      <w:r w:rsidRPr="00C76BA8">
        <w:rPr>
          <w:rFonts w:eastAsia="Times New Roman" w:cs="Times"/>
          <w:color w:val="000000"/>
          <w:lang w:eastAsia="x-none"/>
        </w:rPr>
        <w:t>codepoints</w:t>
      </w:r>
      <w:proofErr w:type="spellEnd"/>
      <w:r w:rsidRPr="00C76BA8">
        <w:rPr>
          <w:rFonts w:eastAsia="Times New Roman" w:cs="Times"/>
          <w:color w:val="000000"/>
          <w:lang w:eastAsia="x-none"/>
        </w:rPr>
        <w:t xml:space="preserve"> are activated by MAC CE, the activated TCI state(s) for the lowest </w:t>
      </w:r>
      <w:proofErr w:type="spellStart"/>
      <w:r w:rsidRPr="00C76BA8">
        <w:rPr>
          <w:rFonts w:eastAsia="Times New Roman" w:cs="Times"/>
          <w:color w:val="000000"/>
          <w:lang w:eastAsia="x-none"/>
        </w:rPr>
        <w:t>codepoint</w:t>
      </w:r>
      <w:proofErr w:type="spellEnd"/>
      <w:r w:rsidRPr="00C76BA8">
        <w:rPr>
          <w:rFonts w:eastAsia="Times New Roman" w:cs="Times"/>
          <w:color w:val="000000"/>
          <w:lang w:eastAsia="x-none"/>
        </w:rPr>
        <w:t xml:space="preserve"> is/are applied</w:t>
      </w:r>
      <w:r w:rsidRPr="00C76BA8">
        <w:rPr>
          <w:rFonts w:eastAsia="Times New Roman" w:cs="Times"/>
          <w:color w:val="000000"/>
          <w:lang w:eastAsia="zh-CN"/>
        </w:rPr>
        <w:t xml:space="preserve"> </w:t>
      </w:r>
    </w:p>
    <w:p w14:paraId="32314A4E" w14:textId="77777777" w:rsidR="00421E1D" w:rsidRPr="00C76BA8" w:rsidRDefault="00421E1D" w:rsidP="00421E1D">
      <w:pPr>
        <w:numPr>
          <w:ilvl w:val="1"/>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lastRenderedPageBreak/>
        <w:t>Support of this feature is UE optional</w:t>
      </w:r>
    </w:p>
    <w:p w14:paraId="27FC5CF7" w14:textId="77777777" w:rsidR="00421E1D" w:rsidRPr="00C76BA8" w:rsidRDefault="00421E1D" w:rsidP="00421E1D">
      <w:pPr>
        <w:numPr>
          <w:ilvl w:val="1"/>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 xml:space="preserve">The “lowest </w:t>
      </w:r>
      <w:proofErr w:type="spellStart"/>
      <w:r w:rsidRPr="00C76BA8">
        <w:rPr>
          <w:rFonts w:eastAsia="Times New Roman" w:cs="Times"/>
          <w:color w:val="000000"/>
          <w:lang w:eastAsia="x-none"/>
        </w:rPr>
        <w:t>codepoint</w:t>
      </w:r>
      <w:proofErr w:type="spellEnd"/>
      <w:r w:rsidRPr="00C76BA8">
        <w:rPr>
          <w:rFonts w:eastAsia="Times New Roman" w:cs="Times"/>
          <w:color w:val="000000"/>
          <w:lang w:eastAsia="x-none"/>
        </w:rPr>
        <w:t>” function can be configured on or off.</w:t>
      </w:r>
    </w:p>
    <w:p w14:paraId="17874647" w14:textId="77777777" w:rsidR="00421E1D" w:rsidRPr="00C76BA8" w:rsidRDefault="00421E1D" w:rsidP="00421E1D">
      <w:pPr>
        <w:numPr>
          <w:ilvl w:val="1"/>
          <w:numId w:val="33"/>
        </w:numPr>
        <w:autoSpaceDN w:val="0"/>
        <w:snapToGrid w:val="0"/>
        <w:spacing w:after="0"/>
        <w:rPr>
          <w:rFonts w:eastAsia="Times New Roman" w:cs="Times"/>
          <w:color w:val="000000"/>
          <w:lang w:eastAsia="x-none"/>
        </w:rPr>
      </w:pPr>
      <w:r w:rsidRPr="00C76BA8">
        <w:rPr>
          <w:rFonts w:eastAsia="Times New Roman" w:cs="Times"/>
          <w:color w:val="000000"/>
          <w:lang w:eastAsia="x-none"/>
        </w:rPr>
        <w:t>FFS: Interaction with the DCI based beam update if needed, whether/how to support the case with M or N &gt; 1 if supported</w:t>
      </w:r>
    </w:p>
    <w:p w14:paraId="3B9FBD67" w14:textId="77777777" w:rsidR="00421E1D" w:rsidRPr="00C76BA8" w:rsidRDefault="00421E1D" w:rsidP="00421E1D">
      <w:pPr>
        <w:numPr>
          <w:ilvl w:val="0"/>
          <w:numId w:val="33"/>
        </w:numPr>
        <w:autoSpaceDN w:val="0"/>
        <w:snapToGrid w:val="0"/>
        <w:spacing w:after="0"/>
        <w:rPr>
          <w:rFonts w:eastAsia="Times New Roman" w:cs="Times"/>
          <w:color w:val="000000"/>
          <w:lang w:eastAsia="x-none"/>
        </w:rPr>
      </w:pPr>
      <w:r w:rsidRPr="00C76BA8">
        <w:rPr>
          <w:rFonts w:eastAsia="Times New Roman" w:cs="Times"/>
          <w:color w:val="000000"/>
        </w:rPr>
        <w:t xml:space="preserve">Note: This agreement on DCI beam indication design is not to be used to be against the support of the cases of M/N&gt;1. The </w:t>
      </w:r>
      <w:r w:rsidRPr="00C76BA8">
        <w:rPr>
          <w:rFonts w:eastAsia="Times New Roman" w:cs="Times"/>
          <w:color w:val="000000"/>
          <w:lang w:eastAsia="zh-CN"/>
        </w:rPr>
        <w:t>support of M/N&gt;1 will be separately discussed and not dependent on the decision here.</w:t>
      </w:r>
    </w:p>
    <w:p w14:paraId="4B1E7DEA" w14:textId="52B4310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7C3A014D" w14:textId="3E65A333" w:rsidR="00D40117" w:rsidRDefault="00FE55C5" w:rsidP="00FE55C5">
      <w:pPr>
        <w:spacing w:after="120"/>
        <w:jc w:val="both"/>
        <w:rPr>
          <w:rFonts w:eastAsiaTheme="minorEastAsia"/>
          <w:b/>
          <w:i/>
          <w:sz w:val="22"/>
          <w:szCs w:val="22"/>
          <w:lang w:val="en-US" w:eastAsia="zh-CN"/>
        </w:rPr>
      </w:pPr>
      <w:r>
        <w:rPr>
          <w:rFonts w:eastAsiaTheme="minorEastAsia"/>
          <w:color w:val="000000" w:themeColor="text1"/>
          <w:sz w:val="22"/>
          <w:szCs w:val="22"/>
          <w:lang w:val="en-US" w:eastAsia="zh-CN"/>
        </w:rPr>
        <w:t>Regarding L1-based beam indication, it has been agreed that both DCI formats 1_1/1</w:t>
      </w:r>
      <w:r>
        <w:rPr>
          <w:rFonts w:eastAsiaTheme="minorEastAsia" w:hint="eastAsia"/>
          <w:color w:val="000000" w:themeColor="text1"/>
          <w:sz w:val="22"/>
          <w:szCs w:val="22"/>
          <w:lang w:val="en-US" w:eastAsia="zh-CN"/>
        </w:rPr>
        <w:t>_</w:t>
      </w:r>
      <w:r>
        <w:rPr>
          <w:rFonts w:eastAsiaTheme="minorEastAsia"/>
          <w:color w:val="000000" w:themeColor="text1"/>
          <w:sz w:val="22"/>
          <w:szCs w:val="22"/>
          <w:lang w:val="en-US" w:eastAsia="zh-CN"/>
        </w:rPr>
        <w:t>2 with and without DL assignment are supported to indicate beam update. While there may be some issues to be further discussed.</w:t>
      </w:r>
    </w:p>
    <w:p w14:paraId="14F73B87"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L1-based beam indication based on DCI formats 1_1/1_2 with DL assignment,</w:t>
      </w:r>
      <w:r w:rsidRPr="00186BF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the TCI field can be used to indicate updated beam for following PDSCH/PDCCH transmission after application timing. For example, if the TCI field indicate a different TCI states, UE can assume there is beam updating.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 xml:space="preserve">was agreed as the beam updating is an important command. One solution is to reuse the ACK/NACK for PDSCH scheduled by the DCI to indicate beam indication result. While comparing DCI and PDSCH decoding, PDCCH is designed to be more robust than PDSCH, so there are multiple cases that the DCI can be decoded successfully, but decoding of PDSCH scheduled by the DCI is failed. In this case, NACK will be reported for the PDSCH. While based on the reporting of NACK, network </w:t>
      </w:r>
      <w:proofErr w:type="spellStart"/>
      <w:r>
        <w:rPr>
          <w:rFonts w:eastAsiaTheme="minorEastAsia"/>
          <w:color w:val="000000" w:themeColor="text1"/>
          <w:sz w:val="22"/>
          <w:szCs w:val="22"/>
          <w:lang w:val="en-US" w:eastAsia="zh-CN"/>
        </w:rPr>
        <w:t>can not</w:t>
      </w:r>
      <w:proofErr w:type="spellEnd"/>
      <w:r>
        <w:rPr>
          <w:rFonts w:eastAsiaTheme="minorEastAsia"/>
          <w:color w:val="000000" w:themeColor="text1"/>
          <w:sz w:val="22"/>
          <w:szCs w:val="22"/>
          <w:lang w:val="en-US" w:eastAsia="zh-CN"/>
        </w:rPr>
        <w:t xml:space="preserve"> obtain the decoding result of PDCCH, as there are two cases corresponding to NACK, one case is that DCI is missed or unsuccessfully decoded, the other one is that DCI decoding is successful, but PDSCH decoding is failed, especially in case of HARQ-ACK multiplexing based on Type 1 or Type 2 HARQ-ACK codebook, as shown in following Table. 1. </w:t>
      </w:r>
    </w:p>
    <w:p w14:paraId="6BB35F77" w14:textId="77777777" w:rsidR="00FE55C5" w:rsidRPr="009E406F" w:rsidRDefault="00FE55C5" w:rsidP="00FE55C5">
      <w:pPr>
        <w:spacing w:after="120"/>
        <w:jc w:val="center"/>
        <w:rPr>
          <w:rFonts w:eastAsiaTheme="minorEastAsia"/>
          <w:color w:val="000000" w:themeColor="text1"/>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able. 1. DCI and PDSCH decoding result</w:t>
      </w:r>
    </w:p>
    <w:tbl>
      <w:tblPr>
        <w:tblW w:w="9629" w:type="dxa"/>
        <w:tblCellMar>
          <w:left w:w="0" w:type="dxa"/>
          <w:right w:w="0" w:type="dxa"/>
        </w:tblCellMar>
        <w:tblLook w:val="0600" w:firstRow="0" w:lastRow="0" w:firstColumn="0" w:lastColumn="0" w:noHBand="1" w:noVBand="1"/>
      </w:tblPr>
      <w:tblGrid>
        <w:gridCol w:w="1293"/>
        <w:gridCol w:w="1444"/>
        <w:gridCol w:w="1931"/>
        <w:gridCol w:w="2062"/>
        <w:gridCol w:w="2899"/>
      </w:tblGrid>
      <w:tr w:rsidR="00FE55C5" w:rsidRPr="00CD0107" w14:paraId="389A7464" w14:textId="77777777" w:rsidTr="00C52D3E">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6245A0"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5EC7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1D1C78"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HARQ-ACK feedback</w:t>
            </w:r>
          </w:p>
          <w:p w14:paraId="4FDA0AE0"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(based on 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000B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7BE3F"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Network understanding</w:t>
            </w:r>
            <w:r>
              <w:rPr>
                <w:rFonts w:eastAsiaTheme="minorEastAsia"/>
                <w:color w:val="000000" w:themeColor="text1"/>
                <w:sz w:val="22"/>
                <w:szCs w:val="22"/>
                <w:lang w:val="en-US" w:eastAsia="zh-CN"/>
              </w:rPr>
              <w:t xml:space="preserve"> on DCI decoding</w:t>
            </w:r>
          </w:p>
        </w:tc>
      </w:tr>
      <w:tr w:rsidR="00FE55C5" w:rsidRPr="00CD0107" w14:paraId="601996D6" w14:textId="77777777" w:rsidTr="00C52D3E">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003C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D04BE"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BA9A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67D065"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28809"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r>
      <w:tr w:rsidR="00FE55C5" w:rsidRPr="00CD0107" w14:paraId="5A472540" w14:textId="77777777" w:rsidTr="00C52D3E">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BC7A3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96E1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4797"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44085" w14:textId="77777777" w:rsidR="00FE55C5" w:rsidRPr="00102DF2" w:rsidRDefault="00FE55C5" w:rsidP="00C52D3E">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C384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b/>
                <w:bCs/>
                <w:color w:val="000000" w:themeColor="text1"/>
                <w:sz w:val="22"/>
                <w:szCs w:val="22"/>
                <w:lang w:val="en-US" w:eastAsia="zh-CN"/>
              </w:rPr>
              <w:t>Unknown</w:t>
            </w:r>
          </w:p>
        </w:tc>
      </w:tr>
      <w:tr w:rsidR="00FE55C5" w:rsidRPr="00CD0107" w14:paraId="2E11E9C1" w14:textId="77777777" w:rsidTr="00C52D3E">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6CE9F4"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83073"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77A88" w14:textId="77777777" w:rsidR="00FE55C5" w:rsidRPr="00CD0107" w:rsidRDefault="00FE55C5" w:rsidP="00C52D3E">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346335" w14:textId="77777777" w:rsidR="00FE55C5" w:rsidRPr="00102DF2" w:rsidRDefault="00FE55C5" w:rsidP="00C52D3E">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3ACEE41C" w14:textId="77777777" w:rsidR="00FE55C5" w:rsidRPr="00CD0107" w:rsidRDefault="00FE55C5" w:rsidP="00C52D3E">
            <w:pPr>
              <w:spacing w:after="120"/>
              <w:jc w:val="both"/>
              <w:rPr>
                <w:rFonts w:eastAsiaTheme="minorEastAsia"/>
                <w:color w:val="000000" w:themeColor="text1"/>
                <w:sz w:val="22"/>
                <w:szCs w:val="22"/>
                <w:lang w:val="en-US" w:eastAsia="zh-CN"/>
              </w:rPr>
            </w:pPr>
          </w:p>
        </w:tc>
      </w:tr>
    </w:tbl>
    <w:p w14:paraId="004153F4" w14:textId="77777777" w:rsidR="00FE55C5" w:rsidRDefault="00FE55C5" w:rsidP="00FE55C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guarantee the beam indication result, network needs further update the new beam, until receives an ACK report, and then apply the new beam after application timing, in this case, it will cause quite large delay. Or network applies the new beam as long as receiving HARQ feedback regardless whether it’s ACK or NACK, in this case, applied beam may be mismatched between network and UE, even leading to beam failure. To solve this issue, one way is to introduce additional HARQ-ACK for the DCI beside HARQ of PDSCH, and the additional HARQ-ACK can be reported in slot based on </w:t>
      </w:r>
      <w:r w:rsidRPr="002625EB">
        <w:rPr>
          <w:rFonts w:hint="eastAsia"/>
          <w:lang w:eastAsia="zh-CN"/>
        </w:rPr>
        <w:t>PDSCH-to-</w:t>
      </w:r>
      <w:proofErr w:type="spellStart"/>
      <w:r w:rsidRPr="002625EB">
        <w:rPr>
          <w:rFonts w:hint="eastAsia"/>
          <w:lang w:eastAsia="zh-CN"/>
        </w:rPr>
        <w:t>HARQ_feedback</w:t>
      </w:r>
      <w:proofErr w:type="spellEnd"/>
      <w:r w:rsidRPr="00891C31">
        <w:rPr>
          <w:rFonts w:eastAsiaTheme="minorEastAsia"/>
          <w:color w:val="000000" w:themeColor="text1"/>
          <w:sz w:val="22"/>
          <w:szCs w:val="22"/>
          <w:lang w:val="en-US" w:eastAsia="zh-CN"/>
        </w:rPr>
        <w:t xml:space="preserve"> starting from the last symbol of the PDCCH. In this way, network can obtain the decoding result of DCI to apply new beam properly, in addition, the HARQ-ACK of DCI can be reported earlier (no need of scheduling offset between PDCCH and PDSCH), which can reduce beam indication latency.</w:t>
      </w:r>
    </w:p>
    <w:p w14:paraId="653E6C03" w14:textId="5BC17C49"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Additional ACK/NACK for decoding result of the DCI with DL assignment should be introduced to indicate the beam indication result, and the offset for the ACK/NACK report is counting from the last symbol of the PDCCH.</w:t>
      </w:r>
    </w:p>
    <w:p w14:paraId="26C2AE06"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we don’t want to introduce overhead and complexity for the additional ACK/NACK of DCI, clarification on the reusing of ACK/NACK of the scheduled PDSCH is needed, i.e. only ACK for the scheduled PDSCH can be regarded as acknowledge of beam indication. So we propose that</w:t>
      </w:r>
      <w:r>
        <w:rPr>
          <w:rFonts w:eastAsiaTheme="minorEastAsia" w:hint="eastAsia"/>
          <w:color w:val="000000" w:themeColor="text1"/>
          <w:sz w:val="22"/>
          <w:szCs w:val="22"/>
          <w:lang w:val="en-US" w:eastAsia="zh-CN"/>
        </w:rPr>
        <w:t>:</w:t>
      </w:r>
    </w:p>
    <w:p w14:paraId="159AD281" w14:textId="2DB11EB5" w:rsidR="00FE55C5" w:rsidRDefault="00FE55C5" w:rsidP="00FE55C5">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6F8A6CC9"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in case of HARQ-ACK multiplexing, including Type 1 and Type 2 HARQ-ACK codebook, there may be more than one PDCCH indicating different new beams, in this case, which new beam is applied after application timing should be clarified. For example, the beam indicated in a DCI corresponding to last position with value ACK in the HARQ-ACK codebook is applied, as shown in Figure. 1.</w:t>
      </w:r>
    </w:p>
    <w:p w14:paraId="2C7C57A0" w14:textId="77777777" w:rsidR="00FE55C5" w:rsidRDefault="00FE55C5" w:rsidP="00FE55C5">
      <w:pPr>
        <w:spacing w:after="120"/>
        <w:jc w:val="center"/>
        <w:rPr>
          <w:rFonts w:eastAsiaTheme="minorEastAsia"/>
          <w:color w:val="000000" w:themeColor="text1"/>
          <w:sz w:val="22"/>
          <w:szCs w:val="22"/>
          <w:lang w:val="en-US" w:eastAsia="zh-CN"/>
        </w:rPr>
      </w:pPr>
      <w:r>
        <w:object w:dxaOrig="16667" w:dyaOrig="5869" w14:anchorId="26909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13.5pt" o:ole="">
            <v:imagedata r:id="rId8" o:title=""/>
          </v:shape>
          <o:OLEObject Type="Embed" ProgID="Visio.Drawing.11" ShapeID="_x0000_i1025" DrawAspect="Content" ObjectID="_1682252187" r:id="rId9"/>
        </w:object>
      </w:r>
    </w:p>
    <w:p w14:paraId="393A71AA" w14:textId="77777777" w:rsidR="00FE55C5" w:rsidRPr="009E406F" w:rsidRDefault="00FE55C5" w:rsidP="00FE55C5">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Applied TCI state in case of HARQ-ACK multiplexing</w:t>
      </w:r>
    </w:p>
    <w:p w14:paraId="122746C0"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07D1EBE0" w14:textId="69F374C8"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The TCI state(s) indicated in a DCI corresponding to last position with value ACK in the HARQ-ACK codebook is applied in case of HARQ-ACK multiplexing.</w:t>
      </w:r>
    </w:p>
    <w:p w14:paraId="1B52A5BA" w14:textId="6353D2FB"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as agreed in AI 8.1.3, there are unused fields in DCI 0_1/0_2 without data and without CSI request for SRS triggering. The unused fields can also be repurposed for DCI based beam indication, and based on this DCI, there is no need of HARQ-ACK feedback to indicate successful beam indication. For example, after network receiving the triggered SRS, the beam indication can be regarded as successful.</w:t>
      </w:r>
    </w:p>
    <w:p w14:paraId="0BECEB86" w14:textId="04D6A0A7"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DCI 0_1/0_2 without data and without CSI request can be applied to L1-based beam indication.</w:t>
      </w:r>
    </w:p>
    <w:p w14:paraId="05EE93EE"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addition, structure of dynamic beam indication should be designed to be suitable considering multi-TRP transmission, regarding PDCCH/PDSCH/PUSCH reliability based on multi-TRP, there are either two TCI states for PDCCH or two TCI states indicated in the DCI, and whether or which TCI states is updated should be considered. </w:t>
      </w:r>
    </w:p>
    <w:p w14:paraId="2CADD1E7" w14:textId="011B5445"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 designed to be suitable for multi-TRP transmission.</w:t>
      </w:r>
    </w:p>
    <w:p w14:paraId="235A467D" w14:textId="77777777" w:rsidR="00FE55C5" w:rsidRDefault="00FE55C5" w:rsidP="00FE55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thing is that if beam for PDCCH is dynamically updated, there will be impact to the set of reference signals </w:t>
      </w:r>
      <w:r>
        <w:rPr>
          <w:iCs/>
          <w:noProof/>
          <w:position w:val="-10"/>
          <w:lang w:val="en-US" w:eastAsia="zh-CN"/>
        </w:rPr>
        <w:drawing>
          <wp:inline distT="0" distB="0" distL="0" distR="0" wp14:anchorId="43CFC75E" wp14:editId="15203179">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Theme="minorEastAsia"/>
          <w:color w:val="000000" w:themeColor="text1"/>
          <w:sz w:val="22"/>
          <w:szCs w:val="22"/>
          <w:lang w:val="en-US" w:eastAsia="zh-CN"/>
        </w:rPr>
        <w:t xml:space="preserve">for beam failure detection, which is monitored for the hypothesis of PDCCH reception. For example, if the beam for PDCCH is updated, the current set of </w:t>
      </w:r>
      <w:r>
        <w:rPr>
          <w:iCs/>
          <w:noProof/>
          <w:position w:val="-10"/>
          <w:lang w:val="en-US" w:eastAsia="zh-CN"/>
        </w:rPr>
        <w:drawing>
          <wp:inline distT="0" distB="0" distL="0" distR="0" wp14:anchorId="0F16BE02" wp14:editId="76841E67">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Theme="minorEastAsia"/>
          <w:color w:val="000000" w:themeColor="text1"/>
          <w:sz w:val="22"/>
          <w:szCs w:val="22"/>
          <w:lang w:val="en-US" w:eastAsia="zh-CN"/>
        </w:rPr>
        <w:t>may not be suitable for beam failure detection any more.</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So we propose that:</w:t>
      </w:r>
    </w:p>
    <w:p w14:paraId="594EEC65" w14:textId="0BB422C9" w:rsidR="00FE55C5" w:rsidRDefault="00FE55C5" w:rsidP="00FE55C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0331E319" w14:textId="77777777" w:rsidR="00FA177B" w:rsidRDefault="00FA177B" w:rsidP="00FA177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Additional ACK/NACK for decoding result of the DCI with DL assignment should be introduced to indicate the beam indication result, and the offset for the ACK/NACK report is counting from the last symbol of the PDCCH.</w:t>
      </w:r>
    </w:p>
    <w:p w14:paraId="4E5052E1" w14:textId="77777777" w:rsidR="00FA177B" w:rsidRDefault="00FA177B" w:rsidP="00FA177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2EFB2893" w14:textId="77777777" w:rsidR="00FA177B" w:rsidRDefault="00FA177B" w:rsidP="00FA177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The TCI state(s) indicated in a DCI corresponding to last position with value ACK in the HARQ-ACK codebook is applied in case of HARQ-ACK multiplexing.</w:t>
      </w:r>
    </w:p>
    <w:p w14:paraId="44898476" w14:textId="77777777" w:rsidR="00FA177B" w:rsidRDefault="00FA177B" w:rsidP="00FA177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DCI 0_1/0_2 without data and without CSI request can be applied to L1-based beam indication.</w:t>
      </w:r>
    </w:p>
    <w:p w14:paraId="42616C40" w14:textId="77777777" w:rsidR="00580EAA" w:rsidRDefault="00580EAA" w:rsidP="00580EAA">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 designed to be suitable for multi-TRP transmission.</w:t>
      </w:r>
    </w:p>
    <w:p w14:paraId="22D68204" w14:textId="77777777" w:rsidR="00FA177B" w:rsidRDefault="00FA177B" w:rsidP="00FA177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7F9A607A" w14:textId="77777777" w:rsidR="006F1D98" w:rsidRDefault="006F1D98" w:rsidP="006F1D98">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6F1D98"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B081F" w14:textId="77777777" w:rsidR="005B30A9" w:rsidRPr="00D733E0" w:rsidRDefault="005B30A9" w:rsidP="00D400AF">
      <w:pPr>
        <w:spacing w:after="0"/>
        <w:rPr>
          <w:rFonts w:ascii="Arial" w:eastAsia="宋体" w:hAnsi="Arial" w:cs="Arial"/>
          <w:color w:val="0000FF"/>
          <w:kern w:val="2"/>
          <w:lang w:val="en-US" w:eastAsia="zh-CN"/>
        </w:rPr>
      </w:pPr>
      <w:r>
        <w:separator/>
      </w:r>
    </w:p>
  </w:endnote>
  <w:endnote w:type="continuationSeparator" w:id="0">
    <w:p w14:paraId="5733092C" w14:textId="77777777" w:rsidR="005B30A9" w:rsidRPr="00D733E0" w:rsidRDefault="005B30A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0AD31B2" w:rsidR="00B9662A" w:rsidRPr="007A56A3" w:rsidRDefault="00B9662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21802" w:rsidRPr="00721802">
          <w:rPr>
            <w:noProof/>
            <w:sz w:val="21"/>
            <w:lang w:val="zh-CN" w:eastAsia="zh-CN"/>
          </w:rPr>
          <w:t>4</w:t>
        </w:r>
        <w:r w:rsidRPr="007A56A3">
          <w:rPr>
            <w:sz w:val="21"/>
          </w:rPr>
          <w:fldChar w:fldCharType="end"/>
        </w:r>
      </w:p>
    </w:sdtContent>
  </w:sdt>
  <w:p w14:paraId="55D08AE3" w14:textId="77777777" w:rsidR="00B9662A" w:rsidRDefault="00B9662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9DA29" w14:textId="77777777" w:rsidR="005B30A9" w:rsidRPr="00D733E0" w:rsidRDefault="005B30A9" w:rsidP="00D400AF">
      <w:pPr>
        <w:spacing w:after="0"/>
        <w:rPr>
          <w:rFonts w:ascii="Arial" w:eastAsia="宋体" w:hAnsi="Arial" w:cs="Arial"/>
          <w:color w:val="0000FF"/>
          <w:kern w:val="2"/>
          <w:lang w:val="en-US" w:eastAsia="zh-CN"/>
        </w:rPr>
      </w:pPr>
      <w:r>
        <w:separator/>
      </w:r>
    </w:p>
  </w:footnote>
  <w:footnote w:type="continuationSeparator" w:id="0">
    <w:p w14:paraId="495A19E2" w14:textId="77777777" w:rsidR="005B30A9" w:rsidRPr="00D733E0" w:rsidRDefault="005B30A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86D79E0"/>
    <w:multiLevelType w:val="hybridMultilevel"/>
    <w:tmpl w:val="B45239BE"/>
    <w:lvl w:ilvl="0" w:tplc="AC968F4C">
      <w:start w:val="3"/>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8"/>
  </w:num>
  <w:num w:numId="10">
    <w:abstractNumId w:val="26"/>
  </w:num>
  <w:num w:numId="11">
    <w:abstractNumId w:val="4"/>
  </w:num>
  <w:num w:numId="12">
    <w:abstractNumId w:val="1"/>
  </w:num>
  <w:num w:numId="13">
    <w:abstractNumId w:val="14"/>
  </w:num>
  <w:num w:numId="14">
    <w:abstractNumId w:val="11"/>
  </w:num>
  <w:num w:numId="15">
    <w:abstractNumId w:val="6"/>
  </w:num>
  <w:num w:numId="16">
    <w:abstractNumId w:val="8"/>
  </w:num>
  <w:num w:numId="17">
    <w:abstractNumId w:val="22"/>
  </w:num>
  <w:num w:numId="18">
    <w:abstractNumId w:val="16"/>
  </w:num>
  <w:num w:numId="19">
    <w:abstractNumId w:val="13"/>
  </w:num>
  <w:num w:numId="20">
    <w:abstractNumId w:val="21"/>
  </w:num>
  <w:num w:numId="21">
    <w:abstractNumId w:val="20"/>
    <w:lvlOverride w:ilvl="0"/>
    <w:lvlOverride w:ilvl="1">
      <w:startOverride w:val="1"/>
    </w:lvlOverride>
    <w:lvlOverride w:ilvl="2"/>
    <w:lvlOverride w:ilvl="3"/>
    <w:lvlOverride w:ilvl="4"/>
    <w:lvlOverride w:ilvl="5"/>
    <w:lvlOverride w:ilvl="6"/>
    <w:lvlOverride w:ilvl="7"/>
    <w:lvlOverride w:ilvl="8"/>
  </w:num>
  <w:num w:numId="22">
    <w:abstractNumId w:val="25"/>
  </w:num>
  <w:num w:numId="23">
    <w:abstractNumId w:val="10"/>
  </w:num>
  <w:num w:numId="24">
    <w:abstractNumId w:val="20"/>
  </w:num>
  <w:num w:numId="25">
    <w:abstractNumId w:val="5"/>
  </w:num>
  <w:num w:numId="26">
    <w:abstractNumId w:val="15"/>
  </w:num>
  <w:num w:numId="27">
    <w:abstractNumId w:val="17"/>
  </w:num>
  <w:num w:numId="28">
    <w:abstractNumId w:val="29"/>
  </w:num>
  <w:num w:numId="29">
    <w:abstractNumId w:val="12"/>
  </w:num>
  <w:num w:numId="30">
    <w:abstractNumId w:val="24"/>
  </w:num>
  <w:num w:numId="31">
    <w:abstractNumId w:val="19"/>
  </w:num>
  <w:num w:numId="32">
    <w:abstractNumId w:val="27"/>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57A67"/>
    <w:rsid w:val="000605C5"/>
    <w:rsid w:val="000609E1"/>
    <w:rsid w:val="00060A98"/>
    <w:rsid w:val="00061D32"/>
    <w:rsid w:val="000626F7"/>
    <w:rsid w:val="00062A5B"/>
    <w:rsid w:val="000634E2"/>
    <w:rsid w:val="0006581D"/>
    <w:rsid w:val="00065B12"/>
    <w:rsid w:val="00065EA6"/>
    <w:rsid w:val="000665BA"/>
    <w:rsid w:val="0006717E"/>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2383"/>
    <w:rsid w:val="000F3573"/>
    <w:rsid w:val="000F41CD"/>
    <w:rsid w:val="000F4533"/>
    <w:rsid w:val="000F4B5D"/>
    <w:rsid w:val="000F7683"/>
    <w:rsid w:val="000F7C4F"/>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4600"/>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6BF7"/>
    <w:rsid w:val="00187708"/>
    <w:rsid w:val="00191535"/>
    <w:rsid w:val="00192808"/>
    <w:rsid w:val="00192ED5"/>
    <w:rsid w:val="00194203"/>
    <w:rsid w:val="001947B0"/>
    <w:rsid w:val="001952FE"/>
    <w:rsid w:val="00195CDE"/>
    <w:rsid w:val="00195D63"/>
    <w:rsid w:val="001A09CE"/>
    <w:rsid w:val="001A140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4D7C"/>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67F"/>
    <w:rsid w:val="00383C4F"/>
    <w:rsid w:val="00384616"/>
    <w:rsid w:val="00384EE1"/>
    <w:rsid w:val="0038501C"/>
    <w:rsid w:val="00387BED"/>
    <w:rsid w:val="00387E88"/>
    <w:rsid w:val="003908E7"/>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0332"/>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352"/>
    <w:rsid w:val="00411948"/>
    <w:rsid w:val="00412680"/>
    <w:rsid w:val="00414A95"/>
    <w:rsid w:val="00415812"/>
    <w:rsid w:val="004158D3"/>
    <w:rsid w:val="0042024A"/>
    <w:rsid w:val="004214B1"/>
    <w:rsid w:val="0042184F"/>
    <w:rsid w:val="00421E1D"/>
    <w:rsid w:val="00423E6C"/>
    <w:rsid w:val="00423E8F"/>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04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4F2C"/>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0EAA"/>
    <w:rsid w:val="00581E06"/>
    <w:rsid w:val="0058259C"/>
    <w:rsid w:val="00585095"/>
    <w:rsid w:val="00585A74"/>
    <w:rsid w:val="00586428"/>
    <w:rsid w:val="005916F5"/>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0A9"/>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D41"/>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178"/>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C17"/>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6600"/>
    <w:rsid w:val="006A71F8"/>
    <w:rsid w:val="006A726B"/>
    <w:rsid w:val="006B4132"/>
    <w:rsid w:val="006B7B38"/>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D98"/>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802"/>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6CF0"/>
    <w:rsid w:val="007E7F8B"/>
    <w:rsid w:val="007F3387"/>
    <w:rsid w:val="007F3C89"/>
    <w:rsid w:val="007F46DC"/>
    <w:rsid w:val="00801104"/>
    <w:rsid w:val="00801C13"/>
    <w:rsid w:val="00802005"/>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4BFB"/>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6DC"/>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5E"/>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4D"/>
    <w:rsid w:val="00940298"/>
    <w:rsid w:val="009404CA"/>
    <w:rsid w:val="00941E31"/>
    <w:rsid w:val="00942E9E"/>
    <w:rsid w:val="00943B28"/>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7B1"/>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5817"/>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9662A"/>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06B5"/>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5A61"/>
    <w:rsid w:val="00CB62DE"/>
    <w:rsid w:val="00CB75BB"/>
    <w:rsid w:val="00CB7721"/>
    <w:rsid w:val="00CC0B5A"/>
    <w:rsid w:val="00CC232F"/>
    <w:rsid w:val="00CC3E81"/>
    <w:rsid w:val="00CC40B8"/>
    <w:rsid w:val="00CC5275"/>
    <w:rsid w:val="00CC53A1"/>
    <w:rsid w:val="00CC5606"/>
    <w:rsid w:val="00CC647C"/>
    <w:rsid w:val="00CD11CD"/>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CF7C0F"/>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117"/>
    <w:rsid w:val="00D405A2"/>
    <w:rsid w:val="00D4074E"/>
    <w:rsid w:val="00D40B7D"/>
    <w:rsid w:val="00D4222F"/>
    <w:rsid w:val="00D432B7"/>
    <w:rsid w:val="00D46F1F"/>
    <w:rsid w:val="00D47B37"/>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177B"/>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5C5"/>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3010C-05B1-472D-A398-6EBF72F3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4</Pages>
  <Words>1476</Words>
  <Characters>8419</Characters>
  <Application>Microsoft Office Word</Application>
  <DocSecurity>0</DocSecurity>
  <Lines>70</Lines>
  <Paragraphs>19</Paragraphs>
  <ScaleCrop>false</ScaleCrop>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107</cp:revision>
  <dcterms:created xsi:type="dcterms:W3CDTF">2019-09-25T05:48:00Z</dcterms:created>
  <dcterms:modified xsi:type="dcterms:W3CDTF">2021-05-11T07:05:00Z</dcterms:modified>
</cp:coreProperties>
</file>