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960F" w14:textId="77777777" w:rsidR="00EA2CBE" w:rsidRDefault="00827C1F">
      <w:pPr>
        <w:pStyle w:val="a8"/>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a5"/>
              <w:numPr>
                <w:ilvl w:val="1"/>
                <w:numId w:val="5"/>
              </w:numPr>
              <w:spacing w:after="60"/>
              <w:jc w:val="left"/>
              <w:rPr>
                <w:rFonts w:cs="Arial"/>
                <w:b/>
              </w:rPr>
            </w:pPr>
            <w:r>
              <w:rPr>
                <w:rFonts w:cs="Arial"/>
              </w:rPr>
              <w:t>Reduced minimum number of Rx branches:</w:t>
            </w:r>
          </w:p>
          <w:p w14:paraId="1EFB961C" w14:textId="77777777" w:rsidR="00EA2CBE" w:rsidRDefault="00827C1F">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5"/>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5"/>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af2"/>
        <w:jc w:val="both"/>
        <w:rPr>
          <w:rFonts w:ascii="Arial" w:eastAsia="Batang" w:hAnsi="Arial" w:cs="Times New Roman"/>
          <w:sz w:val="20"/>
          <w:szCs w:val="20"/>
          <w:lang w:val="en-US" w:eastAsia="zh-CN"/>
        </w:rPr>
      </w:pPr>
    </w:p>
    <w:p w14:paraId="1EFB962C" w14:textId="77777777" w:rsidR="00EA2CBE" w:rsidRDefault="00EA2CBE">
      <w:pPr>
        <w:pStyle w:val="af2"/>
        <w:jc w:val="both"/>
        <w:rPr>
          <w:rFonts w:ascii="Arial" w:eastAsia="Batang" w:hAnsi="Arial" w:cs="Times New Roman"/>
          <w:sz w:val="20"/>
          <w:szCs w:val="20"/>
          <w:lang w:val="en-US" w:eastAsia="zh-CN"/>
        </w:rPr>
      </w:pPr>
    </w:p>
    <w:p w14:paraId="1EFB962D" w14:textId="77777777" w:rsidR="00EA2CBE" w:rsidRDefault="00EA2CBE">
      <w:pPr>
        <w:pStyle w:val="af2"/>
        <w:jc w:val="both"/>
        <w:rPr>
          <w:rFonts w:ascii="Arial" w:eastAsia="Batang" w:hAnsi="Arial" w:cs="Times New Roman"/>
          <w:sz w:val="20"/>
          <w:szCs w:val="20"/>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af2"/>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2"/>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2"/>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1"/>
      </w:pPr>
      <w:r>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lastRenderedPageBreak/>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2"/>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2"/>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5BE323B0" w14:textId="77777777" w:rsidR="005C494E" w:rsidRDefault="005C494E" w:rsidP="005C494E">
            <w:pPr>
              <w:rPr>
                <w:rFonts w:ascii="Arial" w:eastAsia="等线" w:hAnsi="Arial" w:cs="Arial"/>
                <w:lang w:val="en-US" w:eastAsia="zh-CN"/>
              </w:rPr>
            </w:pPr>
            <w:r>
              <w:rPr>
                <w:rFonts w:ascii="Arial" w:eastAsia="等线" w:hAnsi="Arial" w:cs="Arial"/>
                <w:lang w:val="en-US" w:eastAsia="zh-CN"/>
              </w:rPr>
              <w:t xml:space="preserve">Our preference is Alt 6, </w:t>
            </w:r>
            <w:r w:rsidRPr="00B37B9D">
              <w:rPr>
                <w:rFonts w:ascii="Arial" w:eastAsia="等线" w:hAnsi="Arial" w:cs="Arial"/>
                <w:lang w:val="en-US" w:eastAsia="zh-CN"/>
              </w:rPr>
              <w:t>to reduce the PDCCH blocking for coexistence between RedCap UE and non-RedCap UE, as a straightforward way, the separate initial DL BWP</w:t>
            </w:r>
            <w:r>
              <w:rPr>
                <w:rFonts w:ascii="Arial" w:eastAsia="等线" w:hAnsi="Arial" w:cs="Arial"/>
                <w:lang w:val="en-US" w:eastAsia="zh-CN"/>
              </w:rPr>
              <w:t xml:space="preserve"> can be configured to RedCap UE, further, </w:t>
            </w:r>
            <w:r w:rsidRPr="00B37B9D">
              <w:rPr>
                <w:rFonts w:ascii="Arial" w:eastAsia="等线"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等线" w:hAnsi="Arial" w:cs="Arial" w:hint="eastAsia"/>
                <w:lang w:val="en-US" w:eastAsia="zh-CN"/>
              </w:rPr>
            </w:pPr>
            <w:r>
              <w:rPr>
                <w:rFonts w:ascii="Arial" w:eastAsia="等线" w:hAnsi="Arial" w:cs="Arial"/>
                <w:lang w:val="en-US" w:eastAsia="zh-CN"/>
              </w:rPr>
              <w:t>Huawei</w:t>
            </w:r>
          </w:p>
        </w:tc>
        <w:tc>
          <w:tcPr>
            <w:tcW w:w="8041" w:type="dxa"/>
          </w:tcPr>
          <w:p w14:paraId="110862E5" w14:textId="7CB47408" w:rsidR="005A61D1" w:rsidRDefault="005A61D1" w:rsidP="005A61D1">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等线" w:hAnsi="Arial" w:cs="Arial"/>
                <w:lang w:val="en-US" w:eastAsia="zh-CN"/>
              </w:rPr>
            </w:pPr>
            <w:r>
              <w:rPr>
                <w:rFonts w:ascii="Arial" w:eastAsia="等线" w:hAnsi="Arial" w:cs="Arial"/>
                <w:lang w:val="en-US" w:eastAsia="zh-CN"/>
              </w:rPr>
              <w:t>Alt 6 needs to be removed here as it is being discuss</w:t>
            </w:r>
            <w:r w:rsidR="002079BE">
              <w:rPr>
                <w:rFonts w:ascii="Arial" w:eastAsia="等线" w:hAnsi="Arial" w:cs="Arial"/>
                <w:lang w:val="en-US" w:eastAsia="zh-CN"/>
              </w:rPr>
              <w:t>ed in RedCap-01 thread as well.</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2"/>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2"/>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2"/>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af2"/>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w:t>
            </w:r>
            <w:r>
              <w:rPr>
                <w:rFonts w:ascii="Arial" w:eastAsia="宋体" w:hAnsi="Arial" w:cs="Arial" w:hint="eastAsia"/>
                <w:color w:val="000000" w:themeColor="text1"/>
                <w:lang w:val="en-US" w:eastAsia="zh-CN"/>
              </w:rPr>
              <w:lastRenderedPageBreak/>
              <w:t xml:space="preserve">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sidRPr="00D2622F">
              <w:rPr>
                <w:rFonts w:ascii="Arial" w:eastAsia="等线"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hint="eastAsia"/>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等线" w:hAnsi="Arial" w:cs="Arial" w:hint="eastAsia"/>
                <w:lang w:val="en-US" w:eastAsia="zh-CN"/>
              </w:rPr>
            </w:pPr>
          </w:p>
        </w:tc>
        <w:tc>
          <w:tcPr>
            <w:tcW w:w="6215" w:type="dxa"/>
          </w:tcPr>
          <w:p w14:paraId="6DA52658" w14:textId="3F2A26D0" w:rsidR="002079BE" w:rsidRDefault="002079BE" w:rsidP="00313C2E">
            <w:pPr>
              <w:rPr>
                <w:rFonts w:ascii="Arial" w:eastAsia="等线" w:hAnsi="Arial" w:cs="Arial"/>
                <w:lang w:val="en-US" w:eastAsia="zh-CN"/>
              </w:rPr>
            </w:pPr>
            <w:r>
              <w:rPr>
                <w:rFonts w:ascii="Arial" w:eastAsia="等线" w:hAnsi="Arial" w:cs="Arial"/>
                <w:lang w:val="en-US" w:eastAsia="zh-CN"/>
              </w:rPr>
              <w:t>Same view as FUTUREWEI and our preference is Opt2.</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等线" w:hAnsi="Arial" w:cs="Arial" w:hint="eastAsia"/>
                <w:lang w:val="en-US" w:eastAsia="zh-CN"/>
              </w:rPr>
            </w:pPr>
            <w:r>
              <w:rPr>
                <w:rFonts w:ascii="Arial" w:eastAsia="等线"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lastRenderedPageBreak/>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2"/>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2"/>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2"/>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2"/>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2"/>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lastRenderedPageBreak/>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lastRenderedPageBreak/>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等线" w:hAnsi="Arial" w:cs="Arial" w:hint="eastAsia"/>
                <w:lang w:val="en-US" w:eastAsia="zh-CN"/>
              </w:rPr>
              <w:t>Y</w:t>
            </w:r>
          </w:p>
        </w:tc>
        <w:tc>
          <w:tcPr>
            <w:tcW w:w="6343" w:type="dxa"/>
          </w:tcPr>
          <w:p w14:paraId="624575CB"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t>Huawei</w:t>
            </w:r>
          </w:p>
        </w:tc>
        <w:tc>
          <w:tcPr>
            <w:tcW w:w="1703" w:type="dxa"/>
          </w:tcPr>
          <w:p w14:paraId="4F2B09AD" w14:textId="3B27068A" w:rsidR="002079BE" w:rsidRDefault="002079BE" w:rsidP="00884AC0">
            <w:pPr>
              <w:rPr>
                <w:rFonts w:ascii="Arial" w:eastAsia="等线" w:hAnsi="Arial" w:cs="Arial" w:hint="eastAsia"/>
                <w:lang w:val="en-US" w:eastAsia="zh-CN"/>
              </w:rPr>
            </w:pPr>
            <w:r>
              <w:rPr>
                <w:rFonts w:ascii="Arial" w:eastAsia="等线" w:hAnsi="Arial" w:cs="Arial"/>
                <w:lang w:val="en-US" w:eastAsia="zh-CN"/>
              </w:rPr>
              <w:t>N</w:t>
            </w:r>
          </w:p>
        </w:tc>
        <w:tc>
          <w:tcPr>
            <w:tcW w:w="6343" w:type="dxa"/>
          </w:tcPr>
          <w:p w14:paraId="411F0817" w14:textId="5E90F6A8" w:rsidR="002079BE" w:rsidRDefault="002079BE" w:rsidP="00884AC0">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lastRenderedPageBreak/>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2"/>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等线"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等线" w:hAnsi="Arial" w:cs="Arial" w:hint="eastAsia"/>
                <w:lang w:val="en-US" w:eastAsia="zh-CN"/>
              </w:rPr>
            </w:pPr>
            <w:r>
              <w:rPr>
                <w:rFonts w:ascii="Arial" w:eastAsia="等线" w:hAnsi="Arial" w:cs="Arial"/>
                <w:lang w:val="en-US" w:eastAsia="zh-CN"/>
              </w:rPr>
              <w:t>Huawei</w:t>
            </w:r>
          </w:p>
        </w:tc>
        <w:tc>
          <w:tcPr>
            <w:tcW w:w="1381" w:type="dxa"/>
          </w:tcPr>
          <w:p w14:paraId="1E428830" w14:textId="13828897" w:rsidR="002079BE" w:rsidRDefault="002079BE" w:rsidP="00884AC0">
            <w:pPr>
              <w:rPr>
                <w:rFonts w:ascii="Arial" w:eastAsia="等线" w:hAnsi="Arial" w:cs="Arial" w:hint="eastAsia"/>
                <w:lang w:val="en-US" w:eastAsia="zh-CN"/>
              </w:rPr>
            </w:pPr>
            <w:r>
              <w:rPr>
                <w:rFonts w:ascii="Arial" w:eastAsia="等线" w:hAnsi="Arial" w:cs="Arial"/>
                <w:lang w:val="en-US" w:eastAsia="zh-CN"/>
              </w:rPr>
              <w:t>Y</w:t>
            </w:r>
          </w:p>
        </w:tc>
        <w:tc>
          <w:tcPr>
            <w:tcW w:w="6840" w:type="dxa"/>
          </w:tcPr>
          <w:p w14:paraId="796F54A1" w14:textId="77777777" w:rsidR="002079BE" w:rsidRPr="001A0A6A" w:rsidRDefault="002079BE" w:rsidP="00884AC0"/>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Pr>
          <w:rFonts w:ascii="Arial" w:eastAsia="宋体" w:hAnsi="Arial" w:cs="Arial"/>
          <w:lang w:eastAsia="zh-CN"/>
        </w:rPr>
        <w:pgNum/>
      </w:r>
      <w:r>
        <w:rPr>
          <w:rFonts w:ascii="Arial" w:eastAsia="宋体"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Lge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af2"/>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lastRenderedPageBreak/>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“RAN1 aspects for RAN2-led features for RedCap</w:t>
            </w:r>
            <w:bookmarkEnd w:id="10"/>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a5"/>
              <w:rPr>
                <w:iCs/>
              </w:rPr>
            </w:pPr>
            <w:r>
              <w:rPr>
                <w:rFonts w:hint="eastAsia"/>
                <w:iCs/>
              </w:rPr>
              <w:t xml:space="preserve">In the revised WID, </w:t>
            </w:r>
            <w:r>
              <w:rPr>
                <w:iCs/>
              </w:rPr>
              <w:t>the following are in the scope.</w:t>
            </w:r>
          </w:p>
          <w:p w14:paraId="1EFB9902" w14:textId="77777777" w:rsidR="00EA2CBE" w:rsidRDefault="00827C1F">
            <w:pPr>
              <w:pStyle w:val="a5"/>
              <w:numPr>
                <w:ilvl w:val="0"/>
                <w:numId w:val="5"/>
              </w:numPr>
              <w:rPr>
                <w:i/>
                <w:iCs/>
              </w:rPr>
            </w:pPr>
            <w:r>
              <w:rPr>
                <w:i/>
                <w:iCs/>
              </w:rPr>
              <w:t>A means shall be specified by which the gNB can know the number of Rx branches of the UE.</w:t>
            </w:r>
          </w:p>
          <w:p w14:paraId="1EFB9903" w14:textId="77777777" w:rsidR="00EA2CBE" w:rsidRDefault="00827C1F">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a5"/>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a5"/>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lastRenderedPageBreak/>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等线" w:hAnsi="Arial" w:cs="Arial" w:hint="eastAsia"/>
                <w:lang w:val="en-US" w:eastAsia="zh-CN"/>
              </w:rPr>
              <w:t>Y</w:t>
            </w:r>
          </w:p>
        </w:tc>
        <w:tc>
          <w:tcPr>
            <w:tcW w:w="6691" w:type="dxa"/>
          </w:tcPr>
          <w:p w14:paraId="2807BF09"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等线" w:hAnsi="Arial" w:cs="Arial" w:hint="eastAsia"/>
                <w:lang w:val="en-US" w:eastAsia="zh-CN"/>
              </w:rPr>
            </w:pPr>
            <w:r>
              <w:rPr>
                <w:rFonts w:ascii="Arial" w:eastAsia="等线" w:hAnsi="Arial" w:cs="Arial"/>
                <w:lang w:val="en-US" w:eastAsia="zh-CN"/>
              </w:rPr>
              <w:t>Huawei</w:t>
            </w:r>
          </w:p>
        </w:tc>
        <w:tc>
          <w:tcPr>
            <w:tcW w:w="1356" w:type="dxa"/>
          </w:tcPr>
          <w:p w14:paraId="617F9915" w14:textId="4EBA9C43" w:rsidR="002079BE" w:rsidRDefault="002079BE" w:rsidP="00884AC0">
            <w:pPr>
              <w:rPr>
                <w:rFonts w:ascii="Arial" w:eastAsia="等线" w:hAnsi="Arial" w:cs="Arial" w:hint="eastAsia"/>
                <w:lang w:val="en-US" w:eastAsia="zh-CN"/>
              </w:rPr>
            </w:pPr>
          </w:p>
        </w:tc>
        <w:tc>
          <w:tcPr>
            <w:tcW w:w="6691" w:type="dxa"/>
          </w:tcPr>
          <w:p w14:paraId="46125F2A" w14:textId="4B6645A2" w:rsidR="002079BE" w:rsidRDefault="002079BE" w:rsidP="00884AC0">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bookmarkStart w:id="11" w:name="_GoBack"/>
            <w:bookmarkEnd w:id="11"/>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1"/>
      </w:pPr>
      <w:bookmarkStart w:id="12" w:name="_Ref62548907"/>
      <w:r>
        <w:t>Other aspects</w:t>
      </w:r>
      <w:bookmarkEnd w:id="12"/>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3" w:name="_Toc42034927"/>
      <w:bookmarkStart w:id="14" w:name="_Toc42211937"/>
      <w:bookmarkStart w:id="15"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lastRenderedPageBreak/>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3"/>
      <w:bookmarkEnd w:id="14"/>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5A61D1">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5A61D1">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5A61D1">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5A61D1">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5A61D1">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5A61D1">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5A61D1">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5A61D1">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5A61D1">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5A61D1">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5A61D1">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5A61D1">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5A61D1">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5A61D1">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5A61D1">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5A61D1">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5A61D1">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5A61D1">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5A61D1">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5A61D1">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5A61D1">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5"/>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5A61D1">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C3AE" w14:textId="77777777" w:rsidR="00494BD3" w:rsidRDefault="00494BD3" w:rsidP="00884AC0">
      <w:pPr>
        <w:spacing w:after="0"/>
      </w:pPr>
      <w:r>
        <w:separator/>
      </w:r>
    </w:p>
  </w:endnote>
  <w:endnote w:type="continuationSeparator" w:id="0">
    <w:p w14:paraId="2C3DDC59" w14:textId="77777777" w:rsidR="00494BD3" w:rsidRDefault="00494BD3"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3B4CC" w14:textId="77777777" w:rsidR="00494BD3" w:rsidRDefault="00494BD3" w:rsidP="00884AC0">
      <w:pPr>
        <w:spacing w:after="0"/>
      </w:pPr>
      <w:r>
        <w:separator/>
      </w:r>
    </w:p>
  </w:footnote>
  <w:footnote w:type="continuationSeparator" w:id="0">
    <w:p w14:paraId="2F2ED78F" w14:textId="77777777" w:rsidR="00494BD3" w:rsidRDefault="00494BD3" w:rsidP="00884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EC26D11-F003-4540-9544-A1247BE5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8193</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Huawei</cp:lastModifiedBy>
  <cp:revision>2</cp:revision>
  <dcterms:created xsi:type="dcterms:W3CDTF">2021-04-13T09:26:00Z</dcterms:created>
  <dcterms:modified xsi:type="dcterms:W3CDTF">2021-04-13T09:26:00Z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