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proofErr w:type="spellStart"/>
            <w:r>
              <w:rPr>
                <w:sz w:val="20"/>
              </w:rPr>
              <w:t>Futurewei</w:t>
            </w:r>
            <w:proofErr w:type="spellEnd"/>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 xml:space="preserve">We support the FL’s proposal </w:t>
            </w:r>
            <w:proofErr w:type="gramStart"/>
            <w:r>
              <w:rPr>
                <w:sz w:val="20"/>
                <w:lang w:eastAsia="zh-CN"/>
              </w:rPr>
              <w:t>and also</w:t>
            </w:r>
            <w:proofErr w:type="gramEnd"/>
            <w:r>
              <w:rPr>
                <w:sz w:val="20"/>
                <w:lang w:eastAsia="zh-CN"/>
              </w:rPr>
              <w:t xml:space="preserve">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proofErr w:type="spellStart"/>
            <w:r w:rsidRPr="00EB2676">
              <w:rPr>
                <w:sz w:val="20"/>
                <w:lang w:eastAsia="zh-CN"/>
              </w:rPr>
              <w:t>Spreadtrum</w:t>
            </w:r>
            <w:proofErr w:type="spellEnd"/>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 xml:space="preserve">Most companies suggest </w:t>
      </w:r>
      <w:proofErr w:type="gramStart"/>
      <w:r>
        <w:t>to support</w:t>
      </w:r>
      <w:proofErr w:type="gramEnd"/>
      <w:r>
        <w:t xml:space="preserve">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proofErr w:type="spellStart"/>
            <w:r>
              <w:rPr>
                <w:sz w:val="20"/>
              </w:rPr>
              <w:t>Futurewei</w:t>
            </w:r>
            <w:proofErr w:type="spellEnd"/>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w:t>
            </w:r>
            <w:proofErr w:type="gramStart"/>
            <w:r>
              <w:rPr>
                <w:rFonts w:eastAsia="MS Mincho"/>
                <w:sz w:val="20"/>
                <w:lang w:eastAsia="ja-JP"/>
              </w:rPr>
              <w:t>Thus</w:t>
            </w:r>
            <w:proofErr w:type="gramEnd"/>
            <w:r>
              <w:rPr>
                <w:rFonts w:eastAsia="MS Mincho"/>
                <w:sz w:val="20"/>
                <w:lang w:eastAsia="ja-JP"/>
              </w:rPr>
              <w:t xml:space="preserve">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proofErr w:type="spellStart"/>
            <w:r w:rsidRPr="007E3F39">
              <w:rPr>
                <w:sz w:val="20"/>
                <w:szCs w:val="20"/>
              </w:rPr>
              <w:lastRenderedPageBreak/>
              <w:t>Spreadtrum</w:t>
            </w:r>
            <w:proofErr w:type="spellEnd"/>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 xml:space="preserve">Specific numbers for X, Y may depend on UE capability and </w:t>
            </w:r>
            <w:proofErr w:type="spellStart"/>
            <w:r>
              <w:t>gNB</w:t>
            </w:r>
            <w:proofErr w:type="spellEnd"/>
            <w:r>
              <w:t xml:space="preserve">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 xml:space="preserve">Few companies support a capability definition according to Alt 3, while several companies pointed out that the concerns resolved by Alt 3 may be </w:t>
      </w:r>
      <w:proofErr w:type="gramStart"/>
      <w:r>
        <w:rPr>
          <w:lang w:val="en-GB" w:eastAsia="zh-CN"/>
        </w:rPr>
        <w:t>taken into account</w:t>
      </w:r>
      <w:proofErr w:type="gramEnd"/>
      <w:r>
        <w:rPr>
          <w:lang w:val="en-GB" w:eastAsia="zh-CN"/>
        </w:rPr>
        <w:t xml:space="preserve"> by proper X,Y parameter choices and/or additional restrictions.</w:t>
      </w:r>
    </w:p>
    <w:p w14:paraId="3153571C" w14:textId="77777777" w:rsidR="00BF303B" w:rsidRDefault="006222A6">
      <w:pPr>
        <w:rPr>
          <w:b/>
          <w:bCs/>
          <w:lang w:val="en-GB" w:eastAsia="zh-CN"/>
        </w:rPr>
      </w:pPr>
      <w:r w:rsidRPr="00637A29">
        <w:rPr>
          <w:b/>
          <w:bCs/>
          <w:lang w:val="en-GB" w:eastAsia="zh-CN"/>
        </w:rPr>
        <w:t xml:space="preserve">FL Suggestion: Check if the concerns solved by Alt 3 can be </w:t>
      </w:r>
      <w:proofErr w:type="gramStart"/>
      <w:r w:rsidRPr="00637A29">
        <w:rPr>
          <w:b/>
          <w:bCs/>
          <w:lang w:val="en-GB" w:eastAsia="zh-CN"/>
        </w:rPr>
        <w:t>taken into account</w:t>
      </w:r>
      <w:proofErr w:type="gramEnd"/>
      <w:r w:rsidRPr="00637A29">
        <w:rPr>
          <w:b/>
          <w:bCs/>
          <w:lang w:val="en-GB" w:eastAsia="zh-CN"/>
        </w:rPr>
        <w:t xml:space="preserve">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5pt;height:99pt;mso-width-percent:0;mso-height-percent:0;mso-width-percent:0;mso-height-percent:0" o:ole="">
                  <v:imagedata r:id="rId10" o:title=""/>
                </v:shape>
                <o:OLEObject Type="Embed" ProgID="Visio.Drawing.11" ShapeID="_x0000_i1025" DrawAspect="Content" ObjectID="_1680381282"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r w:rsidR="00751874" w:rsidRPr="00751874" w14:paraId="37482630" w14:textId="77777777" w:rsidTr="001C072F">
        <w:tc>
          <w:tcPr>
            <w:tcW w:w="2405" w:type="dxa"/>
          </w:tcPr>
          <w:p w14:paraId="2C6E79E6" w14:textId="77777777" w:rsidR="00751874" w:rsidRPr="00751874" w:rsidRDefault="00751874" w:rsidP="006514D7">
            <w:pPr>
              <w:rPr>
                <w:sz w:val="20"/>
              </w:rPr>
            </w:pPr>
          </w:p>
        </w:tc>
        <w:tc>
          <w:tcPr>
            <w:tcW w:w="12176" w:type="dxa"/>
          </w:tcPr>
          <w:p w14:paraId="254731A4" w14:textId="77777777" w:rsidR="00751874" w:rsidRPr="00751874" w:rsidRDefault="00751874" w:rsidP="006514D7">
            <w:pPr>
              <w:rPr>
                <w:sz w:val="20"/>
                <w:szCs w:val="20"/>
                <w:lang w:eastAsia="zh-CN"/>
              </w:rPr>
            </w:pP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lastRenderedPageBreak/>
              <w:t>Alt 2: Use an (X, Y) span as the baseline to define the new capability</w:t>
            </w:r>
          </w:p>
          <w:p w14:paraId="577733A4" w14:textId="77777777" w:rsidR="00637A29" w:rsidRDefault="00637A29" w:rsidP="00637A29">
            <w:pPr>
              <w:pStyle w:val="ListParagraph"/>
              <w:widowControl/>
              <w:numPr>
                <w:ilvl w:val="1"/>
                <w:numId w:val="18"/>
              </w:numPr>
            </w:pPr>
            <w:r>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ListParagraph"/>
              <w:numPr>
                <w:ilvl w:val="0"/>
                <w:numId w:val="66"/>
              </w:numPr>
            </w:pPr>
            <w:r>
              <w:t xml:space="preserve">Alt 1: Use a fixed pattern of slot groups as the baseline to define the new capability. </w:t>
            </w:r>
          </w:p>
          <w:p w14:paraId="0AC94372" w14:textId="77777777" w:rsidR="0008012E" w:rsidRDefault="0008012E" w:rsidP="0008012E">
            <w:pPr>
              <w:pStyle w:val="ListParagraph"/>
              <w:widowControl/>
              <w:numPr>
                <w:ilvl w:val="1"/>
                <w:numId w:val="65"/>
              </w:numPr>
            </w:pPr>
            <w:r>
              <w:t>Each slot group consists of X slots</w:t>
            </w:r>
          </w:p>
          <w:p w14:paraId="662D2ECC" w14:textId="77777777" w:rsidR="0008012E" w:rsidRDefault="0008012E" w:rsidP="0008012E">
            <w:pPr>
              <w:pStyle w:val="ListParagraph"/>
              <w:widowControl/>
              <w:numPr>
                <w:ilvl w:val="1"/>
                <w:numId w:val="65"/>
              </w:numPr>
            </w:pPr>
            <w:r>
              <w:t>Slot groups are consecutive and non-overlapping</w:t>
            </w:r>
          </w:p>
          <w:p w14:paraId="6E6945C3" w14:textId="77777777" w:rsidR="0008012E" w:rsidRDefault="0008012E" w:rsidP="0008012E">
            <w:pPr>
              <w:pStyle w:val="ListParagraph"/>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ListParagraph"/>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ListParagraph"/>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ListParagraph"/>
              <w:widowControl/>
              <w:numPr>
                <w:ilvl w:val="1"/>
                <w:numId w:val="65"/>
              </w:numPr>
            </w:pPr>
            <w:r>
              <w:t>FFS: Further definition of capabilities</w:t>
            </w:r>
          </w:p>
          <w:p w14:paraId="6E40A805" w14:textId="77777777" w:rsidR="008356E6" w:rsidRDefault="008356E6" w:rsidP="008356E6">
            <w:pPr>
              <w:pStyle w:val="ListParagraph"/>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ListParagraph"/>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ListParagraph"/>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ListParagraph"/>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ListParagraph"/>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ListParagraph"/>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ListParagraph"/>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p>
          <w:p w14:paraId="17BC1777" w14:textId="77777777" w:rsidR="00686377" w:rsidRDefault="00686377" w:rsidP="00686377">
            <w:pPr>
              <w:pStyle w:val="ListParagraph"/>
              <w:widowControl/>
              <w:numPr>
                <w:ilvl w:val="1"/>
                <w:numId w:val="68"/>
              </w:numPr>
              <w:jc w:val="left"/>
            </w:pPr>
            <w:r>
              <w:t>For 480 kHz: 4 slots</w:t>
            </w:r>
          </w:p>
          <w:p w14:paraId="25DCFE4F" w14:textId="77777777" w:rsidR="00686377" w:rsidRDefault="00686377" w:rsidP="00686377">
            <w:pPr>
              <w:pStyle w:val="ListParagraph"/>
              <w:widowControl/>
              <w:numPr>
                <w:ilvl w:val="1"/>
                <w:numId w:val="68"/>
              </w:numPr>
              <w:jc w:val="left"/>
            </w:pPr>
            <w:r>
              <w:t>For 960 kHz: 8 slots</w:t>
            </w:r>
          </w:p>
          <w:p w14:paraId="2A14DA84" w14:textId="77777777" w:rsidR="00686377" w:rsidRDefault="00686377" w:rsidP="00686377">
            <w:pPr>
              <w:pStyle w:val="ListParagraph"/>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ListParagraph"/>
              <w:widowControl/>
              <w:numPr>
                <w:ilvl w:val="1"/>
                <w:numId w:val="68"/>
              </w:numPr>
              <w:jc w:val="left"/>
            </w:pPr>
            <w:r>
              <w:t>Larger values than 4/8 slots for 480/960 kHz are not supported</w:t>
            </w:r>
          </w:p>
          <w:p w14:paraId="17FD20CF" w14:textId="5DC29A72" w:rsidR="00686377" w:rsidRDefault="00686377" w:rsidP="00686377">
            <w:pPr>
              <w:pStyle w:val="ListParagraph"/>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w:t>
            </w:r>
            <w:r w:rsidR="00134EED">
              <w:rPr>
                <w:lang w:eastAsia="zh-CN"/>
              </w:rPr>
              <w:t>or both are</w:t>
            </w:r>
            <w:r>
              <w:rPr>
                <w:lang w:eastAsia="zh-CN"/>
              </w:rPr>
              <w:t xml:space="preserve"> supported. Therefore, we suggest to make some progress on the details of Alt1 and Alt2, e.g., the unit. In our view, we can first agree on the unit of (X,Y)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r w:rsidR="00134EED">
              <w:rPr>
                <w:lang w:eastAsia="zh-CN"/>
              </w:rPr>
              <w:t>ackowledge</w:t>
            </w:r>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e suggest to have some discussion on this aspect before determin</w:t>
            </w:r>
            <w:r w:rsidR="00134EED">
              <w:rPr>
                <w:lang w:eastAsia="zh-CN"/>
              </w:rPr>
              <w:t>ing</w:t>
            </w:r>
            <w:r w:rsidR="007B7268">
              <w:rPr>
                <w:lang w:eastAsia="zh-CN"/>
              </w:rPr>
              <w:t xml:space="preserve"> whether Alt2 is supported or not.     </w:t>
            </w:r>
          </w:p>
        </w:tc>
      </w:tr>
      <w:tr w:rsidR="0079330E" w14:paraId="2C47C17F" w14:textId="77777777" w:rsidTr="0008012E">
        <w:tc>
          <w:tcPr>
            <w:tcW w:w="2405" w:type="dxa"/>
          </w:tcPr>
          <w:p w14:paraId="26F1AF65" w14:textId="18B5391E" w:rsidR="0079330E" w:rsidRDefault="0079330E" w:rsidP="009B54E0">
            <w:pPr>
              <w:jc w:val="left"/>
            </w:pPr>
            <w:r>
              <w:t>Samsung</w:t>
            </w:r>
          </w:p>
        </w:tc>
        <w:tc>
          <w:tcPr>
            <w:tcW w:w="12176" w:type="dxa"/>
          </w:tcPr>
          <w:p w14:paraId="59324ACA" w14:textId="77777777" w:rsidR="0079330E" w:rsidRDefault="0079330E" w:rsidP="006A4BF9">
            <w:pPr>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14:paraId="20E27FA6" w14:textId="4FA9A87F" w:rsidR="006304A7" w:rsidRDefault="0079330E" w:rsidP="0079330E">
            <w:pPr>
              <w:rPr>
                <w:lang w:eastAsia="zh-CN"/>
              </w:rPr>
            </w:pPr>
            <w:r>
              <w:rPr>
                <w:lang w:eastAsia="zh-CN"/>
              </w:rPr>
              <w:t>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w:t>
            </w:r>
            <w:r w:rsidR="006304A7">
              <w:rPr>
                <w:lang w:eastAsia="zh-CN"/>
              </w:rPr>
              <w:t xml:space="preserve">st a small value of Y (e.g. 1 slot) and a large value of Y (e.g. Y=X/2) can be considered as two different UE capabilities to support. </w:t>
            </w:r>
          </w:p>
        </w:tc>
      </w:tr>
      <w:tr w:rsidR="003C32BF" w14:paraId="46B7290E" w14:textId="77777777" w:rsidTr="0008012E">
        <w:tc>
          <w:tcPr>
            <w:tcW w:w="2405" w:type="dxa"/>
          </w:tcPr>
          <w:p w14:paraId="2BC1E7A0" w14:textId="55D4B19B" w:rsidR="003C32BF" w:rsidRDefault="003C32BF" w:rsidP="009B54E0">
            <w:pPr>
              <w:jc w:val="left"/>
            </w:pPr>
            <w:r>
              <w:t>Intel</w:t>
            </w:r>
          </w:p>
        </w:tc>
        <w:tc>
          <w:tcPr>
            <w:tcW w:w="12176" w:type="dxa"/>
          </w:tcPr>
          <w:p w14:paraId="565967CD" w14:textId="77777777" w:rsidR="003C32BF" w:rsidRDefault="003C32BF" w:rsidP="003C32BF">
            <w:pPr>
              <w:rPr>
                <w:lang w:eastAsia="zh-CN"/>
              </w:rPr>
            </w:pPr>
            <w:r>
              <w:rPr>
                <w:lang w:eastAsia="zh-CN"/>
              </w:rPr>
              <w:t>For the sake of progress, we are OK to work based on Alt 1 and Alt 2. Alt 1 contains two sub options</w:t>
            </w:r>
          </w:p>
          <w:p w14:paraId="3EF002A2" w14:textId="77777777" w:rsidR="003C32BF" w:rsidRDefault="003C32BF" w:rsidP="003C32BF">
            <w:pPr>
              <w:rPr>
                <w:lang w:eastAsia="zh-CN"/>
              </w:rPr>
            </w:pPr>
            <w:r>
              <w:rPr>
                <w:lang w:eastAsia="zh-CN"/>
              </w:rPr>
              <w:t>•</w:t>
            </w:r>
            <w:r>
              <w:rPr>
                <w:lang w:eastAsia="zh-CN"/>
              </w:rPr>
              <w:tab/>
              <w:t>Alt 1 with Y=X</w:t>
            </w:r>
          </w:p>
          <w:p w14:paraId="18A1CE8E" w14:textId="77777777" w:rsidR="003C32BF" w:rsidRDefault="003C32BF" w:rsidP="003C32BF">
            <w:pPr>
              <w:rPr>
                <w:lang w:eastAsia="zh-CN"/>
              </w:rPr>
            </w:pPr>
            <w:r>
              <w:rPr>
                <w:lang w:eastAsia="zh-CN"/>
              </w:rPr>
              <w:t>•</w:t>
            </w:r>
            <w:r>
              <w:rPr>
                <w:lang w:eastAsia="zh-CN"/>
              </w:rPr>
              <w:tab/>
              <w:t>Alt 1 with Y&lt;X</w:t>
            </w:r>
          </w:p>
          <w:p w14:paraId="127DDEED" w14:textId="77777777" w:rsidR="003C32BF" w:rsidRDefault="003C32BF" w:rsidP="003C32BF">
            <w:pPr>
              <w:rPr>
                <w:lang w:eastAsia="zh-CN"/>
              </w:rPr>
            </w:pPr>
            <w:r>
              <w:rPr>
                <w:lang w:eastAsia="zh-CN"/>
              </w:rPr>
              <w:t>•</w:t>
            </w:r>
            <w:r>
              <w:rPr>
                <w:lang w:eastAsia="zh-CN"/>
              </w:rPr>
              <w:tab/>
              <w:t>Alt 2</w:t>
            </w:r>
          </w:p>
          <w:p w14:paraId="01DDEC90" w14:textId="77777777" w:rsidR="003C32BF" w:rsidRDefault="003C32BF" w:rsidP="003C32BF">
            <w:pPr>
              <w:rPr>
                <w:lang w:eastAsia="zh-CN"/>
              </w:rPr>
            </w:pPr>
          </w:p>
          <w:p w14:paraId="39C90836" w14:textId="7A995495" w:rsidR="003C32BF" w:rsidRDefault="003C32BF" w:rsidP="003C32BF">
            <w:pPr>
              <w:rPr>
                <w:lang w:eastAsia="zh-CN"/>
              </w:rPr>
            </w:pPr>
            <w:r>
              <w:rPr>
                <w:lang w:eastAsia="zh-CN"/>
              </w:rPr>
              <w:t>For Alt 1 with Y=X, we propose</w:t>
            </w:r>
            <w:r w:rsidR="00967E75">
              <w:rPr>
                <w:lang w:eastAsia="zh-CN"/>
              </w:rPr>
              <w:t>d</w:t>
            </w:r>
            <w:r>
              <w:rPr>
                <w:lang w:eastAsia="zh-CN"/>
              </w:rPr>
              <w:t xml:space="preserve"> </w:t>
            </w:r>
            <w:r w:rsidR="00967E75">
              <w:rPr>
                <w:lang w:eastAsia="zh-CN"/>
              </w:rPr>
              <w:t>a</w:t>
            </w:r>
            <w:r>
              <w:rPr>
                <w:lang w:eastAsia="zh-CN"/>
              </w:rPr>
              <w:t xml:space="preserve">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704CC66D" w14:textId="77777777" w:rsidR="003C32BF" w:rsidRDefault="003C32BF" w:rsidP="003C32BF">
            <w:pPr>
              <w:rPr>
                <w:lang w:eastAsia="zh-CN"/>
              </w:rPr>
            </w:pPr>
          </w:p>
          <w:p w14:paraId="4C652707" w14:textId="77777777" w:rsidR="003C32BF" w:rsidRDefault="003C32BF" w:rsidP="003C32BF">
            <w:pPr>
              <w:rPr>
                <w:lang w:eastAsia="zh-CN"/>
              </w:rPr>
            </w:pPr>
            <w:r>
              <w:rPr>
                <w:lang w:eastAsia="zh-CN"/>
              </w:rPr>
              <w:t>For Alt 1 with Y&lt;X or Alt 2</w:t>
            </w:r>
          </w:p>
          <w:p w14:paraId="5F9712E1" w14:textId="7FB988FD" w:rsidR="003C32BF" w:rsidRDefault="003C32BF" w:rsidP="003C32BF">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48DFA484" w14:textId="28B69687" w:rsidR="003C32BF" w:rsidRDefault="003C32BF" w:rsidP="003C32BF">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A677B7" w14:paraId="5D206ED7" w14:textId="77777777" w:rsidTr="00A677B7">
        <w:tc>
          <w:tcPr>
            <w:tcW w:w="2405" w:type="dxa"/>
          </w:tcPr>
          <w:p w14:paraId="2D261202" w14:textId="77777777" w:rsidR="00A677B7" w:rsidRPr="00C001FF" w:rsidRDefault="00A677B7" w:rsidP="00A677B7">
            <w:r w:rsidRPr="00C001FF">
              <w:rPr>
                <w:lang w:val="en-GB" w:eastAsia="zh-CN"/>
              </w:rPr>
              <w:lastRenderedPageBreak/>
              <w:t>Spreadtrum</w:t>
            </w:r>
          </w:p>
        </w:tc>
        <w:tc>
          <w:tcPr>
            <w:tcW w:w="12176" w:type="dxa"/>
          </w:tcPr>
          <w:p w14:paraId="1B6758AC" w14:textId="77777777" w:rsidR="00A677B7" w:rsidRPr="00C001FF" w:rsidRDefault="00A677B7" w:rsidP="00A677B7">
            <w:pPr>
              <w:rPr>
                <w:lang w:eastAsia="zh-CN"/>
              </w:rPr>
            </w:pPr>
            <w:r>
              <w:rPr>
                <w:lang w:eastAsia="zh-CN"/>
              </w:rPr>
              <w:t>We support the proposal</w:t>
            </w:r>
            <w:r w:rsidRPr="00C001FF">
              <w:rPr>
                <w:rFonts w:hint="eastAsia"/>
                <w:lang w:eastAsia="zh-CN"/>
              </w:rPr>
              <w:t>.</w:t>
            </w:r>
          </w:p>
          <w:p w14:paraId="347F44C9" w14:textId="500DC023" w:rsidR="00A677B7" w:rsidRDefault="00A677B7" w:rsidP="00C001FF">
            <w:pPr>
              <w:rPr>
                <w:lang w:eastAsia="zh-CN"/>
              </w:rPr>
            </w:pPr>
            <w:r w:rsidRPr="00C001FF">
              <w:rPr>
                <w:lang w:eastAsia="zh-CN"/>
              </w:rPr>
              <w:t xml:space="preserve">The back-to-back monitoring issue </w:t>
            </w:r>
            <w:r w:rsidRPr="00C001FF">
              <w:rPr>
                <w:rFonts w:hint="eastAsia"/>
                <w:lang w:eastAsia="zh-CN"/>
              </w:rPr>
              <w:t>c</w:t>
            </w:r>
            <w:r w:rsidRPr="00C001FF">
              <w:rPr>
                <w:lang w:eastAsia="zh-CN"/>
              </w:rPr>
              <w:t>an be s</w:t>
            </w:r>
            <w:r w:rsidR="00C001FF" w:rsidRPr="00C001FF">
              <w:rPr>
                <w:lang w:eastAsia="zh-CN"/>
              </w:rPr>
              <w:t>olved by limiting Y&lt;X in Alt 1</w:t>
            </w:r>
            <w:r w:rsidR="00C001FF">
              <w:rPr>
                <w:lang w:eastAsia="zh-CN"/>
              </w:rPr>
              <w:t xml:space="preserve"> and Alt 2, So we are okay with Alt 1 and Alt 2.</w:t>
            </w:r>
          </w:p>
          <w:p w14:paraId="117EB135" w14:textId="5F40AB91" w:rsidR="00C001FF" w:rsidRDefault="00C001FF" w:rsidP="00C001FF">
            <w:pPr>
              <w:rPr>
                <w:lang w:eastAsia="zh-CN"/>
              </w:rPr>
            </w:pPr>
            <w:r>
              <w:rPr>
                <w:lang w:eastAsia="zh-CN"/>
              </w:rPr>
              <w:t>However, Alt 1 can be updated as follows:</w:t>
            </w:r>
          </w:p>
          <w:p w14:paraId="4460FE18" w14:textId="77777777" w:rsidR="00C001FF" w:rsidRDefault="00C001FF" w:rsidP="005A7BE8">
            <w:pPr>
              <w:pStyle w:val="ListParagraph"/>
              <w:numPr>
                <w:ilvl w:val="0"/>
                <w:numId w:val="65"/>
              </w:numPr>
            </w:pPr>
            <w:r>
              <w:t xml:space="preserve">Alt 1: Use a fixed pattern of slot groups as the baseline to define the new capability. </w:t>
            </w:r>
          </w:p>
          <w:p w14:paraId="5800AF44" w14:textId="77777777" w:rsidR="00C001FF" w:rsidRDefault="00C001FF" w:rsidP="005A7BE8">
            <w:pPr>
              <w:pStyle w:val="ListParagraph"/>
              <w:widowControl/>
              <w:numPr>
                <w:ilvl w:val="1"/>
                <w:numId w:val="65"/>
              </w:numPr>
            </w:pPr>
            <w:r>
              <w:t>Each slot group consists of X slots</w:t>
            </w:r>
          </w:p>
          <w:p w14:paraId="2D50A7A9" w14:textId="77777777" w:rsidR="00C001FF" w:rsidRDefault="00C001FF" w:rsidP="005A7BE8">
            <w:pPr>
              <w:pStyle w:val="ListParagraph"/>
              <w:widowControl/>
              <w:numPr>
                <w:ilvl w:val="1"/>
                <w:numId w:val="65"/>
              </w:numPr>
            </w:pPr>
            <w:r>
              <w:t>Slot groups are consecutive and non-overlapping</w:t>
            </w:r>
          </w:p>
          <w:p w14:paraId="0A3CBDB6" w14:textId="77777777" w:rsidR="00C001FF" w:rsidRDefault="00C001FF" w:rsidP="005A7BE8">
            <w:pPr>
              <w:pStyle w:val="ListParagraph"/>
              <w:widowControl/>
              <w:numPr>
                <w:ilvl w:val="1"/>
                <w:numId w:val="65"/>
              </w:numPr>
            </w:pPr>
            <w:r>
              <w:t>The capability indicates the BD/CCE budget within Y consecutive [symbols or slots] in each slot group separately</w:t>
            </w:r>
          </w:p>
          <w:p w14:paraId="78A43172" w14:textId="105EE5A6" w:rsidR="005A7BE8" w:rsidRDefault="005A7BE8" w:rsidP="005A7BE8">
            <w:pPr>
              <w:pStyle w:val="ListParagraph"/>
              <w:widowControl/>
              <w:numPr>
                <w:ilvl w:val="1"/>
                <w:numId w:val="65"/>
              </w:numPr>
            </w:pPr>
            <w:r w:rsidRPr="005A7BE8">
              <w:rPr>
                <w:strike/>
                <w:color w:val="FF0000"/>
              </w:rPr>
              <w:t>FFS:</w:t>
            </w:r>
            <w:r>
              <w:t xml:space="preserve"> Supported values/constraints of X and Y, </w:t>
            </w:r>
            <w:r w:rsidRPr="005A7BE8">
              <w:rPr>
                <w:strike/>
                <w:color w:val="FF0000"/>
              </w:rPr>
              <w:t xml:space="preserve">e.g. </w:t>
            </w:r>
            <w:r w:rsidRPr="00756711">
              <w:rPr>
                <w:color w:val="FF0000"/>
              </w:rPr>
              <w:t>Y&lt;=X</w:t>
            </w:r>
            <w:r w:rsidRPr="005A7BE8">
              <w:rPr>
                <w:strike/>
                <w:color w:val="FF0000"/>
              </w:rPr>
              <w:t>, Y=X</w:t>
            </w:r>
          </w:p>
          <w:p w14:paraId="4EA432B0" w14:textId="77777777" w:rsidR="00C001FF" w:rsidRDefault="00C001FF" w:rsidP="005A7BE8">
            <w:pPr>
              <w:pStyle w:val="ListParagraph"/>
              <w:widowControl/>
              <w:numPr>
                <w:ilvl w:val="1"/>
                <w:numId w:val="65"/>
              </w:numPr>
            </w:pPr>
            <w:r>
              <w:t>FFS: Restrictions on location of the Y [</w:t>
            </w:r>
            <w:r w:rsidRPr="00397BC6">
              <w:rPr>
                <w:strike/>
                <w:color w:val="FF0000"/>
              </w:rPr>
              <w:t>symbols or</w:t>
            </w:r>
            <w:r>
              <w:t xml:space="preserve"> slots] within a slot group, e.g. the Y [</w:t>
            </w:r>
            <w:r w:rsidRPr="00397BC6">
              <w:rPr>
                <w:strike/>
                <w:color w:val="FF0000"/>
              </w:rPr>
              <w:t xml:space="preserve">symbols or </w:t>
            </w:r>
            <w:r>
              <w:t>slots] always start at the first slot within a slot group</w:t>
            </w:r>
          </w:p>
          <w:p w14:paraId="0C396CFF" w14:textId="77777777" w:rsidR="00C001FF" w:rsidRDefault="00C001FF" w:rsidP="005A7BE8">
            <w:pPr>
              <w:pStyle w:val="ListParagraph"/>
              <w:widowControl/>
              <w:numPr>
                <w:ilvl w:val="1"/>
                <w:numId w:val="65"/>
              </w:numPr>
            </w:pPr>
            <w:r>
              <w:t>FFS: Further definition of capabilities</w:t>
            </w:r>
          </w:p>
          <w:p w14:paraId="1A35B9D7" w14:textId="7AB6806C" w:rsidR="000339C8" w:rsidRDefault="00756711" w:rsidP="000339C8">
            <w:pPr>
              <w:rPr>
                <w:lang w:eastAsia="zh-CN"/>
              </w:rPr>
            </w:pPr>
            <w:r>
              <w:rPr>
                <w:lang w:eastAsia="zh-CN"/>
              </w:rPr>
              <w:t xml:space="preserve">We agree with CATT. </w:t>
            </w:r>
            <w:r w:rsidR="000339C8">
              <w:rPr>
                <w:lang w:eastAsia="zh-CN"/>
              </w:rPr>
              <w:t>Besides, for both alt1 and alt2, at least the follow value (4,8) for X should be agreed. The proposal should include  the proposal from previous discussion</w:t>
            </w:r>
          </w:p>
          <w:p w14:paraId="1A273078" w14:textId="2C179A60" w:rsidR="000339C8" w:rsidRDefault="000339C8" w:rsidP="000339C8">
            <w:pPr>
              <w:pStyle w:val="ListParagraph"/>
              <w:numPr>
                <w:ilvl w:val="1"/>
                <w:numId w:val="65"/>
              </w:numPr>
            </w:pPr>
            <w:r>
              <w:t>For 480 kHz: 4 slots</w:t>
            </w:r>
          </w:p>
          <w:p w14:paraId="6C7B2A62" w14:textId="2DBFF608" w:rsidR="000339C8" w:rsidRDefault="000339C8" w:rsidP="000339C8">
            <w:pPr>
              <w:pStyle w:val="ListParagraph"/>
              <w:numPr>
                <w:ilvl w:val="1"/>
                <w:numId w:val="65"/>
              </w:numPr>
            </w:pPr>
            <w:r>
              <w:t>For 960 kHz: 8 slots</w:t>
            </w:r>
          </w:p>
          <w:p w14:paraId="4C15D3AF" w14:textId="59075C1B" w:rsidR="000339C8" w:rsidRDefault="000339C8" w:rsidP="000339C8">
            <w:pPr>
              <w:pStyle w:val="ListParagraph"/>
              <w:numPr>
                <w:ilvl w:val="1"/>
                <w:numId w:val="65"/>
              </w:numPr>
            </w:pPr>
            <w:r>
              <w:t>Additional values smaller than 4/8 slots for 480/960 kHz are not precluded</w:t>
            </w:r>
          </w:p>
          <w:p w14:paraId="288DA5DA" w14:textId="402B0038" w:rsidR="00C001FF" w:rsidRDefault="000339C8" w:rsidP="000339C8">
            <w:pPr>
              <w:pStyle w:val="ListParagraph"/>
              <w:numPr>
                <w:ilvl w:val="1"/>
                <w:numId w:val="65"/>
              </w:numPr>
              <w:rPr>
                <w:lang w:eastAsia="zh-CN"/>
              </w:rPr>
            </w:pPr>
            <w:r>
              <w:t>Larger values than 4/8 slots for 480/960 kHz are not supported</w:t>
            </w:r>
          </w:p>
        </w:tc>
      </w:tr>
      <w:tr w:rsidR="00283F1B" w14:paraId="06B979C9" w14:textId="77777777" w:rsidTr="00A677B7">
        <w:tc>
          <w:tcPr>
            <w:tcW w:w="2405" w:type="dxa"/>
          </w:tcPr>
          <w:p w14:paraId="07C66792" w14:textId="344ABF89" w:rsidR="00283F1B" w:rsidRPr="00C001FF" w:rsidRDefault="00283F1B" w:rsidP="00283F1B">
            <w:pPr>
              <w:rPr>
                <w:lang w:val="en-GB" w:eastAsia="zh-CN"/>
              </w:rPr>
            </w:pPr>
            <w:r>
              <w:rPr>
                <w:rFonts w:eastAsia="MS Mincho" w:hint="eastAsia"/>
                <w:lang w:eastAsia="ja-JP"/>
              </w:rPr>
              <w:lastRenderedPageBreak/>
              <w:t>N</w:t>
            </w:r>
            <w:r>
              <w:rPr>
                <w:rFonts w:eastAsia="MS Mincho"/>
                <w:lang w:eastAsia="ja-JP"/>
              </w:rPr>
              <w:t>TT DOCOMO</w:t>
            </w:r>
          </w:p>
        </w:tc>
        <w:tc>
          <w:tcPr>
            <w:tcW w:w="12176" w:type="dxa"/>
          </w:tcPr>
          <w:p w14:paraId="32A2BB8B" w14:textId="77777777" w:rsidR="00283F1B" w:rsidRDefault="00283F1B" w:rsidP="00283F1B">
            <w:pPr>
              <w:rPr>
                <w:rFonts w:eastAsia="MS Mincho"/>
                <w:lang w:eastAsia="ja-JP"/>
              </w:rPr>
            </w:pPr>
            <w:r>
              <w:rPr>
                <w:rFonts w:eastAsia="MS Mincho"/>
                <w:lang w:eastAsia="ja-JP"/>
              </w:rPr>
              <w:t xml:space="preserve">We support to down-select Alt.1 and Alt.2. </w:t>
            </w:r>
          </w:p>
          <w:p w14:paraId="280195FE" w14:textId="77777777" w:rsidR="00283F1B" w:rsidRDefault="00283F1B" w:rsidP="00283F1B">
            <w:pPr>
              <w:rPr>
                <w:rFonts w:eastAsia="MS Mincho"/>
                <w:lang w:eastAsia="ja-JP"/>
              </w:rPr>
            </w:pPr>
            <w:r>
              <w:rPr>
                <w:rFonts w:eastAsia="MS Mincho"/>
                <w:lang w:eastAsia="ja-JP"/>
              </w:rPr>
              <w:t>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signalling from each UE.</w:t>
            </w:r>
            <w:r>
              <w:rPr>
                <w:rFonts w:eastAsia="MS Mincho" w:hint="eastAsia"/>
                <w:lang w:eastAsia="ja-JP"/>
              </w:rPr>
              <w:t xml:space="preserve"> </w:t>
            </w:r>
            <w:r>
              <w:rPr>
                <w:rFonts w:eastAsia="MS Mincho"/>
                <w:lang w:eastAsia="ja-JP"/>
              </w:rPr>
              <w:t xml:space="preserve">We do not prefer to impose PDCCH monitoring with longer duration on every UE, rather it should depend on each UE’s capability. </w:t>
            </w:r>
          </w:p>
          <w:p w14:paraId="5FE40A96" w14:textId="77777777" w:rsidR="00283F1B" w:rsidRDefault="00283F1B" w:rsidP="00283F1B">
            <w:pPr>
              <w:rPr>
                <w:rFonts w:eastAsia="MS Mincho"/>
                <w:lang w:eastAsia="ja-JP"/>
              </w:rPr>
            </w:pPr>
            <w:r>
              <w:rPr>
                <w:rFonts w:eastAsia="MS Mincho"/>
                <w:lang w:eastAsia="ja-JP"/>
              </w:rPr>
              <w:t xml:space="preserve">For the </w:t>
            </w:r>
            <w:r>
              <w:rPr>
                <w:rFonts w:eastAsia="MS Mincho" w:hint="eastAsia"/>
                <w:lang w:eastAsia="ja-JP"/>
              </w:rPr>
              <w:t>b</w:t>
            </w:r>
            <w:r>
              <w:rPr>
                <w:rFonts w:eastAsia="MS Mincho"/>
                <w:lang w:eastAsia="ja-JP"/>
              </w:rPr>
              <w:t xml:space="preserve">ack-to-back monitoring issue resolved by Alt.3, it can be resolved by setting the limit on the Y value for Alt.1 and 2.  </w:t>
            </w:r>
          </w:p>
          <w:p w14:paraId="61800129" w14:textId="4A770A1D" w:rsidR="00283F1B" w:rsidRDefault="00283F1B" w:rsidP="00283F1B">
            <w:pPr>
              <w:rPr>
                <w:lang w:eastAsia="zh-CN"/>
              </w:rPr>
            </w:pPr>
            <w:r>
              <w:rPr>
                <w:rFonts w:eastAsia="MS Mincho"/>
                <w:lang w:eastAsia="ja-JP"/>
              </w:rPr>
              <w:t>Based on the above, we think that Alt.1 and 2 can address the issues resolved by Alt.3 with restrictions on the value of Y, and prefer Alt.2.</w:t>
            </w:r>
          </w:p>
        </w:tc>
      </w:tr>
      <w:tr w:rsidR="008903B9" w14:paraId="14D90AFB" w14:textId="77777777" w:rsidTr="00A677B7">
        <w:tc>
          <w:tcPr>
            <w:tcW w:w="2405" w:type="dxa"/>
          </w:tcPr>
          <w:p w14:paraId="78919F13" w14:textId="6CC49D3B" w:rsidR="008903B9" w:rsidRPr="008903B9" w:rsidRDefault="008903B9" w:rsidP="00283F1B">
            <w:pPr>
              <w:rPr>
                <w:lang w:eastAsia="zh-CN"/>
              </w:rPr>
            </w:pPr>
            <w:r>
              <w:rPr>
                <w:rFonts w:hint="eastAsia"/>
                <w:lang w:eastAsia="zh-CN"/>
              </w:rPr>
              <w:t>v</w:t>
            </w:r>
            <w:r>
              <w:rPr>
                <w:lang w:eastAsia="zh-CN"/>
              </w:rPr>
              <w:t>ivo</w:t>
            </w:r>
          </w:p>
        </w:tc>
        <w:tc>
          <w:tcPr>
            <w:tcW w:w="12176" w:type="dxa"/>
          </w:tcPr>
          <w:p w14:paraId="6EE0CB6B" w14:textId="77777777" w:rsidR="008903B9" w:rsidRDefault="008903B9" w:rsidP="00283F1B">
            <w:pPr>
              <w:rPr>
                <w:lang w:eastAsia="zh-CN"/>
              </w:rPr>
            </w:pPr>
            <w:r>
              <w:rPr>
                <w:rFonts w:hint="eastAsia"/>
                <w:lang w:eastAsia="zh-CN"/>
              </w:rPr>
              <w:t>W</w:t>
            </w:r>
            <w:r>
              <w:rPr>
                <w:lang w:eastAsia="zh-CN"/>
              </w:rPr>
              <w:t>e support the proposal and our preference is Alt. 2.</w:t>
            </w:r>
          </w:p>
          <w:p w14:paraId="3E09DF48" w14:textId="77777777" w:rsidR="008903B9" w:rsidRDefault="008903B9" w:rsidP="00283F1B">
            <w:pPr>
              <w:rPr>
                <w:lang w:eastAsia="zh-CN"/>
              </w:rPr>
            </w:pPr>
            <w:r>
              <w:rPr>
                <w:lang w:eastAsia="zh-CN"/>
              </w:rPr>
              <w:t>For back-to-back configuration, applying a small value of Y could solve the concern as most companies mentioned.</w:t>
            </w:r>
          </w:p>
          <w:p w14:paraId="059088B4" w14:textId="061D40AE" w:rsidR="008903B9" w:rsidRPr="008903B9" w:rsidRDefault="008903B9" w:rsidP="00283F1B">
            <w:pPr>
              <w:rPr>
                <w:lang w:eastAsia="zh-CN"/>
              </w:rPr>
            </w:pPr>
            <w:r>
              <w:rPr>
                <w:lang w:eastAsia="zh-CN"/>
              </w:rPr>
              <w:t xml:space="preserve">For the CSS and USS allocation flexibility, setting Y&gt;1 will increase the flexibility. Also agree with Samsung and Docomo that multiple of Y values per a X value is needed to achieve the tradeoff of SS scheduling flexibility and UE complexity. </w:t>
            </w:r>
          </w:p>
        </w:tc>
      </w:tr>
      <w:tr w:rsidR="00A444E6" w14:paraId="57E93626" w14:textId="77777777" w:rsidTr="00A677B7">
        <w:tc>
          <w:tcPr>
            <w:tcW w:w="2405" w:type="dxa"/>
          </w:tcPr>
          <w:p w14:paraId="2396F4E2" w14:textId="62D7A6E8" w:rsidR="00A444E6" w:rsidRDefault="00A444E6" w:rsidP="00283F1B">
            <w:pPr>
              <w:rPr>
                <w:lang w:eastAsia="zh-CN"/>
              </w:rPr>
            </w:pPr>
            <w:r>
              <w:rPr>
                <w:lang w:eastAsia="zh-CN"/>
              </w:rPr>
              <w:t>Convida Wireless</w:t>
            </w:r>
          </w:p>
        </w:tc>
        <w:tc>
          <w:tcPr>
            <w:tcW w:w="12176" w:type="dxa"/>
          </w:tcPr>
          <w:p w14:paraId="713D4E14" w14:textId="75606569" w:rsidR="00A444E6" w:rsidRDefault="00A444E6" w:rsidP="00283F1B">
            <w:pPr>
              <w:rPr>
                <w:lang w:eastAsia="zh-CN"/>
              </w:rPr>
            </w:pPr>
            <w:r w:rsidRPr="00A444E6">
              <w:rPr>
                <w:lang w:eastAsia="zh-CN"/>
              </w:rPr>
              <w:t xml:space="preserve">We </w:t>
            </w:r>
            <w:r w:rsidRPr="00A444E6">
              <w:rPr>
                <w:sz w:val="20"/>
                <w:lang w:eastAsia="zh-CN"/>
              </w:rPr>
              <w:t xml:space="preserve">prefer to support Alt-2 for scheduling flexibility. In addition, as pointed out by </w:t>
            </w:r>
            <w:r>
              <w:rPr>
                <w:sz w:val="20"/>
                <w:lang w:eastAsia="zh-CN"/>
              </w:rPr>
              <w:t>other companies</w:t>
            </w:r>
            <w:r w:rsidRPr="00A444E6">
              <w:rPr>
                <w:sz w:val="20"/>
                <w:lang w:eastAsia="zh-CN"/>
              </w:rPr>
              <w:t>, when Y &lt; X, Alt-1 can also be treated as a special case of Alt-2.</w:t>
            </w:r>
          </w:p>
        </w:tc>
      </w:tr>
      <w:tr w:rsidR="00751874" w:rsidRPr="00751874" w14:paraId="42FC623A" w14:textId="77777777" w:rsidTr="00A677B7">
        <w:tc>
          <w:tcPr>
            <w:tcW w:w="2405" w:type="dxa"/>
          </w:tcPr>
          <w:p w14:paraId="256CCB0C" w14:textId="5C6A79F1" w:rsidR="00751874" w:rsidRPr="00751874" w:rsidRDefault="00751874" w:rsidP="00751874">
            <w:pPr>
              <w:rPr>
                <w:sz w:val="20"/>
                <w:lang w:eastAsia="zh-CN"/>
              </w:rPr>
            </w:pPr>
            <w:r>
              <w:rPr>
                <w:rFonts w:eastAsia="MS Mincho"/>
                <w:sz w:val="20"/>
                <w:lang w:eastAsia="ja-JP"/>
              </w:rPr>
              <w:t>Ericsson</w:t>
            </w:r>
          </w:p>
        </w:tc>
        <w:tc>
          <w:tcPr>
            <w:tcW w:w="12176" w:type="dxa"/>
          </w:tcPr>
          <w:p w14:paraId="7BD50AA8" w14:textId="77777777" w:rsidR="00751874" w:rsidRDefault="00751874" w:rsidP="00751874">
            <w:pPr>
              <w:rPr>
                <w:rFonts w:eastAsia="MS Mincho"/>
                <w:sz w:val="20"/>
                <w:lang w:eastAsia="ja-JP"/>
              </w:rPr>
            </w:pPr>
            <w:r>
              <w:rPr>
                <w:rFonts w:eastAsia="MS Mincho"/>
                <w:sz w:val="20"/>
                <w:lang w:eastAsia="ja-JP"/>
              </w:rPr>
              <w:t xml:space="preserve">We can support removal of Alt-3 assuming the following which allows for </w:t>
            </w:r>
            <w:proofErr w:type="spellStart"/>
            <w:r>
              <w:rPr>
                <w:rFonts w:eastAsia="MS Mincho"/>
                <w:sz w:val="20"/>
                <w:lang w:eastAsia="ja-JP"/>
              </w:rPr>
              <w:t>gNB</w:t>
            </w:r>
            <w:proofErr w:type="spellEnd"/>
            <w:r>
              <w:rPr>
                <w:rFonts w:eastAsia="MS Mincho"/>
                <w:sz w:val="20"/>
                <w:lang w:eastAsia="ja-JP"/>
              </w:rPr>
              <w:t xml:space="preserve"> flexibility, while still managing UE complexity and enabling microsleep opportunities:</w:t>
            </w:r>
          </w:p>
          <w:p w14:paraId="3706D5C1" w14:textId="77777777" w:rsidR="00751874" w:rsidRDefault="00751874" w:rsidP="00751874">
            <w:pPr>
              <w:pStyle w:val="ListParagraph"/>
              <w:numPr>
                <w:ilvl w:val="0"/>
                <w:numId w:val="69"/>
              </w:numPr>
              <w:rPr>
                <w:rFonts w:eastAsia="MS Mincho"/>
                <w:sz w:val="20"/>
                <w:lang w:eastAsia="ja-JP"/>
              </w:rPr>
            </w:pPr>
            <w:r>
              <w:rPr>
                <w:rFonts w:eastAsia="MS Mincho"/>
                <w:sz w:val="20"/>
                <w:lang w:eastAsia="ja-JP"/>
              </w:rPr>
              <w:t>If X = 4, Y is no less than 2</w:t>
            </w:r>
          </w:p>
          <w:p w14:paraId="1C43175F" w14:textId="77777777" w:rsidR="00751874" w:rsidRDefault="00751874" w:rsidP="00751874">
            <w:pPr>
              <w:pStyle w:val="ListParagraph"/>
              <w:numPr>
                <w:ilvl w:val="0"/>
                <w:numId w:val="69"/>
              </w:numPr>
              <w:rPr>
                <w:rFonts w:eastAsia="MS Mincho"/>
                <w:sz w:val="20"/>
                <w:lang w:eastAsia="ja-JP"/>
              </w:rPr>
            </w:pPr>
            <w:r>
              <w:rPr>
                <w:rFonts w:eastAsia="MS Mincho"/>
                <w:sz w:val="20"/>
                <w:lang w:eastAsia="ja-JP"/>
              </w:rPr>
              <w:t>If X = 8, Y is no less than 3</w:t>
            </w:r>
          </w:p>
          <w:p w14:paraId="54E44B36" w14:textId="77777777" w:rsidR="00751874" w:rsidRDefault="00751874" w:rsidP="00751874">
            <w:pPr>
              <w:pStyle w:val="ListParagraph"/>
              <w:numPr>
                <w:ilvl w:val="0"/>
                <w:numId w:val="69"/>
              </w:numPr>
              <w:rPr>
                <w:rFonts w:eastAsia="MS Mincho"/>
                <w:sz w:val="20"/>
                <w:lang w:eastAsia="ja-JP"/>
              </w:rPr>
            </w:pPr>
            <w:r>
              <w:rPr>
                <w:rFonts w:eastAsia="MS Mincho"/>
                <w:sz w:val="20"/>
                <w:lang w:eastAsia="ja-JP"/>
              </w:rPr>
              <w:t>The UE shall be capable of</w:t>
            </w:r>
          </w:p>
          <w:p w14:paraId="55263D31" w14:textId="77777777" w:rsidR="00751874" w:rsidRDefault="00751874" w:rsidP="00751874">
            <w:pPr>
              <w:pStyle w:val="ListParagraph"/>
              <w:numPr>
                <w:ilvl w:val="1"/>
                <w:numId w:val="69"/>
              </w:numPr>
              <w:rPr>
                <w:rFonts w:eastAsia="MS Mincho"/>
                <w:sz w:val="20"/>
                <w:lang w:eastAsia="ja-JP"/>
              </w:rPr>
            </w:pPr>
            <w:r>
              <w:rPr>
                <w:rFonts w:eastAsia="MS Mincho"/>
                <w:sz w:val="20"/>
                <w:lang w:eastAsia="ja-JP"/>
              </w:rPr>
              <w:t>Monitoring CSS in the first 3 symbols of a slot (as in Rel-16)</w:t>
            </w:r>
          </w:p>
          <w:p w14:paraId="37067431" w14:textId="77777777" w:rsidR="00751874" w:rsidRDefault="00751874" w:rsidP="00751874">
            <w:pPr>
              <w:pStyle w:val="ListParagraph"/>
              <w:numPr>
                <w:ilvl w:val="1"/>
                <w:numId w:val="69"/>
              </w:numPr>
              <w:rPr>
                <w:rFonts w:eastAsia="MS Mincho"/>
                <w:sz w:val="20"/>
                <w:lang w:eastAsia="ja-JP"/>
              </w:rPr>
            </w:pPr>
            <w:r>
              <w:rPr>
                <w:rFonts w:eastAsia="MS Mincho"/>
                <w:sz w:val="20"/>
                <w:lang w:eastAsia="ja-JP"/>
              </w:rPr>
              <w:t>Monitoring USS in a potentially different set of 3 symbols within the same slot</w:t>
            </w:r>
          </w:p>
          <w:p w14:paraId="0DA44B27" w14:textId="77777777" w:rsidR="00751874" w:rsidRDefault="00751874" w:rsidP="00751874">
            <w:pPr>
              <w:rPr>
                <w:rFonts w:eastAsia="MS Mincho"/>
                <w:sz w:val="20"/>
                <w:lang w:eastAsia="ja-JP"/>
              </w:rPr>
            </w:pPr>
          </w:p>
          <w:p w14:paraId="72E3D85A" w14:textId="77777777" w:rsidR="00751874" w:rsidRDefault="00751874" w:rsidP="00751874">
            <w:pPr>
              <w:rPr>
                <w:rFonts w:eastAsia="MS Mincho"/>
                <w:sz w:val="20"/>
                <w:lang w:eastAsia="ja-JP"/>
              </w:rPr>
            </w:pPr>
            <w:r>
              <w:rPr>
                <w:rFonts w:eastAsia="MS Mincho"/>
                <w:sz w:val="20"/>
                <w:lang w:eastAsia="ja-JP"/>
              </w:rPr>
              <w:t>By removing Alt-3, we would like to conclude that there will not be further discussion of specifying extra rules for avoiding local spikes in UE processing load, e.g., at the end of one X slot period and the beginning of the next.</w:t>
            </w:r>
          </w:p>
          <w:p w14:paraId="59B6558A" w14:textId="29EFF5F3" w:rsidR="00751874" w:rsidRPr="00751874" w:rsidRDefault="00751874" w:rsidP="00751874">
            <w:pPr>
              <w:rPr>
                <w:sz w:val="20"/>
                <w:lang w:eastAsia="zh-CN"/>
              </w:rPr>
            </w:pPr>
            <w:r>
              <w:rPr>
                <w:sz w:val="20"/>
                <w:lang w:eastAsia="zh-CN"/>
              </w:rPr>
              <w:t>Furthermore, we think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tc>
      </w:tr>
    </w:tbl>
    <w:p w14:paraId="5DA65659" w14:textId="77777777" w:rsidR="00637A29" w:rsidRPr="00A677B7"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lastRenderedPageBreak/>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 xml:space="preserve">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w:t>
            </w:r>
            <w:r>
              <w:lastRenderedPageBreak/>
              <w:t>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lastRenderedPageBreak/>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lastRenderedPageBreak/>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lastRenderedPageBreak/>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lastRenderedPageBreak/>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lastRenderedPageBreak/>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lastRenderedPageBreak/>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lastRenderedPageBreak/>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lastRenderedPageBreak/>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 xml:space="preserve">We think it can be discussed later after each field in DCI format 2_0 are identified to be supported (e.g. SSSG switching is being discussed </w:t>
            </w:r>
            <w:r>
              <w:rPr>
                <w:rFonts w:hint="eastAsia"/>
                <w:lang w:eastAsia="zh-CN"/>
              </w:rPr>
              <w:lastRenderedPageBreak/>
              <w:t>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lastRenderedPageBreak/>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Lenovo, Motorola Mobility</w:t>
            </w:r>
          </w:p>
        </w:tc>
        <w:tc>
          <w:tcPr>
            <w:tcW w:w="12176" w:type="dxa"/>
          </w:tcPr>
          <w:p w14:paraId="4A4823F4" w14:textId="388CBE83" w:rsidR="00130D6A" w:rsidRDefault="0032305B" w:rsidP="00130D6A">
            <w:pPr>
              <w:rPr>
                <w:lang w:eastAsia="zh-CN"/>
              </w:rPr>
            </w:pPr>
            <w:r w:rsidRPr="0032305B">
              <w:rPr>
                <w:lang w:eastAsia="zh-CN"/>
              </w:rPr>
              <w:t>We are open to beam-specific enhancements carried in DCI format 2_0 as suggested in the FL proposal, but a decision om these could 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lastRenderedPageBreak/>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lastRenderedPageBreak/>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w:t>
            </w:r>
            <w:r>
              <w:rPr>
                <w:lang w:eastAsia="zh-CN"/>
              </w:rPr>
              <w:lastRenderedPageBreak/>
              <w:t>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fldSimple w:instr=" SEQ Figure \* ARABIC ">
              <w:r>
                <w:t>1</w:t>
              </w:r>
            </w:fldSimple>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w:t>
            </w:r>
            <w:r>
              <w:rPr>
                <w:i/>
                <w:color w:val="000000" w:themeColor="text1"/>
                <w:lang w:eastAsia="zh-CN"/>
              </w:rPr>
              <w:lastRenderedPageBreak/>
              <w:t>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w:t>
            </w:r>
            <w:r>
              <w:rPr>
                <w:rFonts w:eastAsia="SimSun"/>
                <w:lang w:val="en-GB" w:eastAsia="zh-CN"/>
              </w:rPr>
              <w:lastRenderedPageBreak/>
              <w:t xml:space="preserve">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75pt;mso-width-percent:0;mso-height-percent:0;mso-width-percent:0;mso-height-percent:0" o:ole="">
                  <v:imagedata r:id="rId15" o:title=""/>
                </v:shape>
                <o:OLEObject Type="Embed" ProgID="Visio.Drawing.15" ShapeID="_x0000_i1026" DrawAspect="Content" ObjectID="_1680381283"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w:t>
            </w:r>
            <w:r>
              <w:lastRenderedPageBreak/>
              <w:t xml:space="preserve">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lastRenderedPageBreak/>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w:t>
            </w:r>
            <w:r>
              <w:rPr>
                <w:rStyle w:val="normaltextrun"/>
                <w:sz w:val="20"/>
                <w:szCs w:val="20"/>
                <w:lang w:val="en-US"/>
              </w:rPr>
              <w:lastRenderedPageBreak/>
              <w:t>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lastRenderedPageBreak/>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5pt;height:129pt;mso-width-percent:0;mso-height-percent:0;mso-width-percent:0;mso-height-percent:0" o:ole="">
                  <v:imagedata r:id="rId17" o:title=""/>
                </v:shape>
                <o:OLEObject Type="Embed" ProgID="Visio.Drawing.11" ShapeID="_x0000_i1027" DrawAspect="Content" ObjectID="_1680381284" r:id="rId18"/>
              </w:object>
            </w:r>
          </w:p>
          <w:p w14:paraId="28BCF308" w14:textId="77777777" w:rsidR="00BF303B" w:rsidRDefault="006222A6">
            <w:pPr>
              <w:pStyle w:val="Caption"/>
              <w:rPr>
                <w:lang w:eastAsia="zh-CN"/>
              </w:rPr>
            </w:pPr>
            <w:bookmarkStart w:id="14" w:name="_Ref67683938"/>
            <w:r>
              <w:t xml:space="preserve">Figure </w:t>
            </w:r>
            <w:fldSimple w:instr=" SEQ Figure \* ARABIC ">
              <w:r>
                <w:t>1</w:t>
              </w:r>
            </w:fldSimple>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25pt;height:102pt;mso-width-percent:0;mso-height-percent:0;mso-width-percent:0;mso-height-percent:0" o:ole="">
                  <v:imagedata r:id="rId10" o:title=""/>
                </v:shape>
                <o:OLEObject Type="Embed" ProgID="Visio.Drawing.11" ShapeID="_x0000_i1028" DrawAspect="Content" ObjectID="_1680381285" r:id="rId19"/>
              </w:object>
            </w:r>
          </w:p>
          <w:p w14:paraId="00E681AA" w14:textId="77777777" w:rsidR="00BF303B" w:rsidRDefault="006222A6">
            <w:pPr>
              <w:pStyle w:val="Caption"/>
              <w:rPr>
                <w:lang w:eastAsia="zh-CN"/>
              </w:rPr>
            </w:pPr>
            <w:bookmarkStart w:id="15" w:name="_Ref67870726"/>
            <w:r>
              <w:t xml:space="preserve">Figure </w:t>
            </w:r>
            <w:fldSimple w:instr=" SEQ Figure \* ARABIC ">
              <w:r>
                <w:t>2</w:t>
              </w:r>
            </w:fldSimple>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For Rel-17 UE with multi-slot PDCCH processing capabilities, overbooking and PDCCH dropping rules similar to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Overbooking is not allowed for SCells.</w:t>
            </w:r>
            <w:bookmarkEnd w:id="31"/>
          </w:p>
          <w:p w14:paraId="77DA9939" w14:textId="77777777" w:rsidR="00BF303B" w:rsidRDefault="006222A6">
            <w:pPr>
              <w:pStyle w:val="Observation"/>
              <w:numPr>
                <w:ilvl w:val="1"/>
                <w:numId w:val="38"/>
              </w:numPr>
            </w:pPr>
            <w:bookmarkStart w:id="32" w:name="_Toc68610481"/>
            <w:r>
              <w:t>For the PCell,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fldSimple w:instr=" SEQ Figure \* ARABIC ">
              <w:r>
                <w:t>14</w:t>
              </w:r>
            </w:fldSimple>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fldSimple w:instr=" SEQ Table \* ARABIC ">
              <w:r>
                <w:t>1</w:t>
              </w:r>
            </w:fldSimple>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071AC4">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071AC4">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071AC4">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071AC4">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75pt;height:102pt;mso-width-percent:0;mso-height-percent:0;mso-width-percent:0;mso-height-percent:0" o:ole="">
                  <v:imagedata r:id="rId22" o:title=""/>
                </v:shape>
                <o:OLEObject Type="Embed" ProgID="Visio.Drawing.15" ShapeID="_x0000_i1029" DrawAspect="Content" ObjectID="_1680381286"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75pt;height:2in;mso-width-percent:0;mso-height-percent:0;mso-width-percent:0;mso-height-percent:0" o:ole="">
                  <v:imagedata r:id="rId24" o:title=""/>
                </v:shape>
                <o:OLEObject Type="Embed" ProgID="Visio.Drawing.15" ShapeID="_x0000_i1030" DrawAspect="Content" ObjectID="_1680381287"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fldSimple w:instr=" SEQ Figure \* ARABIC ">
              <w:r>
                <w:t>1</w:t>
              </w:r>
            </w:fldSimple>
            <w:bookmarkEnd w:id="42"/>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fldSimple w:instr=" SEQ Proposal \* ARABIC ">
              <w:r>
                <w:t>1</w:t>
              </w:r>
            </w:fldSimple>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fldSimple w:instr=" SEQ Proposal \* ARABIC ">
              <w:r>
                <w:t>2</w:t>
              </w:r>
            </w:fldSimple>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fldSimple w:instr=" SEQ Proposal \* ARABIC ">
              <w:r>
                <w:t>5</w:t>
              </w:r>
            </w:fldSimple>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fldSimple w:instr=" SEQ Proposal \* ARABIC ">
              <w:r>
                <w:t>7</w:t>
              </w:r>
            </w:fldSimple>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9.5pt;mso-width-percent:0;mso-height-percent:0;mso-width-percent:0;mso-height-percent:0" o:ole="">
                  <v:imagedata r:id="rId31" o:title=""/>
                </v:shape>
                <o:OLEObject Type="Embed" ProgID="Visio.Drawing.15" ShapeID="_x0000_i1031" DrawAspect="Content" ObjectID="_1680381288"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(InterDigital)</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fldSimple w:instr=" SEQ Figure \* ARABIC ">
              <w:r>
                <w:t>2</w:t>
              </w:r>
            </w:fldSimple>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2.75pt;height:87pt;mso-width-percent:0;mso-height-percent:0;mso-width-percent:0;mso-height-percent:0" o:ole="">
                  <v:imagedata r:id="rId34" o:title=""/>
                </v:shape>
                <o:OLEObject Type="Embed" ProgID="Visio.Drawing.11" ShapeID="_x0000_i1032" DrawAspect="Content" ObjectID="_1680381289" r:id="rId35"/>
              </w:object>
            </w:r>
          </w:p>
          <w:p w14:paraId="02DADE7B" w14:textId="77777777" w:rsidR="00BF303B" w:rsidRDefault="006222A6">
            <w:pPr>
              <w:pStyle w:val="Caption"/>
              <w:rPr>
                <w:lang w:eastAsia="zh-CN"/>
              </w:rPr>
            </w:pPr>
            <w:bookmarkStart w:id="178" w:name="_Ref67922454"/>
            <w:bookmarkStart w:id="179" w:name="_Ref68631385"/>
            <w:r>
              <w:t xml:space="preserve">Figure </w:t>
            </w:r>
            <w:fldSimple w:instr=" SEQ Figure \* ARABIC ">
              <w:r>
                <w:t>3</w:t>
              </w:r>
            </w:fldSimple>
            <w:bookmarkEnd w:id="178"/>
            <w:r>
              <w:rPr>
                <w:lang w:eastAsia="zh-CN"/>
              </w:rPr>
              <w:t>: Example for MO configuration (T_periodicity=</w:t>
            </w:r>
            <w:r>
              <w:rPr>
                <w:rFonts w:hint="eastAsia"/>
                <w:lang w:eastAsia="zh-CN"/>
              </w:rPr>
              <w:t>12 slots</w:t>
            </w:r>
            <w:r>
              <w:rPr>
                <w:lang w:eastAsia="zh-CN"/>
              </w:rPr>
              <w:t>, k_offset=0)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fldSimple w:instr=" SEQ Figure \* ARABIC ">
              <w:r>
                <w:t>2</w:t>
              </w:r>
            </w:fldSimple>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9.5pt;height:201pt;mso-width-percent:0;mso-height-percent:0;mso-width-percent:0;mso-height-percent:0" o:ole="">
                  <v:imagedata r:id="rId37" o:title=""/>
                </v:shape>
                <o:OLEObject Type="Embed" ProgID="Visio.Drawing.15" ShapeID="_x0000_i1033" DrawAspect="Content" ObjectID="_1680381290" r:id="rId38"/>
              </w:object>
            </w:r>
          </w:p>
          <w:p w14:paraId="0A89E913" w14:textId="77777777" w:rsidR="00BF303B" w:rsidRDefault="006222A6">
            <w:pPr>
              <w:pStyle w:val="Caption"/>
            </w:pPr>
            <w:bookmarkStart w:id="182" w:name="_Ref68206910"/>
            <w:r>
              <w:t xml:space="preserve">Figure </w:t>
            </w:r>
            <w:fldSimple w:instr=" SEQ Figure \* ARABIC ">
              <w:r>
                <w:t>1</w:t>
              </w:r>
            </w:fldSimple>
            <w:bookmarkEnd w:id="182"/>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fldSimple w:instr=" SEQ Proposal \* ARABIC ">
              <w:r>
                <w:t>8</w:t>
              </w:r>
            </w:fldSimple>
            <w:r>
              <w:t>: If 480 kHz or 960 kHz is supported for initial access in the SPCell,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25pt;height:2in;mso-width-percent:0;mso-height-percent:0;mso-width-percent:0;mso-height-percent:0" o:ole="">
                  <v:imagedata r:id="rId39" o:title=""/>
                </v:shape>
                <o:OLEObject Type="Embed" ProgID="Visio.Drawing.15" ShapeID="_x0000_i1034" DrawAspect="Content" ObjectID="_1680381291"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25pt;height:102pt;mso-width-percent:0;mso-height-percent:0;mso-width-percent:0;mso-height-percent:0" o:ole="">
                  <v:imagedata r:id="rId43" o:title=""/>
                </v:shape>
                <o:OLEObject Type="Embed" ProgID="Visio.Drawing.15" ShapeID="_x0000_i1035" DrawAspect="Content" ObjectID="_1680381292"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8.5pt;height:366.75pt;mso-width-percent:0;mso-height-percent:0;mso-width-percent:0;mso-height-percent:0" o:ole="">
                  <v:imagedata r:id="rId45" o:title=""/>
                </v:shape>
                <o:OLEObject Type="Embed" ProgID="Visio.Drawing.15" ShapeID="_x0000_i1036" DrawAspect="Content" ObjectID="_1680381293"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lastRenderedPageBreak/>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lastRenderedPageBreak/>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3.25pt;height:2in;mso-width-percent:0;mso-height-percent:0;mso-width-percent:0;mso-height-percent:0" o:ole="">
                  <v:imagedata r:id="rId48" o:title=""/>
                </v:shape>
                <o:OLEObject Type="Embed" ProgID="Visio.Drawing.15" ShapeID="_x0000_i1037" DrawAspect="Content" ObjectID="_1680381294"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39.5pt;height:138pt;mso-width-percent:0;mso-height-percent:0;mso-width-percent:0;mso-height-percent:0" o:ole="">
                  <v:imagedata r:id="rId50" o:title=""/>
                </v:shape>
                <o:OLEObject Type="Embed" ProgID="Visio.Drawing.15" ShapeID="_x0000_i1038" DrawAspect="Content" ObjectID="_1680381295" r:id="rId51"/>
              </w:object>
            </w:r>
          </w:p>
          <w:p w14:paraId="4D3F37AC" w14:textId="77777777" w:rsidR="00BF303B" w:rsidRDefault="006222A6">
            <w:pPr>
              <w:pStyle w:val="Caption"/>
              <w:rPr>
                <w:lang w:val="en-GB"/>
              </w:rPr>
            </w:pPr>
            <w:bookmarkStart w:id="242" w:name="_Ref61547006"/>
            <w:r>
              <w:t xml:space="preserve">Figure </w:t>
            </w:r>
            <w:fldSimple w:instr=" SEQ Figure \* ARABIC ">
              <w:r>
                <w:t>3</w:t>
              </w:r>
            </w:fldSimple>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3F869" w14:textId="77777777" w:rsidR="00071AC4" w:rsidRDefault="00071AC4" w:rsidP="006222A6">
      <w:pPr>
        <w:spacing w:after="0" w:line="240" w:lineRule="auto"/>
      </w:pPr>
      <w:r>
        <w:separator/>
      </w:r>
    </w:p>
  </w:endnote>
  <w:endnote w:type="continuationSeparator" w:id="0">
    <w:p w14:paraId="2DAABB15" w14:textId="77777777" w:rsidR="00071AC4" w:rsidRDefault="00071AC4"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AED41" w14:textId="77777777" w:rsidR="00071AC4" w:rsidRDefault="00071AC4" w:rsidP="006222A6">
      <w:pPr>
        <w:spacing w:after="0" w:line="240" w:lineRule="auto"/>
      </w:pPr>
      <w:r>
        <w:separator/>
      </w:r>
    </w:p>
  </w:footnote>
  <w:footnote w:type="continuationSeparator" w:id="0">
    <w:p w14:paraId="7E5429E8" w14:textId="77777777" w:rsidR="00071AC4" w:rsidRDefault="00071AC4"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57F8C"/>
    <w:multiLevelType w:val="hybridMultilevel"/>
    <w:tmpl w:val="03006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4"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0"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7"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7"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5"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1"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7"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5"/>
  </w:num>
  <w:num w:numId="3">
    <w:abstractNumId w:val="65"/>
  </w:num>
  <w:num w:numId="4">
    <w:abstractNumId w:val="60"/>
  </w:num>
  <w:num w:numId="5">
    <w:abstractNumId w:val="47"/>
  </w:num>
  <w:num w:numId="6">
    <w:abstractNumId w:val="36"/>
  </w:num>
  <w:num w:numId="7">
    <w:abstractNumId w:val="39"/>
  </w:num>
  <w:num w:numId="8">
    <w:abstractNumId w:val="68"/>
  </w:num>
  <w:num w:numId="9">
    <w:abstractNumId w:val="40"/>
  </w:num>
  <w:num w:numId="10">
    <w:abstractNumId w:val="62"/>
  </w:num>
  <w:num w:numId="11">
    <w:abstractNumId w:val="30"/>
  </w:num>
  <w:num w:numId="12">
    <w:abstractNumId w:val="17"/>
  </w:num>
  <w:num w:numId="13">
    <w:abstractNumId w:val="26"/>
  </w:num>
  <w:num w:numId="14">
    <w:abstractNumId w:val="46"/>
  </w:num>
  <w:num w:numId="15">
    <w:abstractNumId w:val="22"/>
  </w:num>
  <w:num w:numId="16">
    <w:abstractNumId w:val="32"/>
  </w:num>
  <w:num w:numId="17">
    <w:abstractNumId w:val="38"/>
  </w:num>
  <w:num w:numId="18">
    <w:abstractNumId w:val="43"/>
  </w:num>
  <w:num w:numId="19">
    <w:abstractNumId w:val="55"/>
  </w:num>
  <w:num w:numId="20">
    <w:abstractNumId w:val="7"/>
  </w:num>
  <w:num w:numId="21">
    <w:abstractNumId w:val="21"/>
  </w:num>
  <w:num w:numId="22">
    <w:abstractNumId w:val="27"/>
  </w:num>
  <w:num w:numId="23">
    <w:abstractNumId w:val="44"/>
  </w:num>
  <w:num w:numId="24">
    <w:abstractNumId w:val="63"/>
  </w:num>
  <w:num w:numId="25">
    <w:abstractNumId w:val="16"/>
  </w:num>
  <w:num w:numId="26">
    <w:abstractNumId w:val="51"/>
  </w:num>
  <w:num w:numId="27">
    <w:abstractNumId w:val="20"/>
  </w:num>
  <w:num w:numId="28">
    <w:abstractNumId w:val="45"/>
  </w:num>
  <w:num w:numId="29">
    <w:abstractNumId w:val="48"/>
  </w:num>
  <w:num w:numId="30">
    <w:abstractNumId w:val="33"/>
  </w:num>
  <w:num w:numId="31">
    <w:abstractNumId w:val="59"/>
  </w:num>
  <w:num w:numId="32">
    <w:abstractNumId w:val="9"/>
  </w:num>
  <w:num w:numId="33">
    <w:abstractNumId w:val="4"/>
  </w:num>
  <w:num w:numId="34">
    <w:abstractNumId w:val="34"/>
  </w:num>
  <w:num w:numId="35">
    <w:abstractNumId w:val="23"/>
  </w:num>
  <w:num w:numId="36">
    <w:abstractNumId w:val="19"/>
  </w:num>
  <w:num w:numId="37">
    <w:abstractNumId w:val="66"/>
  </w:num>
  <w:num w:numId="38">
    <w:abstractNumId w:val="28"/>
  </w:num>
  <w:num w:numId="39">
    <w:abstractNumId w:val="50"/>
  </w:num>
  <w:num w:numId="40">
    <w:abstractNumId w:val="64"/>
  </w:num>
  <w:num w:numId="41">
    <w:abstractNumId w:val="29"/>
  </w:num>
  <w:num w:numId="42">
    <w:abstractNumId w:val="14"/>
  </w:num>
  <w:num w:numId="43">
    <w:abstractNumId w:val="6"/>
  </w:num>
  <w:num w:numId="44">
    <w:abstractNumId w:val="56"/>
  </w:num>
  <w:num w:numId="45">
    <w:abstractNumId w:val="31"/>
  </w:num>
  <w:num w:numId="46">
    <w:abstractNumId w:val="53"/>
  </w:num>
  <w:num w:numId="47">
    <w:abstractNumId w:val="57"/>
  </w:num>
  <w:num w:numId="48">
    <w:abstractNumId w:val="3"/>
  </w:num>
  <w:num w:numId="49">
    <w:abstractNumId w:val="41"/>
  </w:num>
  <w:num w:numId="50">
    <w:abstractNumId w:val="18"/>
  </w:num>
  <w:num w:numId="51">
    <w:abstractNumId w:val="1"/>
  </w:num>
  <w:num w:numId="52">
    <w:abstractNumId w:val="0"/>
  </w:num>
  <w:num w:numId="53">
    <w:abstractNumId w:val="13"/>
  </w:num>
  <w:num w:numId="54">
    <w:abstractNumId w:val="67"/>
  </w:num>
  <w:num w:numId="55">
    <w:abstractNumId w:val="42"/>
  </w:num>
  <w:num w:numId="56">
    <w:abstractNumId w:val="35"/>
  </w:num>
  <w:num w:numId="57">
    <w:abstractNumId w:val="52"/>
  </w:num>
  <w:num w:numId="58">
    <w:abstractNumId w:val="54"/>
  </w:num>
  <w:num w:numId="59">
    <w:abstractNumId w:val="15"/>
  </w:num>
  <w:num w:numId="60">
    <w:abstractNumId w:val="37"/>
  </w:num>
  <w:num w:numId="61">
    <w:abstractNumId w:val="61"/>
  </w:num>
  <w:num w:numId="62">
    <w:abstractNumId w:val="2"/>
  </w:num>
  <w:num w:numId="63">
    <w:abstractNumId w:val="12"/>
  </w:num>
  <w:num w:numId="64">
    <w:abstractNumId w:val="11"/>
  </w:num>
  <w:num w:numId="65">
    <w:abstractNumId w:val="24"/>
  </w:num>
  <w:num w:numId="66">
    <w:abstractNumId w:val="49"/>
  </w:num>
  <w:num w:numId="67">
    <w:abstractNumId w:val="8"/>
  </w:num>
  <w:num w:numId="68">
    <w:abstractNumId w:val="58"/>
  </w:num>
  <w:num w:numId="69">
    <w:abstractNumId w:val="5"/>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AC4"/>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A1E"/>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874"/>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C48"/>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3B9"/>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4E6"/>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96E"/>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CE1"/>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6076D0-F445-46BD-949B-FB4FF40B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92</Pages>
  <Words>32153</Words>
  <Characters>183278</Characters>
  <Application>Microsoft Office Word</Application>
  <DocSecurity>0</DocSecurity>
  <Lines>1527</Lines>
  <Paragraphs>430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4</cp:revision>
  <cp:lastPrinted>2016-08-13T07:06:00Z</cp:lastPrinted>
  <dcterms:created xsi:type="dcterms:W3CDTF">2021-04-20T06:39:00Z</dcterms:created>
  <dcterms:modified xsi:type="dcterms:W3CDTF">2021-04-20T06:48:00Z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