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335C9" w14:textId="77777777" w:rsidR="00BF303B" w:rsidRDefault="006222A6">
      <w:pPr>
        <w:pStyle w:val="af8"/>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af8"/>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aff2"/>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2"/>
      </w:pPr>
      <w:r>
        <w:lastRenderedPageBreak/>
        <w:t>Topic A1: Blind Decoding Capability, Multi-slot monitoring</w:t>
      </w:r>
    </w:p>
    <w:p w14:paraId="3745B094" w14:textId="77777777" w:rsidR="00BF303B" w:rsidRDefault="006222A6">
      <w:pPr>
        <w:pStyle w:val="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aff2"/>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ZTE, Sanechips</w:t>
            </w:r>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Huawei, HiSilicon</w:t>
            </w:r>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r w:rsidRPr="00EB2676">
              <w:rPr>
                <w:sz w:val="20"/>
                <w:lang w:eastAsia="zh-CN"/>
              </w:rPr>
              <w:t>Spreadtrum</w:t>
            </w:r>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aff9"/>
        <w:numPr>
          <w:ilvl w:val="0"/>
          <w:numId w:val="16"/>
        </w:numPr>
      </w:pPr>
      <w:r>
        <w:t>4 slots for SCS 480 kHz</w:t>
      </w:r>
    </w:p>
    <w:p w14:paraId="4BB266E9" w14:textId="77777777" w:rsidR="00BF303B" w:rsidRDefault="006222A6">
      <w:pPr>
        <w:pStyle w:val="aff9"/>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aff9"/>
        <w:numPr>
          <w:ilvl w:val="0"/>
          <w:numId w:val="16"/>
        </w:numPr>
      </w:pPr>
      <w:r>
        <w:t>1, 2 slots for SCS 480 kHz</w:t>
      </w:r>
    </w:p>
    <w:p w14:paraId="10BB34C8" w14:textId="77777777" w:rsidR="00BF303B" w:rsidRDefault="006222A6">
      <w:pPr>
        <w:pStyle w:val="aff9"/>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aff2"/>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ZTE, Sanechips</w:t>
            </w:r>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aff9"/>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aff9"/>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Huawei, HiSilicon</w:t>
            </w:r>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We support the proposal. Okay with Convida’s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We also support Convida’s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r w:rsidRPr="007E3F39">
              <w:rPr>
                <w:sz w:val="20"/>
                <w:szCs w:val="20"/>
              </w:rPr>
              <w:lastRenderedPageBreak/>
              <w:t>Spreadtrum</w:t>
            </w:r>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aff2"/>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aff9"/>
              <w:widowControl/>
              <w:numPr>
                <w:ilvl w:val="0"/>
                <w:numId w:val="18"/>
              </w:numPr>
            </w:pPr>
            <w:r>
              <w:t xml:space="preserve">Alt 1: Use a fixed pattern of slot groups as the baseline to define the new capability. </w:t>
            </w:r>
          </w:p>
          <w:p w14:paraId="59A85FBD" w14:textId="77777777" w:rsidR="00BF303B" w:rsidRDefault="006222A6">
            <w:pPr>
              <w:pStyle w:val="aff9"/>
              <w:widowControl/>
              <w:numPr>
                <w:ilvl w:val="1"/>
                <w:numId w:val="18"/>
              </w:numPr>
            </w:pPr>
            <w:r>
              <w:t>Each slot group consists of X slots</w:t>
            </w:r>
          </w:p>
          <w:p w14:paraId="2B6DBFC3" w14:textId="77777777" w:rsidR="00BF303B" w:rsidRDefault="006222A6">
            <w:pPr>
              <w:pStyle w:val="aff9"/>
              <w:widowControl/>
              <w:numPr>
                <w:ilvl w:val="1"/>
                <w:numId w:val="18"/>
              </w:numPr>
            </w:pPr>
            <w:r>
              <w:t>Slot groups are consecutive and non-overlapping</w:t>
            </w:r>
          </w:p>
          <w:p w14:paraId="2C62571C" w14:textId="77777777" w:rsidR="00BF303B" w:rsidRDefault="006222A6">
            <w:pPr>
              <w:pStyle w:val="aff9"/>
              <w:widowControl/>
              <w:numPr>
                <w:ilvl w:val="1"/>
                <w:numId w:val="18"/>
              </w:numPr>
            </w:pPr>
            <w:r>
              <w:t>The capability indicates the BD/CCE budget within Y consecutive [symbols or slots] in each slot group separately</w:t>
            </w:r>
          </w:p>
          <w:p w14:paraId="53B49AA6" w14:textId="77777777" w:rsidR="00BF303B" w:rsidRDefault="006222A6">
            <w:pPr>
              <w:pStyle w:val="aff9"/>
              <w:widowControl/>
              <w:numPr>
                <w:ilvl w:val="1"/>
                <w:numId w:val="18"/>
              </w:numPr>
            </w:pPr>
            <w:r>
              <w:t>FFS: Supported values/constraints of X and Y, e.g. Y&lt;=X, Y=X</w:t>
            </w:r>
          </w:p>
          <w:p w14:paraId="529DA51A" w14:textId="77777777" w:rsidR="00BF303B" w:rsidRDefault="006222A6">
            <w:pPr>
              <w:pStyle w:val="aff9"/>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aff9"/>
              <w:widowControl/>
              <w:numPr>
                <w:ilvl w:val="1"/>
                <w:numId w:val="18"/>
              </w:numPr>
            </w:pPr>
            <w:r>
              <w:t>FFS: Further definition of capabilities</w:t>
            </w:r>
          </w:p>
          <w:p w14:paraId="46782534" w14:textId="77777777" w:rsidR="00BF303B" w:rsidRDefault="006222A6">
            <w:pPr>
              <w:pStyle w:val="aff9"/>
              <w:widowControl/>
              <w:numPr>
                <w:ilvl w:val="0"/>
                <w:numId w:val="18"/>
              </w:numPr>
            </w:pPr>
            <w:r>
              <w:t>Alt 2: Use an (X, Y) span as the baseline to define the new capability</w:t>
            </w:r>
          </w:p>
          <w:p w14:paraId="0A380D44" w14:textId="77777777" w:rsidR="00BF303B" w:rsidRDefault="006222A6">
            <w:pPr>
              <w:pStyle w:val="aff9"/>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aff9"/>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aff9"/>
              <w:widowControl/>
              <w:numPr>
                <w:ilvl w:val="1"/>
                <w:numId w:val="18"/>
              </w:numPr>
            </w:pPr>
            <w:r>
              <w:t>Y &lt;= X</w:t>
            </w:r>
          </w:p>
          <w:p w14:paraId="12B15958" w14:textId="77777777" w:rsidR="00BF303B" w:rsidRDefault="006222A6">
            <w:pPr>
              <w:pStyle w:val="aff9"/>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aff9"/>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aff9"/>
              <w:widowControl/>
              <w:numPr>
                <w:ilvl w:val="1"/>
                <w:numId w:val="18"/>
              </w:numPr>
            </w:pPr>
            <w:r>
              <w:t>FFS: Further definition of capabilities</w:t>
            </w:r>
          </w:p>
          <w:p w14:paraId="2539AFF2" w14:textId="77777777" w:rsidR="00BF303B" w:rsidRDefault="006222A6">
            <w:pPr>
              <w:pStyle w:val="aff9"/>
              <w:widowControl/>
              <w:numPr>
                <w:ilvl w:val="0"/>
                <w:numId w:val="18"/>
              </w:numPr>
            </w:pPr>
            <w:r>
              <w:t xml:space="preserve">Alt 3: Use a sliding window of X slots as the baseline to define the new capability. </w:t>
            </w:r>
          </w:p>
          <w:p w14:paraId="311FA6A4" w14:textId="77777777" w:rsidR="00BF303B" w:rsidRDefault="006222A6">
            <w:pPr>
              <w:pStyle w:val="aff9"/>
              <w:widowControl/>
              <w:numPr>
                <w:ilvl w:val="1"/>
                <w:numId w:val="18"/>
              </w:numPr>
            </w:pPr>
            <w:r>
              <w:t>The capability indicates the BD/CCE budget within the sliding window</w:t>
            </w:r>
          </w:p>
          <w:p w14:paraId="26489F3F" w14:textId="77777777" w:rsidR="00BF303B" w:rsidRDefault="006222A6">
            <w:pPr>
              <w:pStyle w:val="aff9"/>
              <w:widowControl/>
              <w:numPr>
                <w:ilvl w:val="1"/>
                <w:numId w:val="18"/>
              </w:numPr>
            </w:pPr>
            <w:r>
              <w:t xml:space="preserve"> The sliding unit of the sliding window is [1] slot.</w:t>
            </w:r>
          </w:p>
          <w:p w14:paraId="4B11FA2B" w14:textId="77777777" w:rsidR="00BF303B" w:rsidRDefault="006222A6">
            <w:pPr>
              <w:pStyle w:val="aff9"/>
              <w:widowControl/>
              <w:numPr>
                <w:ilvl w:val="1"/>
                <w:numId w:val="18"/>
              </w:numPr>
            </w:pPr>
            <w:r>
              <w:t>FFS: Further definition of capabilities</w:t>
            </w:r>
          </w:p>
          <w:p w14:paraId="0BB72C00" w14:textId="77777777" w:rsidR="00BF303B" w:rsidRDefault="006222A6">
            <w:pPr>
              <w:pStyle w:val="aff9"/>
              <w:widowControl/>
              <w:numPr>
                <w:ilvl w:val="0"/>
                <w:numId w:val="18"/>
              </w:numPr>
            </w:pPr>
            <w:r>
              <w:t>Specific numbers for X, Y may depend on UE capability and gNB configuration</w:t>
            </w:r>
          </w:p>
          <w:p w14:paraId="0D1FB074" w14:textId="77777777" w:rsidR="00BF303B" w:rsidRDefault="006222A6">
            <w:pPr>
              <w:pStyle w:val="aff9"/>
              <w:widowControl/>
              <w:numPr>
                <w:ilvl w:val="1"/>
                <w:numId w:val="18"/>
              </w:numPr>
            </w:pPr>
            <w:r>
              <w:t xml:space="preserve">Examples: </w:t>
            </w:r>
          </w:p>
          <w:p w14:paraId="13C10B50" w14:textId="77777777" w:rsidR="00BF303B" w:rsidRDefault="006222A6">
            <w:pPr>
              <w:pStyle w:val="aff9"/>
              <w:widowControl/>
              <w:numPr>
                <w:ilvl w:val="2"/>
                <w:numId w:val="18"/>
              </w:numPr>
            </w:pPr>
            <w:r>
              <w:t>X = [4] slots for 480 kHz SCS and X = [8] slots for 960 kHz SCS</w:t>
            </w:r>
          </w:p>
        </w:tc>
      </w:tr>
    </w:tbl>
    <w:p w14:paraId="5D510B9E" w14:textId="7BDB0D50" w:rsidR="00BF303B" w:rsidRDefault="00637A29" w:rsidP="00637A29">
      <w:pPr>
        <w:pStyle w:val="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Alt 1 supported by Huawei, HiSilicon, Nokia, Nokia Shanghai Bell, CATT, MediaTek, Apple, LG, Interdigital, ZTE, Sanechips, OPPO</w:t>
      </w:r>
    </w:p>
    <w:p w14:paraId="4334770F" w14:textId="77777777" w:rsidR="00BF303B" w:rsidRDefault="006222A6">
      <w:pPr>
        <w:rPr>
          <w:lang w:val="en-GB" w:eastAsia="zh-CN"/>
        </w:rPr>
      </w:pPr>
      <w:r>
        <w:rPr>
          <w:lang w:val="en-GB" w:eastAsia="zh-CN"/>
        </w:rPr>
        <w:t>Alt 2 supported by vivo, CATT, Futurewei,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sidRPr="00637A29">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aff2"/>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75pt;height:99pt;mso-width-percent:0;mso-height-percent:0;mso-width-percent:0;mso-height-percent:0" o:ole="">
                  <v:imagedata r:id="rId10" o:title=""/>
                </v:shape>
                <o:OLEObject Type="Embed" ProgID="Visio.Drawing.11" ShapeID="_x0000_i1025" DrawAspect="Content" ObjectID="_1680351987"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aff9"/>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aff9"/>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aff9"/>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aff9"/>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aff9"/>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aff9"/>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aff9"/>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aff9"/>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aff9"/>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aff9"/>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aff9"/>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aff9"/>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aff2"/>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aff9"/>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aff9"/>
              <w:widowControl/>
              <w:numPr>
                <w:ilvl w:val="1"/>
                <w:numId w:val="18"/>
              </w:numPr>
            </w:pPr>
            <w:r>
              <w:t>Each slot group consists of X slots</w:t>
            </w:r>
          </w:p>
          <w:p w14:paraId="7DAB6D54" w14:textId="77777777" w:rsidR="00637A29" w:rsidRDefault="00637A29" w:rsidP="00637A29">
            <w:pPr>
              <w:pStyle w:val="aff9"/>
              <w:widowControl/>
              <w:numPr>
                <w:ilvl w:val="1"/>
                <w:numId w:val="18"/>
              </w:numPr>
            </w:pPr>
            <w:r>
              <w:t>Slot groups are consecutive and non-overlapping</w:t>
            </w:r>
          </w:p>
          <w:p w14:paraId="348E344A" w14:textId="77777777" w:rsidR="00637A29" w:rsidRDefault="00637A29" w:rsidP="00637A29">
            <w:pPr>
              <w:pStyle w:val="aff9"/>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aff9"/>
              <w:widowControl/>
              <w:numPr>
                <w:ilvl w:val="1"/>
                <w:numId w:val="18"/>
              </w:numPr>
            </w:pPr>
            <w:r>
              <w:t>FFS: Supported values/constraints of X and Y, e.g. Y&lt;=X, Y=X</w:t>
            </w:r>
          </w:p>
          <w:p w14:paraId="0BC217AD" w14:textId="77777777" w:rsidR="00637A29" w:rsidRDefault="00637A29" w:rsidP="00637A29">
            <w:pPr>
              <w:pStyle w:val="aff9"/>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aff9"/>
              <w:widowControl/>
              <w:numPr>
                <w:ilvl w:val="1"/>
                <w:numId w:val="18"/>
              </w:numPr>
            </w:pPr>
            <w:r>
              <w:t>FFS: Further definition of capabilities</w:t>
            </w:r>
          </w:p>
          <w:p w14:paraId="64EF9D6C" w14:textId="77777777" w:rsidR="00637A29" w:rsidRDefault="00637A29" w:rsidP="00637A29">
            <w:pPr>
              <w:pStyle w:val="aff9"/>
              <w:widowControl/>
              <w:numPr>
                <w:ilvl w:val="0"/>
                <w:numId w:val="18"/>
              </w:numPr>
            </w:pPr>
            <w:r>
              <w:t>Alt 2: Use an (X, Y) span as the baseline to define the new capability</w:t>
            </w:r>
          </w:p>
          <w:p w14:paraId="577733A4" w14:textId="77777777" w:rsidR="00637A29" w:rsidRDefault="00637A29" w:rsidP="00637A29">
            <w:pPr>
              <w:pStyle w:val="aff9"/>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aff9"/>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aff9"/>
              <w:widowControl/>
              <w:numPr>
                <w:ilvl w:val="1"/>
                <w:numId w:val="18"/>
              </w:numPr>
            </w:pPr>
            <w:r>
              <w:t>Y &lt;= X</w:t>
            </w:r>
          </w:p>
          <w:p w14:paraId="20D4C8D0" w14:textId="77777777" w:rsidR="00637A29" w:rsidRDefault="00637A29" w:rsidP="00637A29">
            <w:pPr>
              <w:pStyle w:val="aff9"/>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aff9"/>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aff9"/>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aff2"/>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aff9"/>
              <w:numPr>
                <w:ilvl w:val="0"/>
                <w:numId w:val="66"/>
              </w:numPr>
            </w:pPr>
            <w:r>
              <w:t xml:space="preserve">Alt 1: Use a fixed pattern of slot groups as the baseline to define the new capability. </w:t>
            </w:r>
          </w:p>
          <w:p w14:paraId="0AC94372" w14:textId="77777777" w:rsidR="0008012E" w:rsidRDefault="0008012E" w:rsidP="0008012E">
            <w:pPr>
              <w:pStyle w:val="aff9"/>
              <w:widowControl/>
              <w:numPr>
                <w:ilvl w:val="1"/>
                <w:numId w:val="65"/>
              </w:numPr>
            </w:pPr>
            <w:r>
              <w:t>Each slot group consists of X slots</w:t>
            </w:r>
          </w:p>
          <w:p w14:paraId="662D2ECC" w14:textId="77777777" w:rsidR="0008012E" w:rsidRDefault="0008012E" w:rsidP="0008012E">
            <w:pPr>
              <w:pStyle w:val="aff9"/>
              <w:widowControl/>
              <w:numPr>
                <w:ilvl w:val="1"/>
                <w:numId w:val="65"/>
              </w:numPr>
            </w:pPr>
            <w:r>
              <w:t>Slot groups are consecutive and non-overlapping</w:t>
            </w:r>
          </w:p>
          <w:p w14:paraId="6E6945C3" w14:textId="77777777" w:rsidR="0008012E" w:rsidRDefault="0008012E" w:rsidP="0008012E">
            <w:pPr>
              <w:pStyle w:val="aff9"/>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aff9"/>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aff9"/>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aff9"/>
              <w:widowControl/>
              <w:numPr>
                <w:ilvl w:val="1"/>
                <w:numId w:val="65"/>
              </w:numPr>
            </w:pPr>
            <w:r>
              <w:t>FFS: Further definition of capabilities</w:t>
            </w:r>
          </w:p>
          <w:p w14:paraId="6E40A805" w14:textId="77777777" w:rsidR="008356E6" w:rsidRDefault="008356E6" w:rsidP="008356E6">
            <w:pPr>
              <w:pStyle w:val="aff9"/>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aff9"/>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aff9"/>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aff9"/>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aff9"/>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aff9"/>
              <w:numPr>
                <w:ilvl w:val="0"/>
                <w:numId w:val="68"/>
              </w:numPr>
              <w:rPr>
                <w:lang w:eastAsia="zh-CN"/>
              </w:rPr>
            </w:pPr>
            <w:r>
              <w:rPr>
                <w:lang w:eastAsia="zh-CN"/>
              </w:rPr>
              <w:t>The flexibility to configure USS</w:t>
            </w:r>
            <w:r w:rsidR="00723D15">
              <w:rPr>
                <w:lang w:eastAsia="zh-CN"/>
              </w:rPr>
              <w:t>/CSS depend on the value of Y ( for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aff9"/>
              <w:numPr>
                <w:ilvl w:val="0"/>
                <w:numId w:val="68"/>
              </w:numPr>
              <w:rPr>
                <w:lang w:eastAsia="zh-CN"/>
              </w:rPr>
            </w:pPr>
            <w:r>
              <w:rPr>
                <w:lang w:eastAsia="zh-CN"/>
              </w:rPr>
              <w:t>It is our understanding that for both alt1 and alt2, at least the follow value (4,8) for X should be agreed. The proposal should include  the proposal from previous discussion</w:t>
            </w:r>
            <w:bookmarkStart w:id="0" w:name="_GoBack"/>
            <w:bookmarkEnd w:id="0"/>
          </w:p>
          <w:p w14:paraId="17BC1777" w14:textId="77777777" w:rsidR="00686377" w:rsidRDefault="00686377" w:rsidP="00686377">
            <w:pPr>
              <w:pStyle w:val="aff9"/>
              <w:widowControl/>
              <w:numPr>
                <w:ilvl w:val="1"/>
                <w:numId w:val="68"/>
              </w:numPr>
              <w:jc w:val="left"/>
            </w:pPr>
            <w:r>
              <w:t>For 480 kHz: 4 slots</w:t>
            </w:r>
          </w:p>
          <w:p w14:paraId="25DCFE4F" w14:textId="77777777" w:rsidR="00686377" w:rsidRDefault="00686377" w:rsidP="00686377">
            <w:pPr>
              <w:pStyle w:val="aff9"/>
              <w:widowControl/>
              <w:numPr>
                <w:ilvl w:val="1"/>
                <w:numId w:val="68"/>
              </w:numPr>
              <w:jc w:val="left"/>
            </w:pPr>
            <w:r>
              <w:t>For 960 kHz: 8 slots</w:t>
            </w:r>
          </w:p>
          <w:p w14:paraId="2A14DA84" w14:textId="77777777" w:rsidR="00686377" w:rsidRDefault="00686377" w:rsidP="00686377">
            <w:pPr>
              <w:pStyle w:val="aff9"/>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aff9"/>
              <w:widowControl/>
              <w:numPr>
                <w:ilvl w:val="1"/>
                <w:numId w:val="68"/>
              </w:numPr>
              <w:jc w:val="left"/>
            </w:pPr>
            <w:r>
              <w:t>Larger values than 4/8 slots for 480/960 kHz are not supported</w:t>
            </w:r>
          </w:p>
          <w:p w14:paraId="17FD20CF" w14:textId="5DC29A72" w:rsidR="00686377" w:rsidRDefault="00686377" w:rsidP="00686377">
            <w:pPr>
              <w:pStyle w:val="aff9"/>
              <w:rPr>
                <w:lang w:eastAsia="zh-CN"/>
              </w:rPr>
            </w:pPr>
          </w:p>
        </w:tc>
      </w:tr>
    </w:tbl>
    <w:p w14:paraId="5DA65659" w14:textId="77777777" w:rsidR="00637A29" w:rsidRPr="001C072F" w:rsidRDefault="00637A29">
      <w:pPr>
        <w:rPr>
          <w:lang w:eastAsia="zh-CN"/>
        </w:rPr>
      </w:pPr>
    </w:p>
    <w:p w14:paraId="76AFCED3" w14:textId="77777777" w:rsidR="00BF303B" w:rsidRDefault="00BF303B">
      <w:pPr>
        <w:rPr>
          <w:lang w:eastAsia="zh-CN"/>
        </w:rPr>
      </w:pPr>
    </w:p>
    <w:p w14:paraId="519E7022" w14:textId="77777777" w:rsidR="00BF303B" w:rsidRDefault="006222A6">
      <w:pPr>
        <w:pStyle w:val="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aff2"/>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lastRenderedPageBreak/>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2"/>
      </w:pPr>
      <w:r>
        <w:t>Topic A2: Search Space Enhancement</w:t>
      </w:r>
    </w:p>
    <w:p w14:paraId="55BA5FBB" w14:textId="77777777" w:rsidR="00BF303B" w:rsidRDefault="006222A6">
      <w:pPr>
        <w:pStyle w:val="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lastRenderedPageBreak/>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w:t>
            </w:r>
            <w:r>
              <w:rPr>
                <w:lang w:eastAsia="zh-CN"/>
              </w:rPr>
              <w:lastRenderedPageBreak/>
              <w:t xml:space="preserve">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lastRenderedPageBreak/>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aff2"/>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lastRenderedPageBreak/>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lastRenderedPageBreak/>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aff2"/>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aff9"/>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aff9"/>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 xml:space="preserve">In summary, we agree with Mediatek’s comments and think that typically it would be sufficient to have slot-based monitoring for 120 kHz SCS both </w:t>
            </w:r>
            <w:r>
              <w:rPr>
                <w:sz w:val="20"/>
              </w:rPr>
              <w:lastRenderedPageBreak/>
              <w:t>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lastRenderedPageBreak/>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bl>
    <w:p w14:paraId="4E76AC06" w14:textId="77777777" w:rsidR="00BF303B" w:rsidRPr="006F65F0" w:rsidRDefault="00BF303B">
      <w:pPr>
        <w:rPr>
          <w:lang w:eastAsia="zh-CN"/>
        </w:rPr>
      </w:pPr>
    </w:p>
    <w:p w14:paraId="39B22F95" w14:textId="77777777" w:rsidR="00BF303B" w:rsidRDefault="006222A6">
      <w:pPr>
        <w:pStyle w:val="2"/>
      </w:pPr>
      <w:r>
        <w:t>Topic A3: BD Dropping</w:t>
      </w:r>
    </w:p>
    <w:p w14:paraId="03D832F6" w14:textId="77777777" w:rsidR="00BF303B" w:rsidRDefault="006222A6">
      <w:pPr>
        <w:pStyle w:val="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lastRenderedPageBreak/>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aff9"/>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aff9"/>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lastRenderedPageBreak/>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1"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 xml:space="preserve">The dropping rule is highly related to the multi-slot monitoring framework discussion in A1-3 and we prefer to discuss the details after </w:t>
            </w:r>
            <w:r>
              <w:lastRenderedPageBreak/>
              <w:t>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lastRenderedPageBreak/>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lastRenderedPageBreak/>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2"/>
      </w:pPr>
      <w:r>
        <w:t>Topic C: Multi-Beam Aspects</w:t>
      </w:r>
    </w:p>
    <w:p w14:paraId="7EDD9840" w14:textId="77777777" w:rsidR="00BF303B" w:rsidRDefault="006222A6">
      <w:pPr>
        <w:pStyle w:val="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aff9"/>
        <w:numPr>
          <w:ilvl w:val="0"/>
          <w:numId w:val="24"/>
        </w:numPr>
        <w:rPr>
          <w:bCs/>
        </w:rPr>
      </w:pPr>
      <w:r>
        <w:rPr>
          <w:bCs/>
        </w:rPr>
        <w:t>Remaining CO duration</w:t>
      </w:r>
    </w:p>
    <w:p w14:paraId="3BB3A72F" w14:textId="77777777" w:rsidR="00BF303B" w:rsidRDefault="006222A6">
      <w:pPr>
        <w:pStyle w:val="aff9"/>
        <w:numPr>
          <w:ilvl w:val="0"/>
          <w:numId w:val="24"/>
        </w:numPr>
        <w:rPr>
          <w:bCs/>
        </w:rPr>
      </w:pPr>
      <w:r>
        <w:rPr>
          <w:bCs/>
        </w:rPr>
        <w:t>Available RB set</w:t>
      </w:r>
    </w:p>
    <w:p w14:paraId="7621893E" w14:textId="77777777" w:rsidR="00BF303B" w:rsidRDefault="006222A6">
      <w:pPr>
        <w:pStyle w:val="aff9"/>
        <w:numPr>
          <w:ilvl w:val="0"/>
          <w:numId w:val="24"/>
        </w:numPr>
        <w:rPr>
          <w:bCs/>
        </w:rPr>
      </w:pPr>
      <w:r>
        <w:rPr>
          <w:bCs/>
        </w:rPr>
        <w:t>Search space group switching</w:t>
      </w:r>
    </w:p>
    <w:p w14:paraId="7F9B0CA6" w14:textId="77777777" w:rsidR="00BF303B" w:rsidRDefault="00BF303B">
      <w:pPr>
        <w:rPr>
          <w:lang w:eastAsia="zh-CN"/>
        </w:rPr>
      </w:pPr>
    </w:p>
    <w:tbl>
      <w:tblPr>
        <w:tblStyle w:val="aff2"/>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 xml:space="preserve">We don't understand why we would need a new agreement on this. TCI states are configured per CORESET in Rel-15/16 already allowing </w:t>
            </w:r>
            <w:r>
              <w:rPr>
                <w:lang w:eastAsia="zh-CN"/>
              </w:rPr>
              <w:lastRenderedPageBreak/>
              <w:t>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lastRenderedPageBreak/>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Lenovo, Motorola Mobility</w:t>
            </w:r>
          </w:p>
        </w:tc>
        <w:tc>
          <w:tcPr>
            <w:tcW w:w="12176" w:type="dxa"/>
          </w:tcPr>
          <w:p w14:paraId="4A4823F4" w14:textId="388CBE83" w:rsidR="00130D6A" w:rsidRDefault="0032305B" w:rsidP="00130D6A">
            <w:pPr>
              <w:rPr>
                <w:lang w:eastAsia="zh-CN"/>
              </w:rPr>
            </w:pPr>
            <w:r w:rsidRPr="0032305B">
              <w:rPr>
                <w:lang w:eastAsia="zh-CN"/>
              </w:rPr>
              <w:t>We are open to beam-specific enhancements carried in DCI format 2_0 as suggested in the FL proposal, but a decision om these could 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3"/>
        <w:rPr>
          <w:lang w:val="en-GB" w:eastAsia="zh-CN"/>
        </w:rPr>
      </w:pPr>
      <w:r>
        <w:rPr>
          <w:lang w:val="en-GB" w:eastAsia="zh-CN"/>
        </w:rPr>
        <w:lastRenderedPageBreak/>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aff2"/>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2"/>
      </w:pPr>
      <w:r>
        <w:t>Topic D: Multi-Cell Operation, Cross-carrier scheduling</w:t>
      </w:r>
    </w:p>
    <w:p w14:paraId="5AD62C46" w14:textId="77777777" w:rsidR="00BF303B" w:rsidRDefault="006222A6">
      <w:pPr>
        <w:pStyle w:val="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aff9"/>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aff9"/>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aff9"/>
        <w:numPr>
          <w:ilvl w:val="0"/>
          <w:numId w:val="25"/>
        </w:numPr>
        <w:rPr>
          <w:lang w:eastAsia="zh-CN"/>
        </w:rPr>
      </w:pPr>
      <w:r>
        <w:rPr>
          <w:lang w:eastAsia="zh-CN"/>
        </w:rPr>
        <w:lastRenderedPageBreak/>
        <w:t>The minimum PDSCH scheduling delay and the minimum A-CSI RS triggering offset applicable to SCS 480kHz and 960kHz (Intel R1-2103022)</w:t>
      </w:r>
    </w:p>
    <w:p w14:paraId="76E6E863" w14:textId="77777777" w:rsidR="00BF303B" w:rsidRDefault="006222A6">
      <w:pPr>
        <w:pStyle w:val="aff9"/>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aff9"/>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aff2"/>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3"/>
        <w:rPr>
          <w:lang w:val="en-GB" w:eastAsia="zh-CN"/>
        </w:rPr>
      </w:pPr>
      <w:r>
        <w:rPr>
          <w:lang w:val="en-GB" w:eastAsia="zh-CN"/>
        </w:rPr>
        <w:lastRenderedPageBreak/>
        <w:t>R1-2102328 (Huawei, HiSilicon)</w:t>
      </w:r>
    </w:p>
    <w:tbl>
      <w:tblPr>
        <w:tblStyle w:val="aff2"/>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a8"/>
              <w:rPr>
                <w:b w:val="0"/>
                <w:color w:val="000000" w:themeColor="text1"/>
                <w:lang w:eastAsia="zh-CN"/>
              </w:rPr>
            </w:pPr>
            <w:bookmarkStart w:id="2" w:name="_Ref68012702"/>
            <w:r>
              <w:t xml:space="preserve">Figure </w:t>
            </w:r>
            <w:fldSimple w:instr=" SEQ Figure \* ARABIC ">
              <w:r>
                <w:t>1</w:t>
              </w:r>
            </w:fldSimple>
            <w:bookmarkEnd w:id="2"/>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xml:space="preserve">, whose maximum value is up to Y, and the minimum gap between two consecutive spans is X symbols within </w:t>
            </w:r>
            <w:r>
              <w:rPr>
                <w:lang w:eastAsia="zh-CN"/>
              </w:rPr>
              <w:lastRenderedPageBreak/>
              <w:t>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aff9"/>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aff9"/>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3"/>
        <w:rPr>
          <w:lang w:val="en-GB" w:eastAsia="zh-CN"/>
        </w:rPr>
      </w:pPr>
      <w:r>
        <w:rPr>
          <w:lang w:val="en-GB" w:eastAsia="zh-CN"/>
        </w:rPr>
        <w:lastRenderedPageBreak/>
        <w:t>R1-2102386 (OPPO)</w:t>
      </w:r>
    </w:p>
    <w:tbl>
      <w:tblPr>
        <w:tblStyle w:val="aff2"/>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ae"/>
              <w:rPr>
                <w:rFonts w:eastAsia="宋体"/>
                <w:lang w:val="en-GB" w:eastAsia="zh-CN"/>
              </w:rPr>
            </w:pPr>
            <w:r>
              <w:rPr>
                <w:rFonts w:eastAsia="宋体" w:hint="eastAsia"/>
                <w:lang w:val="en-GB" w:eastAsia="zh-CN"/>
              </w:rPr>
              <w:t xml:space="preserve">From our understanding, the </w:t>
            </w:r>
            <w:r>
              <w:rPr>
                <w:rFonts w:eastAsia="宋体"/>
                <w:lang w:val="en-GB" w:eastAsia="zh-CN"/>
              </w:rPr>
              <w:t xml:space="preserve">main difference between </w:t>
            </w:r>
            <w:r>
              <w:rPr>
                <w:rFonts w:eastAsia="宋体" w:hint="eastAsia"/>
                <w:lang w:val="en-GB" w:eastAsia="zh-CN"/>
              </w:rPr>
              <w:t xml:space="preserve">Alt-1 and Alt-3 </w:t>
            </w:r>
            <w:r>
              <w:rPr>
                <w:rFonts w:eastAsia="宋体"/>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ae"/>
              <w:rPr>
                <w:rFonts w:eastAsia="宋体"/>
                <w:u w:val="single"/>
                <w:lang w:val="en-GB" w:eastAsia="zh-CN"/>
              </w:rPr>
            </w:pPr>
            <w:r>
              <w:rPr>
                <w:rFonts w:eastAsia="宋体"/>
                <w:u w:val="single"/>
                <w:lang w:val="en-GB" w:eastAsia="zh-CN"/>
              </w:rPr>
              <w:t>Alt-2: R16 span framework</w:t>
            </w:r>
          </w:p>
          <w:p w14:paraId="05E03BE2" w14:textId="77777777" w:rsidR="00BF303B" w:rsidRDefault="006222A6">
            <w:pPr>
              <w:pStyle w:val="ae"/>
              <w:rPr>
                <w:rFonts w:eastAsia="宋体"/>
                <w:lang w:val="en-GB" w:eastAsia="zh-CN"/>
              </w:rPr>
            </w:pPr>
            <w:r>
              <w:rPr>
                <w:rFonts w:eastAsia="宋体" w:hint="eastAsia"/>
                <w:lang w:val="en-GB" w:eastAsia="zh-CN"/>
              </w:rPr>
              <w:t>A baseline of the span pattern can be the slot-based PDCCH monitoring for 120</w:t>
            </w:r>
            <w:r>
              <w:rPr>
                <w:rFonts w:eastAsia="宋体"/>
                <w:lang w:val="en-GB" w:eastAsia="zh-CN"/>
              </w:rPr>
              <w:t xml:space="preserve"> </w:t>
            </w:r>
            <w:r>
              <w:rPr>
                <w:rFonts w:eastAsia="宋体" w:hint="eastAsia"/>
                <w:lang w:val="en-GB" w:eastAsia="zh-CN"/>
              </w:rPr>
              <w:t xml:space="preserve">kHz SCS. </w:t>
            </w:r>
            <w:r>
              <w:rPr>
                <w:rFonts w:eastAsia="宋体"/>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ae"/>
              <w:rPr>
                <w:rFonts w:eastAsia="宋体"/>
                <w:lang w:val="en-GB" w:eastAsia="zh-CN"/>
              </w:rPr>
            </w:pPr>
            <w:r>
              <w:rPr>
                <w:rFonts w:eastAsia="宋体"/>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ae"/>
              <w:rPr>
                <w:rFonts w:eastAsia="宋体"/>
                <w:b/>
                <w:lang w:val="en-GB" w:eastAsia="zh-CN"/>
              </w:rPr>
            </w:pPr>
            <w:r>
              <w:rPr>
                <w:rFonts w:eastAsia="宋体"/>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hint="eastAsia"/>
                <w:b/>
                <w:lang w:val="en-GB" w:eastAsia="zh-CN"/>
              </w:rPr>
              <w:t>X value of 4 slots for 480 kHz and 8 slots for 960 kHz</w:t>
            </w:r>
            <w:r>
              <w:rPr>
                <w:rFonts w:eastAsia="宋体"/>
                <w:b/>
                <w:lang w:val="en-GB" w:eastAsia="zh-CN"/>
              </w:rPr>
              <w:t>.</w:t>
            </w:r>
          </w:p>
          <w:p w14:paraId="480BFA08"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b/>
                <w:lang w:val="en-GB" w:eastAsia="zh-CN"/>
              </w:rPr>
              <w:lastRenderedPageBreak/>
              <w:t>Y value of 3 symbols should be supported.</w:t>
            </w:r>
          </w:p>
          <w:p w14:paraId="0E83D16A"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b/>
                <w:lang w:val="en-GB" w:eastAsia="zh-CN"/>
              </w:rPr>
              <w:t xml:space="preserve">Additional Y value of 1 slot can be considered. </w:t>
            </w:r>
          </w:p>
          <w:p w14:paraId="72058514" w14:textId="77777777" w:rsidR="00BF303B" w:rsidRDefault="006222A6">
            <w:pPr>
              <w:pStyle w:val="ae"/>
              <w:rPr>
                <w:rFonts w:eastAsia="宋体"/>
                <w:u w:val="single"/>
                <w:lang w:val="en-GB" w:eastAsia="zh-CN"/>
              </w:rPr>
            </w:pPr>
            <w:r>
              <w:rPr>
                <w:rFonts w:eastAsia="宋体"/>
                <w:u w:val="single"/>
                <w:lang w:val="en-GB" w:eastAsia="zh-CN"/>
              </w:rPr>
              <w:t xml:space="preserve">Alt-1 plus Alt-3: Enhancement to a fixed slot-group pattern </w:t>
            </w:r>
          </w:p>
          <w:p w14:paraId="58CF4B99" w14:textId="77777777" w:rsidR="00BF303B" w:rsidRDefault="006222A6">
            <w:pPr>
              <w:pStyle w:val="ae"/>
              <w:rPr>
                <w:rFonts w:eastAsia="宋体"/>
                <w:lang w:val="en-GB" w:eastAsia="zh-CN"/>
              </w:rPr>
            </w:pPr>
            <w:r>
              <w:rPr>
                <w:rFonts w:eastAsia="宋体"/>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ae"/>
              <w:rPr>
                <w:rFonts w:eastAsia="宋体"/>
                <w:lang w:val="en-GB" w:eastAsia="zh-CN"/>
              </w:rPr>
            </w:pPr>
            <w:r>
              <w:rPr>
                <w:rFonts w:eastAsia="宋体" w:hint="eastAsia"/>
                <w:lang w:val="en-GB" w:eastAsia="zh-CN"/>
              </w:rPr>
              <w:t xml:space="preserve">For each UE, </w:t>
            </w:r>
            <w:r>
              <w:rPr>
                <w:rFonts w:eastAsia="宋体"/>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ae"/>
              <w:rPr>
                <w:rFonts w:eastAsia="宋体"/>
                <w:b/>
                <w:lang w:val="en-GB" w:eastAsia="zh-CN"/>
              </w:rPr>
            </w:pPr>
            <w:r>
              <w:rPr>
                <w:rFonts w:eastAsia="宋体"/>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b/>
                <w:lang w:val="en-GB" w:eastAsia="zh-CN"/>
              </w:rPr>
              <w:t>One slot group comprises</w:t>
            </w:r>
            <w:r>
              <w:rPr>
                <w:rFonts w:eastAsia="宋体" w:hint="eastAsia"/>
                <w:b/>
                <w:lang w:val="en-GB" w:eastAsia="zh-CN"/>
              </w:rPr>
              <w:t xml:space="preserve"> 4 slots for 480 kHz and 8 slots for 960 kHz</w:t>
            </w:r>
            <w:r>
              <w:rPr>
                <w:rFonts w:eastAsia="宋体"/>
                <w:b/>
                <w:lang w:val="en-GB" w:eastAsia="zh-CN"/>
              </w:rPr>
              <w:t>.</w:t>
            </w:r>
          </w:p>
          <w:p w14:paraId="6DB73A16" w14:textId="77777777" w:rsidR="00BF303B" w:rsidRDefault="006222A6">
            <w:pPr>
              <w:pStyle w:val="ae"/>
              <w:numPr>
                <w:ilvl w:val="0"/>
                <w:numId w:val="27"/>
              </w:numPr>
              <w:autoSpaceDE/>
              <w:autoSpaceDN/>
              <w:adjustRightInd/>
              <w:snapToGrid/>
              <w:spacing w:line="240" w:lineRule="auto"/>
              <w:rPr>
                <w:rFonts w:eastAsia="宋体"/>
                <w:b/>
                <w:lang w:val="en-GB" w:eastAsia="zh-CN"/>
              </w:rPr>
            </w:pPr>
            <w:r>
              <w:rPr>
                <w:rFonts w:eastAsia="宋体"/>
                <w:b/>
                <w:lang w:val="en-GB" w:eastAsia="zh-CN"/>
              </w:rPr>
              <w:t>UE can be configured with a UE-specific starting position for each slot group.</w:t>
            </w:r>
          </w:p>
          <w:p w14:paraId="293C516B" w14:textId="77777777" w:rsidR="00BF303B" w:rsidRDefault="00BF303B">
            <w:pPr>
              <w:pStyle w:val="ae"/>
              <w:rPr>
                <w:rFonts w:eastAsia="宋体"/>
                <w:lang w:val="en-GB" w:eastAsia="zh-CN"/>
              </w:rPr>
            </w:pPr>
          </w:p>
          <w:p w14:paraId="0A0C44ED" w14:textId="77777777" w:rsidR="00BF303B" w:rsidRDefault="006222A6">
            <w:pPr>
              <w:pStyle w:val="ae"/>
              <w:rPr>
                <w:rFonts w:eastAsia="宋体"/>
                <w:lang w:val="en-GB" w:eastAsia="zh-CN"/>
              </w:rPr>
            </w:pPr>
            <w:r>
              <w:rPr>
                <w:rFonts w:eastAsia="宋体" w:hint="eastAsia"/>
                <w:lang w:val="en-GB" w:eastAsia="zh-CN"/>
              </w:rPr>
              <w:t xml:space="preserve">Regarding the PDCCH monitoring capability for 480 kHz and 960 kHz with span combinations, we can have the following </w:t>
            </w:r>
            <w:r>
              <w:rPr>
                <w:rFonts w:eastAsia="宋体"/>
                <w:lang w:val="en-GB" w:eastAsia="zh-CN"/>
              </w:rPr>
              <w:t xml:space="preserve">baseline </w:t>
            </w:r>
            <w:r>
              <w:rPr>
                <w:rFonts w:eastAsia="宋体"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3"/>
        <w:rPr>
          <w:lang w:val="en-GB" w:eastAsia="zh-CN"/>
        </w:rPr>
      </w:pPr>
      <w:r>
        <w:rPr>
          <w:lang w:val="en-GB" w:eastAsia="zh-CN"/>
        </w:rPr>
        <w:t>R1-2102449 (Spreadtrum)</w:t>
      </w:r>
    </w:p>
    <w:tbl>
      <w:tblPr>
        <w:tblStyle w:val="aff2"/>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ae"/>
            </w:pPr>
            <w:r>
              <w:rPr>
                <w:rFonts w:eastAsia="宋体" w:hint="eastAsia"/>
                <w:sz w:val="22"/>
                <w:szCs w:val="22"/>
                <w:lang w:eastAsia="zh-CN"/>
              </w:rPr>
              <w:t>In</w:t>
            </w:r>
            <w:r>
              <w:rPr>
                <w:rFonts w:eastAsia="宋体"/>
                <w:sz w:val="22"/>
                <w:szCs w:val="22"/>
                <w:lang w:eastAsia="zh-CN"/>
              </w:rPr>
              <w:t xml:space="preserve"> last meeting, it is agreed that relax per-slot </w:t>
            </w:r>
            <w:r>
              <w:rPr>
                <w:sz w:val="22"/>
                <w:szCs w:val="22"/>
                <w:lang w:eastAsia="zh-CN"/>
              </w:rPr>
              <w:t>PDCCH monitoring</w:t>
            </w:r>
            <w:r>
              <w:rPr>
                <w:rFonts w:eastAsia="宋体"/>
                <w:sz w:val="22"/>
                <w:szCs w:val="22"/>
                <w:lang w:eastAsia="zh-CN"/>
              </w:rPr>
              <w:t xml:space="preserve"> to multi-slot </w:t>
            </w:r>
            <w:r>
              <w:rPr>
                <w:sz w:val="22"/>
                <w:szCs w:val="22"/>
                <w:lang w:eastAsia="zh-CN"/>
              </w:rPr>
              <w:t>PDCCH monitoring</w:t>
            </w:r>
            <w:r>
              <w:rPr>
                <w:rFonts w:eastAsia="宋体"/>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宋体"/>
                <w:sz w:val="22"/>
                <w:szCs w:val="22"/>
                <w:lang w:eastAsia="zh-CN"/>
              </w:rPr>
              <w:t>[3], it was proposed that the number of BD/CCE in multi-slot span</w:t>
            </w:r>
            <w:r>
              <w:rPr>
                <w:rFonts w:eastAsia="宋体" w:hint="eastAsia"/>
                <w:sz w:val="22"/>
                <w:szCs w:val="22"/>
                <w:lang w:eastAsia="zh-CN"/>
              </w:rPr>
              <w:t xml:space="preserve"> </w:t>
            </w:r>
            <w:r>
              <w:rPr>
                <w:rFonts w:eastAsia="宋体"/>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宋体"/>
                <w:sz w:val="22"/>
                <w:szCs w:val="22"/>
                <w:lang w:eastAsia="zh-CN"/>
              </w:rPr>
              <w:t>As shown in Figure 1,</w:t>
            </w:r>
            <w:r>
              <w:rPr>
                <w:sz w:val="22"/>
                <w:szCs w:val="22"/>
              </w:rPr>
              <w:t xml:space="preserve"> </w:t>
            </w:r>
            <w:r>
              <w:rPr>
                <w:rFonts w:eastAsia="宋体"/>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宋体"/>
                <w:sz w:val="22"/>
                <w:szCs w:val="22"/>
                <w:lang w:eastAsia="zh-CN"/>
              </w:rPr>
              <w:t xml:space="preserve">One easy way to put an upper limit of the number of the BDs/CCEs in two adjacent/consecutive slots belonging to different multi-slot spans. </w:t>
            </w:r>
            <w:r>
              <w:rPr>
                <w:rFonts w:eastAsia="宋体"/>
                <w:strike/>
                <w:sz w:val="22"/>
                <w:szCs w:val="22"/>
                <w:lang w:eastAsia="zh-CN"/>
              </w:rPr>
              <w:t xml:space="preserve"> </w:t>
            </w:r>
          </w:p>
          <w:p w14:paraId="78945C4C" w14:textId="77777777" w:rsidR="00BF303B" w:rsidRDefault="004E38AF">
            <w:pPr>
              <w:pStyle w:val="ae"/>
              <w:jc w:val="center"/>
              <w:rPr>
                <w:sz w:val="22"/>
                <w:szCs w:val="22"/>
              </w:rPr>
            </w:pPr>
            <w:r>
              <w:rPr>
                <w:noProof/>
              </w:rPr>
              <w:object w:dxaOrig="5760" w:dyaOrig="1800" w14:anchorId="57BFF131">
                <v:shape id="_x0000_i1026" type="#_x0000_t75" alt="" style="width:4in;height:93.75pt;mso-width-percent:0;mso-height-percent:0;mso-width-percent:0;mso-height-percent:0" o:ole="">
                  <v:imagedata r:id="rId15" o:title=""/>
                </v:shape>
                <o:OLEObject Type="Embed" ProgID="Visio.Drawing.15" ShapeID="_x0000_i1026" DrawAspect="Content" ObjectID="_1680351988" r:id="rId16"/>
              </w:object>
            </w:r>
          </w:p>
          <w:p w14:paraId="6EA5CD56" w14:textId="77777777" w:rsidR="00BF303B" w:rsidRDefault="006222A6">
            <w:pPr>
              <w:jc w:val="center"/>
              <w:rPr>
                <w:rFonts w:eastAsia="等线"/>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宋体" w:eastAsia="宋体" w:hAnsi="宋体" w:cs="宋体" w:hint="eastAsia"/>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3"/>
        <w:rPr>
          <w:lang w:val="en-GB" w:eastAsia="zh-CN"/>
        </w:rPr>
      </w:pPr>
      <w:r>
        <w:rPr>
          <w:lang w:val="en-GB" w:eastAsia="zh-CN"/>
        </w:rPr>
        <w:lastRenderedPageBreak/>
        <w:t>R1-2102515 (vivo)</w:t>
      </w:r>
    </w:p>
    <w:tbl>
      <w:tblPr>
        <w:tblStyle w:val="aff2"/>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3609852" w14:textId="77777777" w:rsidR="00BF303B" w:rsidRDefault="006222A6">
            <w:pPr>
              <w:rPr>
                <w:rFonts w:eastAsia="宋体"/>
                <w:szCs w:val="20"/>
                <w:lang w:eastAsia="zh-CN"/>
              </w:rPr>
            </w:pPr>
            <w:r>
              <w:rPr>
                <w:rFonts w:eastAsia="宋体" w:hint="eastAsia"/>
                <w:szCs w:val="20"/>
                <w:lang w:eastAsia="zh-CN"/>
              </w:rPr>
              <w:t>F</w:t>
            </w:r>
            <w:r>
              <w:rPr>
                <w:rFonts w:eastAsia="宋体"/>
                <w:szCs w:val="20"/>
                <w:lang w:eastAsia="zh-CN"/>
              </w:rPr>
              <w:t>or Alt. 1.2-1.4, there are the following two problems:</w:t>
            </w:r>
          </w:p>
          <w:p w14:paraId="7BC042F9" w14:textId="77777777" w:rsidR="00BF303B" w:rsidRDefault="006222A6">
            <w:pPr>
              <w:pStyle w:val="aff9"/>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aff9"/>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宋体"/>
                <w:szCs w:val="20"/>
              </w:rPr>
            </w:pPr>
            <w:r>
              <w:rPr>
                <w:rFonts w:eastAsia="宋体"/>
                <w:szCs w:val="20"/>
              </w:rPr>
              <w:t xml:space="preserve">Although Alt. 1.1 have no such problems, the configuration of PDCCH monitoring is limited </w:t>
            </w:r>
            <w:r>
              <w:rPr>
                <w:rFonts w:eastAsia="宋体"/>
                <w:szCs w:val="20"/>
                <w:lang w:eastAsia="zh-CN"/>
              </w:rPr>
              <w:t>in certain fixed slot</w:t>
            </w:r>
            <w:r>
              <w:rPr>
                <w:rFonts w:eastAsia="宋体"/>
                <w:szCs w:val="20"/>
              </w:rPr>
              <w:t xml:space="preserve"> and gNB has no enough flexibility to configure CSS and USSs for multiple UEs. For Alt. 3, problem 1 is solved but problem 2 is still existing since any slot could be configured as PDCCH monitoring occasion. </w:t>
            </w:r>
            <w:r>
              <w:rPr>
                <w:rFonts w:eastAsia="宋体"/>
                <w:szCs w:val="20"/>
              </w:rPr>
              <w:lastRenderedPageBreak/>
              <w:t>Alt. 2 could solve the above-mentioned problems with more configuration flexibility.</w:t>
            </w:r>
          </w:p>
          <w:p w14:paraId="5D279AE7" w14:textId="77777777" w:rsidR="00BF303B" w:rsidRDefault="006222A6">
            <w:pPr>
              <w:spacing w:before="120"/>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p w14:paraId="536E85A1" w14:textId="77777777" w:rsidR="00BF303B" w:rsidRDefault="006222A6">
            <w:pPr>
              <w:rPr>
                <w:rFonts w:eastAsia="宋体"/>
                <w:szCs w:val="20"/>
              </w:rPr>
            </w:pPr>
            <w:r>
              <w:rPr>
                <w:rFonts w:eastAsia="宋体" w:hint="eastAsia"/>
                <w:szCs w:val="20"/>
              </w:rPr>
              <w:t>C</w:t>
            </w:r>
            <w:r>
              <w:rPr>
                <w:rFonts w:eastAsia="宋体"/>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6" w:name="_Ref68102006"/>
            <w:bookmarkStart w:id="7"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6"/>
            <w:r>
              <w:rPr>
                <w:b/>
              </w:rPr>
              <w:t>: Using slot-level (X, Y) span (i.e. Alt. 2.1) to define multi-slot PDCCH monitoring capability is preferred compared to symbol-level (X, Y) span (i.e. Alt. 2.2).</w:t>
            </w:r>
            <w:bookmarkEnd w:id="7"/>
          </w:p>
          <w:p w14:paraId="4BA9AF85" w14:textId="77777777" w:rsidR="00BF303B" w:rsidRDefault="006222A6">
            <w:pPr>
              <w:rPr>
                <w:rFonts w:eastAsia="宋体"/>
                <w:szCs w:val="20"/>
                <w:lang w:eastAsia="zh-CN"/>
              </w:rPr>
            </w:pPr>
            <w:r>
              <w:rPr>
                <w:rFonts w:eastAsia="宋体" w:hint="eastAsia"/>
                <w:szCs w:val="20"/>
                <w:lang w:eastAsia="zh-CN"/>
              </w:rPr>
              <w:t>A</w:t>
            </w:r>
            <w:r>
              <w:rPr>
                <w:rFonts w:eastAsia="宋体"/>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宋体"/>
                <w:szCs w:val="20"/>
                <w:lang w:eastAsia="zh-CN"/>
              </w:rPr>
            </w:pPr>
            <w:r>
              <w:rPr>
                <w:rFonts w:eastAsia="宋体"/>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8"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8"/>
          </w:p>
          <w:p w14:paraId="08B38ECE" w14:textId="77777777" w:rsidR="00BF303B" w:rsidRDefault="006222A6">
            <w:pPr>
              <w:rPr>
                <w:rFonts w:eastAsia="宋体"/>
                <w:szCs w:val="20"/>
                <w:lang w:eastAsia="zh-CN"/>
              </w:rPr>
            </w:pPr>
            <w:r>
              <w:rPr>
                <w:rFonts w:eastAsia="宋体" w:hint="eastAsia"/>
                <w:szCs w:val="20"/>
                <w:lang w:eastAsia="zh-CN"/>
              </w:rPr>
              <w:t>A</w:t>
            </w:r>
            <w:r>
              <w:rPr>
                <w:rFonts w:eastAsia="宋体"/>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9"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9"/>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宋体"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10"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0"/>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1" w:name="_Ref68102019"/>
            <w:bookmarkStart w:id="12"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1"/>
            <w:r>
              <w:rPr>
                <w:b/>
              </w:rPr>
              <w:t xml:space="preserve">: For a DL BWP with 480KHz and 960KHz SCS in 52.6-71GHz, the BD/CCE budget value per multi-slot span per serving cell should be defined </w:t>
            </w:r>
            <w:r>
              <w:rPr>
                <w:b/>
              </w:rPr>
              <w:lastRenderedPageBreak/>
              <w:t>for each (X, Y) value.</w:t>
            </w:r>
            <w:bookmarkEnd w:id="12"/>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3"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3"/>
          </w:p>
        </w:tc>
      </w:tr>
      <w:bookmarkEnd w:id="3"/>
    </w:tbl>
    <w:p w14:paraId="66F7B05C" w14:textId="77777777" w:rsidR="00BF303B" w:rsidRDefault="00BF303B">
      <w:pPr>
        <w:rPr>
          <w:lang w:val="en-GB" w:eastAsia="zh-CN"/>
        </w:rPr>
      </w:pPr>
    </w:p>
    <w:p w14:paraId="4735A6BE" w14:textId="77777777" w:rsidR="00BF303B" w:rsidRDefault="006222A6">
      <w:pPr>
        <w:pStyle w:val="3"/>
        <w:rPr>
          <w:lang w:val="en-GB" w:eastAsia="zh-CN"/>
        </w:rPr>
      </w:pPr>
      <w:r>
        <w:rPr>
          <w:lang w:val="en-GB" w:eastAsia="zh-CN"/>
        </w:rPr>
        <w:t>R1-2102559 (Nokia, Nokia Shanghai Bell)</w:t>
      </w:r>
    </w:p>
    <w:tbl>
      <w:tblPr>
        <w:tblStyle w:val="aff2"/>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32C9BB8B" w14:textId="77777777" w:rsidR="00BF303B" w:rsidRDefault="006222A6">
            <w:pPr>
              <w:pStyle w:val="aff9"/>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aff9"/>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aff9"/>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aff9"/>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lastRenderedPageBreak/>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4" w:name="_Ref60647596"/>
            <w:r>
              <w:t xml:space="preserve">Table </w:t>
            </w:r>
            <w:r>
              <w:fldChar w:fldCharType="begin"/>
            </w:r>
            <w:r>
              <w:instrText xml:space="preserve"> SEQ Table \* ARABIC </w:instrText>
            </w:r>
            <w:r>
              <w:fldChar w:fldCharType="separate"/>
            </w:r>
            <w:r>
              <w:t>1</w:t>
            </w:r>
            <w:r>
              <w:fldChar w:fldCharType="end"/>
            </w:r>
            <w:bookmarkEnd w:id="14"/>
            <w:r>
              <w:t>. Number of slots and symbols / 120 kHz slot (~0.125ms)</w:t>
            </w:r>
          </w:p>
          <w:tbl>
            <w:tblPr>
              <w:tblStyle w:val="aff2"/>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a8"/>
            </w:pPr>
          </w:p>
          <w:p w14:paraId="38EFC3A4" w14:textId="77777777" w:rsidR="00BF303B" w:rsidRDefault="006222A6">
            <w:pPr>
              <w:pStyle w:val="a8"/>
              <w:keepNext/>
            </w:pPr>
            <w:r>
              <w:t xml:space="preserve">Table </w:t>
            </w:r>
            <w:fldSimple w:instr=" SEQ Table \* ARABIC ">
              <w:r>
                <w:t>2</w:t>
              </w:r>
            </w:fldSimple>
            <w:r>
              <w:t>. Example table demonstrating UE capabilities for multi-slot span -monitoring</w:t>
            </w:r>
          </w:p>
          <w:tbl>
            <w:tblPr>
              <w:tblStyle w:val="aff2"/>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lastRenderedPageBreak/>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3"/>
        <w:rPr>
          <w:lang w:val="en-GB" w:eastAsia="zh-CN"/>
        </w:rPr>
      </w:pPr>
      <w:r>
        <w:rPr>
          <w:lang w:val="en-GB" w:eastAsia="zh-CN"/>
        </w:rPr>
        <w:t>R1-2102622 (CATT)</w:t>
      </w:r>
    </w:p>
    <w:tbl>
      <w:tblPr>
        <w:tblStyle w:val="aff2"/>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aff9"/>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aff9"/>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8.75pt;height:129pt;mso-width-percent:0;mso-height-percent:0;mso-width-percent:0;mso-height-percent:0" o:ole="">
                  <v:imagedata r:id="rId17" o:title=""/>
                </v:shape>
                <o:OLEObject Type="Embed" ProgID="Visio.Drawing.11" ShapeID="_x0000_i1027" DrawAspect="Content" ObjectID="_1680351989" r:id="rId18"/>
              </w:object>
            </w:r>
          </w:p>
          <w:p w14:paraId="28BCF308" w14:textId="77777777" w:rsidR="00BF303B" w:rsidRDefault="006222A6">
            <w:pPr>
              <w:pStyle w:val="a8"/>
              <w:rPr>
                <w:lang w:eastAsia="zh-CN"/>
              </w:rPr>
            </w:pPr>
            <w:bookmarkStart w:id="15" w:name="_Ref67683938"/>
            <w:r>
              <w:t xml:space="preserve">Figure </w:t>
            </w:r>
            <w:fldSimple w:instr=" SEQ Figure \* ARABIC ">
              <w:r>
                <w:t>1</w:t>
              </w:r>
            </w:fldSimple>
            <w:bookmarkEnd w:id="15"/>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ae"/>
              <w:keepNext/>
            </w:pPr>
            <w:r>
              <w:rPr>
                <w:lang w:eastAsia="zh-CN"/>
              </w:rPr>
              <w:t xml:space="preserve">Alt 2: Use (X, Y) span as baseline to define the new capability. </w:t>
            </w:r>
          </w:p>
          <w:p w14:paraId="3F3166A9" w14:textId="77777777" w:rsidR="00BF303B" w:rsidRDefault="006222A6">
            <w:pPr>
              <w:pStyle w:val="ae"/>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ae"/>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ae"/>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ae"/>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ae"/>
              <w:rPr>
                <w:b/>
                <w:bCs/>
                <w:lang w:eastAsia="zh-CN"/>
              </w:rPr>
            </w:pPr>
          </w:p>
          <w:p w14:paraId="1101ADC9" w14:textId="77777777" w:rsidR="00BF303B" w:rsidRDefault="006222A6">
            <w:pPr>
              <w:pStyle w:val="ae"/>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ae"/>
              <w:keepNext/>
              <w:jc w:val="center"/>
            </w:pPr>
            <w:r>
              <w:rPr>
                <w:noProof/>
              </w:rPr>
              <w:object w:dxaOrig="7658" w:dyaOrig="2084" w14:anchorId="5C901229">
                <v:shape id="_x0000_i1028" type="#_x0000_t75" alt="" style="width:380.25pt;height:102pt;mso-width-percent:0;mso-height-percent:0;mso-width-percent:0;mso-height-percent:0" o:ole="">
                  <v:imagedata r:id="rId10" o:title=""/>
                </v:shape>
                <o:OLEObject Type="Embed" ProgID="Visio.Drawing.11" ShapeID="_x0000_i1028" DrawAspect="Content" ObjectID="_1680351990" r:id="rId19"/>
              </w:object>
            </w:r>
          </w:p>
          <w:p w14:paraId="00E681AA" w14:textId="77777777" w:rsidR="00BF303B" w:rsidRDefault="006222A6">
            <w:pPr>
              <w:pStyle w:val="a8"/>
              <w:rPr>
                <w:lang w:eastAsia="zh-CN"/>
              </w:rPr>
            </w:pPr>
            <w:bookmarkStart w:id="16" w:name="_Ref67870726"/>
            <w:r>
              <w:t xml:space="preserve">Figure </w:t>
            </w:r>
            <w:fldSimple w:instr=" SEQ Figure \* ARABIC ">
              <w:r>
                <w:t>2</w:t>
              </w:r>
            </w:fldSimple>
            <w:bookmarkEnd w:id="16"/>
            <w:r>
              <w:rPr>
                <w:lang w:eastAsia="zh-CN"/>
              </w:rPr>
              <w:t>: Example for sliding window</w:t>
            </w:r>
          </w:p>
          <w:p w14:paraId="26090105" w14:textId="77777777" w:rsidR="00BF303B" w:rsidRDefault="006222A6">
            <w:pPr>
              <w:pStyle w:val="ae"/>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7" w:name="_Hlk68263071"/>
            <w:r>
              <w:rPr>
                <w:lang w:eastAsia="zh-CN"/>
              </w:rPr>
              <w:t xml:space="preserve">There is no distinct advantage of </w:t>
            </w:r>
            <w:r>
              <w:rPr>
                <w:lang w:eastAsia="zh-CN"/>
              </w:rPr>
              <w:lastRenderedPageBreak/>
              <w:t xml:space="preserve">sliding window for PDCCH monitoring but apparent drawback in UE complexity in iterative calculating the total number of PDCCH monitoring within the window.   </w:t>
            </w:r>
          </w:p>
          <w:bookmarkEnd w:id="17"/>
          <w:p w14:paraId="4278E161" w14:textId="77777777" w:rsidR="00BF303B" w:rsidRDefault="00BF303B">
            <w:pPr>
              <w:pStyle w:val="ae"/>
              <w:rPr>
                <w:lang w:eastAsia="zh-CN"/>
              </w:rPr>
            </w:pPr>
          </w:p>
          <w:p w14:paraId="326B0CEF" w14:textId="77777777" w:rsidR="00BF303B" w:rsidRDefault="006222A6">
            <w:pPr>
              <w:pStyle w:val="ae"/>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ae"/>
              <w:rPr>
                <w:lang w:eastAsia="zh-CN"/>
              </w:rPr>
            </w:pPr>
          </w:p>
          <w:p w14:paraId="46436194" w14:textId="77777777" w:rsidR="00BF303B" w:rsidRDefault="006222A6">
            <w:pPr>
              <w:pStyle w:val="ae"/>
              <w:widowControl/>
              <w:rPr>
                <w:b/>
                <w:lang w:eastAsia="zh-CN"/>
              </w:rPr>
            </w:pPr>
            <w:bookmarkStart w:id="18"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8"/>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3"/>
        <w:rPr>
          <w:lang w:val="en-GB" w:eastAsia="zh-CN"/>
        </w:rPr>
      </w:pPr>
      <w:r>
        <w:rPr>
          <w:lang w:val="en-GB" w:eastAsia="zh-CN"/>
        </w:rPr>
        <w:t>R1-2102704 (MediaTek)</w:t>
      </w:r>
    </w:p>
    <w:tbl>
      <w:tblPr>
        <w:tblStyle w:val="aff2"/>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a8"/>
              <w:jc w:val="left"/>
            </w:pPr>
            <w:bookmarkStart w:id="19"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9"/>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a8"/>
              <w:jc w:val="left"/>
            </w:pPr>
            <w:bookmarkStart w:id="20"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0"/>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w:t>
            </w:r>
            <w:r>
              <w:lastRenderedPageBreak/>
              <w:t xml:space="preserve">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1"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1"/>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3"/>
        <w:rPr>
          <w:lang w:val="en-GB" w:eastAsia="zh-CN"/>
        </w:rPr>
      </w:pPr>
      <w:r>
        <w:rPr>
          <w:lang w:val="en-GB" w:eastAsia="zh-CN"/>
        </w:rPr>
        <w:t>R1-2102773 (Futurewei)</w:t>
      </w:r>
    </w:p>
    <w:tbl>
      <w:tblPr>
        <w:tblStyle w:val="aff2"/>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lastRenderedPageBreak/>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a8"/>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lastRenderedPageBreak/>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3"/>
        <w:rPr>
          <w:lang w:val="en-GB" w:eastAsia="zh-CN"/>
        </w:rPr>
      </w:pPr>
      <w:r>
        <w:rPr>
          <w:lang w:val="en-GB" w:eastAsia="zh-CN"/>
        </w:rPr>
        <w:t>R1-2102789 (Ericsson)</w:t>
      </w:r>
    </w:p>
    <w:tbl>
      <w:tblPr>
        <w:tblStyle w:val="aff2"/>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ae"/>
            </w:pPr>
            <w:r>
              <w:t>Based on the discussion on PDCCH monitoring capability enhancements, three alternative solutions were selected for further study in RAN1 #104-e:</w:t>
            </w:r>
          </w:p>
          <w:p w14:paraId="368B5C2E" w14:textId="77777777" w:rsidR="00BF303B" w:rsidRDefault="006222A6">
            <w:pPr>
              <w:pStyle w:val="aff9"/>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aff9"/>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aff9"/>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ae"/>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ae"/>
            </w:pPr>
          </w:p>
          <w:p w14:paraId="46C0D385" w14:textId="77777777" w:rsidR="00BF303B" w:rsidRDefault="006222A6">
            <w:pPr>
              <w:pStyle w:val="Observation"/>
            </w:pPr>
            <w:bookmarkStart w:id="22"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2"/>
          </w:p>
          <w:p w14:paraId="6E7F6530" w14:textId="77777777" w:rsidR="00BF303B" w:rsidRDefault="006222A6">
            <w:pPr>
              <w:pStyle w:val="Observation"/>
            </w:pPr>
            <w:bookmarkStart w:id="23" w:name="_Toc68610471"/>
            <w:r>
              <w:t>Alt 1A where PDCCH monitoring is restricted to the beginning of an N-slot group is less flexible than Alt 2 but has the same operational flaws as Alt 2 from a network perspective.</w:t>
            </w:r>
            <w:bookmarkEnd w:id="23"/>
          </w:p>
          <w:p w14:paraId="2859D468" w14:textId="77777777" w:rsidR="00BF303B" w:rsidRDefault="006222A6">
            <w:pPr>
              <w:pStyle w:val="Observation"/>
            </w:pPr>
            <w:bookmarkStart w:id="24" w:name="_Toc68610472"/>
            <w:r>
              <w:t>Alt 1B where PDCCH monitoring can be configured in any slot of an N-slot group becomes operationally identical to Alt 3 when all restrictions against local PDCCH processing load violations are put in place.</w:t>
            </w:r>
            <w:bookmarkEnd w:id="24"/>
          </w:p>
          <w:p w14:paraId="193657E6" w14:textId="77777777" w:rsidR="00BF303B" w:rsidRDefault="006222A6">
            <w:pPr>
              <w:pStyle w:val="Observation"/>
            </w:pPr>
            <w:bookmarkStart w:id="25" w:name="_Toc68610473"/>
            <w:r>
              <w:t>Alt 2 (and Alt 1A) requires the UE to support intra-slot monitoring capability of Y</w:t>
            </w:r>
            <w:r>
              <w:rPr>
                <w:rFonts w:ascii="Cambria Math" w:hAnsi="Cambria Math"/>
              </w:rPr>
              <w:t>≫</w:t>
            </w:r>
            <w:r>
              <w:t>3 OS.</w:t>
            </w:r>
            <w:bookmarkEnd w:id="25"/>
          </w:p>
          <w:p w14:paraId="54D6DC48" w14:textId="77777777" w:rsidR="00BF303B" w:rsidRDefault="006222A6">
            <w:pPr>
              <w:pStyle w:val="Observation"/>
            </w:pPr>
            <w:bookmarkStart w:id="26"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6"/>
          </w:p>
          <w:p w14:paraId="51CDAC2B" w14:textId="77777777" w:rsidR="00BF303B" w:rsidRDefault="006222A6">
            <w:pPr>
              <w:pStyle w:val="Observation"/>
            </w:pPr>
            <w:bookmarkStart w:id="27" w:name="_Toc68610475"/>
            <w:r>
              <w:t>There are multiple possible “first monitoring occasions” of groups of monitoring occasions or, equivalently, multiple delineations of monitoring occasion groups that can give opposite answers to whether a particular PDCCH monitoring configuration is allowed or 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7"/>
          </w:p>
          <w:p w14:paraId="5A52CAAE" w14:textId="77777777" w:rsidR="00BF303B" w:rsidRDefault="006222A6">
            <w:pPr>
              <w:pStyle w:val="Observation"/>
            </w:pPr>
            <w:bookmarkStart w:id="28" w:name="_Toc68610476"/>
            <w:r>
              <w:t xml:space="preserve">Alt 2 may also require additional PDCCH processing load restriction/checking as Alt 1B. Further clarification from the proponent </w:t>
            </w:r>
            <w:r>
              <w:lastRenderedPageBreak/>
              <w:t>companies are needed.</w:t>
            </w:r>
            <w:bookmarkEnd w:id="28"/>
          </w:p>
          <w:p w14:paraId="353665FB" w14:textId="77777777" w:rsidR="00BF303B" w:rsidRDefault="006222A6">
            <w:pPr>
              <w:pStyle w:val="Observation"/>
            </w:pPr>
            <w:bookmarkStart w:id="29"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9"/>
          </w:p>
          <w:p w14:paraId="02F30FD3" w14:textId="77777777" w:rsidR="00BF303B" w:rsidRDefault="006222A6">
            <w:pPr>
              <w:pStyle w:val="Observation"/>
            </w:pPr>
            <w:bookmarkStart w:id="30" w:name="_Toc68610478"/>
            <w:r>
              <w:t>For Rel-17 UE with multi-slot PDCCH processing capabilities, overbooking and PDCCH dropping rules similar to those for Rel-15 can be considered:</w:t>
            </w:r>
            <w:bookmarkEnd w:id="30"/>
          </w:p>
          <w:p w14:paraId="41B2C9A0" w14:textId="77777777" w:rsidR="00BF303B" w:rsidRDefault="006222A6">
            <w:pPr>
              <w:pStyle w:val="Observation"/>
              <w:numPr>
                <w:ilvl w:val="1"/>
                <w:numId w:val="38"/>
              </w:numPr>
            </w:pPr>
            <w:bookmarkStart w:id="31" w:name="_Toc68610479"/>
            <w:r>
              <w:t>Overbooking is not allowed for CSS.</w:t>
            </w:r>
            <w:bookmarkEnd w:id="31"/>
          </w:p>
          <w:p w14:paraId="02EDCCE8" w14:textId="77777777" w:rsidR="00BF303B" w:rsidRDefault="006222A6">
            <w:pPr>
              <w:pStyle w:val="Observation"/>
              <w:numPr>
                <w:ilvl w:val="1"/>
                <w:numId w:val="38"/>
              </w:numPr>
            </w:pPr>
            <w:bookmarkStart w:id="32" w:name="_Toc68610480"/>
            <w:r>
              <w:t>Overbooking is not allowed for SCells.</w:t>
            </w:r>
            <w:bookmarkEnd w:id="32"/>
          </w:p>
          <w:p w14:paraId="77DA9939" w14:textId="77777777" w:rsidR="00BF303B" w:rsidRDefault="006222A6">
            <w:pPr>
              <w:pStyle w:val="Observation"/>
              <w:numPr>
                <w:ilvl w:val="1"/>
                <w:numId w:val="38"/>
              </w:numPr>
            </w:pPr>
            <w:bookmarkStart w:id="33" w:name="_Toc68610481"/>
            <w:r>
              <w:t>For the PCell, a window of N slots sliding forward in time is checked one sliding position at a time (indexed by the slot number of its first slot).</w:t>
            </w:r>
            <w:bookmarkEnd w:id="33"/>
            <w:r>
              <w:t xml:space="preserve"> </w:t>
            </w:r>
          </w:p>
          <w:p w14:paraId="183521B6" w14:textId="77777777" w:rsidR="00BF303B" w:rsidRDefault="006222A6">
            <w:pPr>
              <w:pStyle w:val="Observation"/>
              <w:numPr>
                <w:ilvl w:val="2"/>
                <w:numId w:val="38"/>
              </w:numPr>
            </w:pPr>
            <w:bookmarkStart w:id="34" w:name="_Toc68610482"/>
            <w:r>
              <w:t>For a sliding window at a given position, the USS are considered one at a time based on their ID.</w:t>
            </w:r>
            <w:bookmarkEnd w:id="34"/>
            <w:r>
              <w:t xml:space="preserve"> </w:t>
            </w:r>
          </w:p>
          <w:p w14:paraId="495B1337" w14:textId="77777777" w:rsidR="00BF303B" w:rsidRDefault="006222A6">
            <w:pPr>
              <w:pStyle w:val="ae"/>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5" w:name="_Toc68610483"/>
            <w:r>
              <w:t>Furthermore, if a monitoring occasion in a later position of the sliding window overlaps the same dropped monitoring occasion from an earlier position of the window, the monitoring occasion remains as dropped.</w:t>
            </w:r>
            <w:bookmarkEnd w:id="35"/>
          </w:p>
          <w:p w14:paraId="16C86474" w14:textId="77777777" w:rsidR="00BF303B" w:rsidRDefault="006222A6">
            <w:pPr>
              <w:pStyle w:val="ae"/>
              <w:jc w:val="center"/>
            </w:pPr>
            <w:r>
              <w:rPr>
                <w:noProof/>
                <w:sz w:val="16"/>
                <w:szCs w:val="16"/>
                <w:lang w:eastAsia="zh-CN"/>
              </w:rPr>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a8"/>
            </w:pPr>
            <w:bookmarkStart w:id="36" w:name="_Ref60921413"/>
            <w:bookmarkStart w:id="37" w:name="_Hlk61354178"/>
            <w:r>
              <w:t xml:space="preserve">Figure </w:t>
            </w:r>
            <w:fldSimple w:instr=" SEQ Figure \* ARABIC ">
              <w:r>
                <w:t>14</w:t>
              </w:r>
            </w:fldSimple>
            <w:bookmarkEnd w:id="36"/>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7"/>
          <w:p w14:paraId="5FD027BF" w14:textId="77777777" w:rsidR="00BF303B" w:rsidRDefault="006222A6">
            <w:pPr>
              <w:pStyle w:val="ae"/>
            </w:pPr>
            <w:r>
              <w:lastRenderedPageBreak/>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a8"/>
              <w:rPr>
                <w:rFonts w:cs="Arial"/>
                <w:b w:val="0"/>
              </w:rPr>
            </w:pPr>
            <w:bookmarkStart w:id="38" w:name="_Ref60824877"/>
            <w:r>
              <w:t xml:space="preserve"> Table </w:t>
            </w:r>
            <w:fldSimple w:instr=" SEQ Table \* ARABIC ">
              <w:r>
                <w:t>1</w:t>
              </w:r>
            </w:fldSimple>
            <w:bookmarkEnd w:id="38"/>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F171B1">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F171B1">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ae"/>
            </w:pPr>
          </w:p>
          <w:p w14:paraId="12D7BFF5" w14:textId="77777777" w:rsidR="00BF303B" w:rsidRDefault="006222A6">
            <w:pPr>
              <w:pStyle w:val="ae"/>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F171B1">
            <w:pPr>
              <w:pStyle w:val="ae"/>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F171B1">
            <w:pPr>
              <w:pStyle w:val="ae"/>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9" w:name="_Toc53776234"/>
            <w:bookmarkStart w:id="40"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9"/>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0"/>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1"/>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2"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2"/>
          </w:p>
        </w:tc>
      </w:tr>
    </w:tbl>
    <w:p w14:paraId="2EB0CA88" w14:textId="77777777" w:rsidR="00BF303B" w:rsidRDefault="006222A6">
      <w:pPr>
        <w:pStyle w:val="3"/>
        <w:rPr>
          <w:lang w:val="en-GB" w:eastAsia="zh-CN"/>
        </w:rPr>
      </w:pPr>
      <w:r>
        <w:rPr>
          <w:lang w:val="en-GB" w:eastAsia="zh-CN"/>
        </w:rPr>
        <w:lastRenderedPageBreak/>
        <w:t>R1-2102809 (Panasonic)</w:t>
      </w:r>
    </w:p>
    <w:tbl>
      <w:tblPr>
        <w:tblStyle w:val="aff2"/>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3"/>
        <w:rPr>
          <w:lang w:val="en-GB" w:eastAsia="zh-CN"/>
        </w:rPr>
      </w:pPr>
      <w:r>
        <w:rPr>
          <w:lang w:val="en-GB" w:eastAsia="zh-CN"/>
        </w:rPr>
        <w:t>R1-2102978 (Xiaomi)</w:t>
      </w:r>
    </w:p>
    <w:tbl>
      <w:tblPr>
        <w:tblStyle w:val="aff2"/>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ae"/>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ae"/>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等线"/>
              </w:rPr>
              <w:t xml:space="preserve">number of consecutive symbols in a slot where the UE is configured to monitor PDCCH. </w:t>
            </w:r>
            <w:r>
              <w:t>Each PDCCH monitoring occasion is within one span</w:t>
            </w:r>
            <w:r>
              <w:rPr>
                <w:rFonts w:eastAsia="等线"/>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 xml:space="preserve">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w:t>
            </w:r>
            <w:r>
              <w:rPr>
                <w:lang w:eastAsia="zh-CN"/>
              </w:rPr>
              <w:lastRenderedPageBreak/>
              <w:t>UE hardware, and is supposed to be fixed, at least semi-static. Currently we don’t see the justification to have a flexible multi-slot PDCCH monitoring capability definition.</w:t>
            </w:r>
          </w:p>
          <w:p w14:paraId="514CC44F" w14:textId="77777777" w:rsidR="00BF303B" w:rsidRDefault="006222A6">
            <w:pPr>
              <w:pStyle w:val="ae"/>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ae"/>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3"/>
        <w:rPr>
          <w:lang w:val="en-GB" w:eastAsia="zh-CN"/>
        </w:rPr>
      </w:pPr>
      <w:r>
        <w:rPr>
          <w:lang w:val="en-GB" w:eastAsia="zh-CN"/>
        </w:rPr>
        <w:lastRenderedPageBreak/>
        <w:t>R1-2102997 (Lenovo, Motorola Mobility)</w:t>
      </w:r>
    </w:p>
    <w:tbl>
      <w:tblPr>
        <w:tblStyle w:val="aff2"/>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 xml:space="preserve">Furthermore, exact duration of the multi-slot PDCCH monitoring span can be configurable with different values in terms of number of slots depending upon the </w:t>
            </w:r>
            <w:r>
              <w:rPr>
                <w:bCs/>
              </w:rPr>
              <w:lastRenderedPageBreak/>
              <w:t>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3"/>
        <w:rPr>
          <w:lang w:val="en-GB" w:eastAsia="zh-CN"/>
        </w:rPr>
      </w:pPr>
      <w:r>
        <w:rPr>
          <w:lang w:val="en-GB" w:eastAsia="zh-CN"/>
        </w:rPr>
        <w:lastRenderedPageBreak/>
        <w:t>R1-2103022 (Intel)</w:t>
      </w:r>
    </w:p>
    <w:tbl>
      <w:tblPr>
        <w:tblStyle w:val="aff2"/>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aff9"/>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aff9"/>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Which slots in the Y slots can carry PDCCH monitoring occasions</w:t>
            </w:r>
          </w:p>
          <w:p w14:paraId="082B007F"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9pt;height:102.05pt;mso-width-percent:0;mso-height-percent:0;mso-width-percent:0;mso-height-percent:0" o:ole="">
                  <v:imagedata r:id="rId22" o:title=""/>
                </v:shape>
                <o:OLEObject Type="Embed" ProgID="Visio.Drawing.15" ShapeID="_x0000_i1029" DrawAspect="Content" ObjectID="_1680351991" r:id="rId23"/>
              </w:object>
            </w:r>
          </w:p>
          <w:p w14:paraId="676F7220" w14:textId="77777777" w:rsidR="00BF303B" w:rsidRDefault="006222A6">
            <w:pPr>
              <w:jc w:val="center"/>
              <w:rPr>
                <w:b/>
                <w:bCs/>
                <w:lang w:eastAsia="zh-CN"/>
              </w:rPr>
            </w:pPr>
            <w:r>
              <w:rPr>
                <w:b/>
                <w:bCs/>
                <w:lang w:eastAsia="zh-CN"/>
              </w:rPr>
              <w:lastRenderedPageBreak/>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55pt;height:2in;mso-width-percent:0;mso-height-percent:0;mso-width-percent:0;mso-height-percent:0" o:ole="">
                  <v:imagedata r:id="rId24" o:title=""/>
                </v:shape>
                <o:OLEObject Type="Embed" ProgID="Visio.Drawing.15" ShapeID="_x0000_i1030" DrawAspect="Content" ObjectID="_1680351992"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aff9"/>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aff9"/>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aff9"/>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lastRenderedPageBreak/>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3"/>
        <w:rPr>
          <w:lang w:val="en-GB" w:eastAsia="zh-CN"/>
        </w:rPr>
      </w:pPr>
      <w:r>
        <w:rPr>
          <w:lang w:val="en-GB" w:eastAsia="zh-CN"/>
        </w:rPr>
        <w:t>R1-2103097 (Apple)</w:t>
      </w:r>
    </w:p>
    <w:tbl>
      <w:tblPr>
        <w:tblStyle w:val="aff2"/>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a8"/>
              <w:rPr>
                <w:sz w:val="22"/>
                <w:szCs w:val="22"/>
              </w:rPr>
            </w:pPr>
            <w:bookmarkStart w:id="43" w:name="_Ref68540663"/>
            <w:r>
              <w:t xml:space="preserve">Figure </w:t>
            </w:r>
            <w:fldSimple w:instr=" SEQ Figure \* ARABIC ">
              <w:r>
                <w:t>1</w:t>
              </w:r>
            </w:fldSimple>
            <w:bookmarkEnd w:id="43"/>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aff9"/>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aff9"/>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aff9"/>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aff9"/>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aff9"/>
              <w:numPr>
                <w:ilvl w:val="0"/>
                <w:numId w:val="44"/>
              </w:numPr>
              <w:snapToGrid/>
              <w:spacing w:line="240" w:lineRule="auto"/>
              <w:rPr>
                <w:i/>
                <w:iCs/>
              </w:rPr>
            </w:pPr>
            <w:r>
              <w:rPr>
                <w:i/>
                <w:iCs/>
              </w:rPr>
              <w:lastRenderedPageBreak/>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3"/>
        <w:rPr>
          <w:lang w:val="en-GB" w:eastAsia="zh-CN"/>
        </w:rPr>
      </w:pPr>
      <w:r>
        <w:rPr>
          <w:lang w:val="en-GB" w:eastAsia="zh-CN"/>
        </w:rPr>
        <w:lastRenderedPageBreak/>
        <w:t>R1-2103158 (Qualcomm)</w:t>
      </w:r>
    </w:p>
    <w:tbl>
      <w:tblPr>
        <w:tblStyle w:val="aff2"/>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a8"/>
              <w:jc w:val="left"/>
            </w:pPr>
            <w:bookmarkStart w:id="44" w:name="_Toc68262090"/>
            <w:bookmarkStart w:id="45" w:name="_Toc68262401"/>
            <w:bookmarkStart w:id="46" w:name="_Toc68261793"/>
            <w:bookmarkStart w:id="47" w:name="_Toc68262263"/>
            <w:bookmarkStart w:id="48" w:name="_Toc68262196"/>
            <w:bookmarkStart w:id="49" w:name="_Toc68528591"/>
            <w:bookmarkStart w:id="50" w:name="_Toc68530782"/>
            <w:bookmarkStart w:id="51" w:name="_Toc68262110"/>
            <w:bookmarkStart w:id="52" w:name="_Toc68262150"/>
            <w:bookmarkStart w:id="53" w:name="_Toc68552628"/>
            <w:bookmarkStart w:id="54" w:name="_Toc68262209"/>
            <w:bookmarkStart w:id="55" w:name="_Toc68608250"/>
            <w:bookmarkStart w:id="56" w:name="_Toc68262230"/>
            <w:bookmarkStart w:id="57" w:name="_Toc68530831"/>
            <w:bookmarkStart w:id="58" w:name="_Toc68608200"/>
            <w:bookmarkStart w:id="59" w:name="_Toc68608262"/>
            <w:r>
              <w:t xml:space="preserve">Proposal </w:t>
            </w:r>
            <w:fldSimple w:instr=" SEQ Proposal \* ARABIC ">
              <w:r>
                <w:t>1</w:t>
              </w:r>
            </w:fldSimple>
            <w:r>
              <w:t>: For 120kHz SCS, a new multi-slot PDCCH monitoring capability is not supported.</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9C310CF" w14:textId="77777777" w:rsidR="00BF303B" w:rsidRDefault="006222A6">
            <w:pPr>
              <w:rPr>
                <w:lang w:val="en-GB"/>
              </w:rPr>
            </w:pPr>
            <w:r>
              <w:rPr>
                <w:lang w:val="en-GB"/>
              </w:rPr>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a8"/>
              <w:jc w:val="left"/>
            </w:pPr>
            <w:bookmarkStart w:id="60" w:name="_Ref68204547"/>
            <w:bookmarkStart w:id="61" w:name="_Toc68262231"/>
            <w:bookmarkStart w:id="62" w:name="_Toc68262111"/>
            <w:bookmarkStart w:id="63" w:name="_Toc68552629"/>
            <w:bookmarkStart w:id="64" w:name="_Toc68608201"/>
            <w:bookmarkStart w:id="65" w:name="_Toc68262151"/>
            <w:bookmarkStart w:id="66" w:name="_Toc68530832"/>
            <w:bookmarkStart w:id="67" w:name="_Toc68262197"/>
            <w:bookmarkStart w:id="68" w:name="_Toc68261794"/>
            <w:bookmarkStart w:id="69" w:name="_Toc68262264"/>
            <w:bookmarkStart w:id="70" w:name="_Toc68608263"/>
            <w:bookmarkStart w:id="71" w:name="_Toc68262402"/>
            <w:bookmarkStart w:id="72" w:name="_Toc68262091"/>
            <w:bookmarkStart w:id="73" w:name="_Toc68530783"/>
            <w:bookmarkStart w:id="74" w:name="_Toc68608251"/>
            <w:bookmarkStart w:id="75" w:name="_Toc68528592"/>
            <w:bookmarkStart w:id="76" w:name="_Toc68262210"/>
            <w:r>
              <w:t xml:space="preserve">Proposal </w:t>
            </w:r>
            <w:fldSimple w:instr=" SEQ Proposal \* ARABIC ">
              <w:r>
                <w:t>2</w:t>
              </w:r>
            </w:fldSimple>
            <w:bookmarkEnd w:id="60"/>
            <w:r>
              <w:t>: For 480kHz and 960kHz SCSs, multi-slot PDCCH monitoring is the default capability, and assumed during the idle/inactive mode operation and initial access procedure, if supported.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C2C4BFD" w14:textId="77777777" w:rsidR="00BF303B" w:rsidRDefault="006222A6">
            <w:pPr>
              <w:pStyle w:val="a8"/>
              <w:jc w:val="left"/>
            </w:pPr>
            <w:bookmarkStart w:id="77" w:name="_Toc68262265"/>
            <w:bookmarkStart w:id="78" w:name="_Toc68552630"/>
            <w:bookmarkStart w:id="79" w:name="_Toc68608252"/>
            <w:bookmarkStart w:id="80" w:name="_Toc68262092"/>
            <w:bookmarkStart w:id="81" w:name="_Toc68262211"/>
            <w:bookmarkStart w:id="82" w:name="_Toc68608264"/>
            <w:bookmarkStart w:id="83" w:name="_Toc68530833"/>
            <w:bookmarkStart w:id="84" w:name="_Toc68261795"/>
            <w:bookmarkStart w:id="85" w:name="_Toc68262152"/>
            <w:bookmarkStart w:id="86" w:name="_Toc68262232"/>
            <w:bookmarkStart w:id="87" w:name="_Toc68608202"/>
            <w:bookmarkStart w:id="88" w:name="_Toc68262403"/>
            <w:bookmarkStart w:id="89" w:name="_Toc68262112"/>
            <w:bookmarkStart w:id="90" w:name="_Toc68530784"/>
            <w:bookmarkStart w:id="91" w:name="_Toc68262198"/>
            <w:bookmarkStart w:id="92"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 xml:space="preserve">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w:t>
            </w:r>
            <w:r>
              <w:lastRenderedPageBreak/>
              <w:t>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a8"/>
              <w:jc w:val="left"/>
            </w:pPr>
            <w:bookmarkStart w:id="93" w:name="_Toc68261796"/>
            <w:bookmarkStart w:id="94" w:name="_Toc68262113"/>
            <w:bookmarkStart w:id="95" w:name="_Toc68262266"/>
            <w:bookmarkStart w:id="96" w:name="_Toc68528594"/>
            <w:bookmarkStart w:id="97" w:name="_Toc68262233"/>
            <w:bookmarkStart w:id="98" w:name="_Toc68262093"/>
            <w:bookmarkStart w:id="99" w:name="_Toc68262404"/>
            <w:bookmarkStart w:id="100" w:name="_Toc68530785"/>
            <w:bookmarkStart w:id="101" w:name="_Toc68530834"/>
            <w:bookmarkStart w:id="102" w:name="_Toc68262199"/>
            <w:bookmarkStart w:id="103" w:name="_Toc68262153"/>
            <w:bookmarkStart w:id="104" w:name="_Toc68262212"/>
            <w:bookmarkStart w:id="105" w:name="_Toc68552631"/>
            <w:bookmarkStart w:id="106" w:name="_Toc68608253"/>
            <w:bookmarkStart w:id="107" w:name="_Toc68608265"/>
            <w:bookmarkStart w:id="108"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9585F9" w14:textId="77777777" w:rsidR="00BF303B" w:rsidRDefault="006222A6">
            <w:pPr>
              <w:pStyle w:val="a8"/>
              <w:jc w:val="left"/>
            </w:pPr>
            <w:bookmarkStart w:id="109" w:name="_Toc68262218"/>
            <w:bookmarkStart w:id="110" w:name="_Toc68261802"/>
            <w:bookmarkStart w:id="111" w:name="_Toc68262099"/>
            <w:bookmarkStart w:id="112" w:name="_Toc68262239"/>
            <w:bookmarkStart w:id="113" w:name="_Toc68262272"/>
            <w:bookmarkStart w:id="114" w:name="_Toc68262159"/>
            <w:bookmarkStart w:id="115" w:name="_Toc68528600"/>
            <w:bookmarkStart w:id="116" w:name="_Toc68552637"/>
            <w:bookmarkStart w:id="117" w:name="_Toc68262119"/>
            <w:bookmarkStart w:id="118" w:name="_Toc68608271"/>
            <w:bookmarkStart w:id="119" w:name="_Toc68262205"/>
            <w:bookmarkStart w:id="120" w:name="_Toc68530791"/>
            <w:bookmarkStart w:id="121" w:name="_Toc68262410"/>
            <w:bookmarkStart w:id="122" w:name="_Toc68530840"/>
            <w:bookmarkStart w:id="123" w:name="_Toc68608209"/>
            <w:bookmarkStart w:id="124"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3415C34" w14:textId="77777777" w:rsidR="00BF303B" w:rsidRDefault="006222A6">
            <w:r>
              <w:t>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960 kHz SCS, e.g., {1, 2} for 480 kHz and {1, 4} for 960 kHz, may optionally be supported. In particular, X = 1 corresponds to the per-slot PDCCH monitoring capability.</w:t>
            </w:r>
          </w:p>
          <w:p w14:paraId="1D7AF9F4" w14:textId="77777777" w:rsidR="00BF303B" w:rsidRDefault="006222A6">
            <w:pPr>
              <w:pStyle w:val="a8"/>
              <w:spacing w:after="0"/>
              <w:jc w:val="left"/>
            </w:pPr>
            <w:bookmarkStart w:id="125" w:name="_Toc68608254"/>
            <w:bookmarkStart w:id="126" w:name="_Toc68608266"/>
            <w:bookmarkStart w:id="127" w:name="_Toc68262213"/>
            <w:bookmarkStart w:id="128" w:name="_Toc68262094"/>
            <w:bookmarkStart w:id="129" w:name="_Toc68262200"/>
            <w:bookmarkStart w:id="130" w:name="_Toc68262234"/>
            <w:bookmarkStart w:id="131" w:name="_Toc68261797"/>
            <w:bookmarkStart w:id="132" w:name="_Toc68262267"/>
            <w:bookmarkStart w:id="133" w:name="_Toc68528595"/>
            <w:bookmarkStart w:id="134" w:name="_Toc68262114"/>
            <w:bookmarkStart w:id="135" w:name="_Toc68530835"/>
            <w:bookmarkStart w:id="136" w:name="_Toc68262154"/>
            <w:bookmarkStart w:id="137" w:name="_Toc68262405"/>
            <w:bookmarkStart w:id="138" w:name="_Toc68530786"/>
            <w:bookmarkStart w:id="139" w:name="_Toc68552632"/>
            <w:bookmarkStart w:id="140" w:name="_Toc68608204"/>
            <w:r>
              <w:t xml:space="preserve">Proposal </w:t>
            </w:r>
            <w:fldSimple w:instr=" SEQ Proposal \* ARABIC ">
              <w:r>
                <w:t>5</w:t>
              </w:r>
            </w:fldSimple>
            <w:r>
              <w:t>: For the value of X in the multi-slot PDCCH monitoring capability, the following sets are considered:</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 </w:t>
            </w:r>
          </w:p>
          <w:p w14:paraId="11D3CEEC" w14:textId="77777777" w:rsidR="00BF303B" w:rsidRDefault="006222A6">
            <w:pPr>
              <w:pStyle w:val="a8"/>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a8"/>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a8"/>
              <w:jc w:val="left"/>
            </w:pPr>
            <w:bookmarkStart w:id="141" w:name="_Toc68530836"/>
            <w:bookmarkStart w:id="142" w:name="_Toc68552633"/>
            <w:bookmarkStart w:id="143" w:name="_Toc68608205"/>
            <w:bookmarkStart w:id="144" w:name="_Toc68530787"/>
            <w:bookmarkStart w:id="145" w:name="_Toc68261798"/>
            <w:bookmarkStart w:id="146" w:name="_Toc68262201"/>
            <w:bookmarkStart w:id="147" w:name="_Toc68262214"/>
            <w:bookmarkStart w:id="148" w:name="_Toc68262095"/>
            <w:bookmarkStart w:id="149" w:name="_Toc68262268"/>
            <w:bookmarkStart w:id="150" w:name="_Toc68528596"/>
            <w:bookmarkStart w:id="151" w:name="_Toc68608255"/>
            <w:bookmarkStart w:id="152" w:name="_Toc68262115"/>
            <w:bookmarkStart w:id="153" w:name="_Toc68262155"/>
            <w:bookmarkStart w:id="154" w:name="_Toc68262235"/>
            <w:bookmarkStart w:id="155" w:name="_Toc68262406"/>
            <w:bookmarkStart w:id="156"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xml:space="preserve">), and the notion of the repeated span pattern is not relevant. To clarify, the same definition of span in Rel-16 should be used (Section </w:t>
            </w:r>
            <w:r>
              <w:rPr>
                <w:lang w:eastAsia="zh-CN"/>
              </w:rPr>
              <w:lastRenderedPageBreak/>
              <w:t>10 in TS 38.213):</w:t>
            </w:r>
          </w:p>
          <w:p w14:paraId="6D14E91F" w14:textId="77777777" w:rsidR="00BF303B" w:rsidRDefault="006222A6">
            <w:pPr>
              <w:pStyle w:val="aff9"/>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aff9"/>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a8"/>
              <w:jc w:val="left"/>
              <w:rPr>
                <w:lang w:eastAsia="zh-CN"/>
              </w:rPr>
            </w:pPr>
            <w:bookmarkStart w:id="157" w:name="_Ref68205303"/>
            <w:bookmarkStart w:id="158" w:name="_Toc68262116"/>
            <w:bookmarkStart w:id="159" w:name="_Toc68262202"/>
            <w:bookmarkStart w:id="160" w:name="_Toc68261799"/>
            <w:bookmarkStart w:id="161" w:name="_Toc68262215"/>
            <w:bookmarkStart w:id="162" w:name="_Toc68262096"/>
            <w:bookmarkStart w:id="163" w:name="_Toc68262236"/>
            <w:bookmarkStart w:id="164" w:name="_Toc68262156"/>
            <w:bookmarkStart w:id="165" w:name="_Toc68530837"/>
            <w:bookmarkStart w:id="166" w:name="_Toc68608268"/>
            <w:bookmarkStart w:id="167" w:name="_Toc68528597"/>
            <w:bookmarkStart w:id="168" w:name="_Toc68552634"/>
            <w:bookmarkStart w:id="169" w:name="_Toc68262407"/>
            <w:bookmarkStart w:id="170" w:name="_Toc68530788"/>
            <w:bookmarkStart w:id="171" w:name="_Toc68608206"/>
            <w:bookmarkStart w:id="172" w:name="_Toc68262269"/>
            <w:bookmarkStart w:id="173" w:name="_Toc68608256"/>
            <w:r>
              <w:t xml:space="preserve">Proposal </w:t>
            </w:r>
            <w:fldSimple w:instr=" SEQ Proposal \* ARABIC ">
              <w:r>
                <w:t>7</w:t>
              </w:r>
            </w:fldSimple>
            <w:bookmarkEnd w:id="157"/>
            <w:r>
              <w:t>: For the definition of multi-slot PDCCH monitoring capability, Alt 2 is supported with the following modification: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EA648F7" w14:textId="77777777" w:rsidR="00BF303B" w:rsidRDefault="006222A6">
            <w:pPr>
              <w:pStyle w:val="aff9"/>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aff9"/>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aff9"/>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aff9"/>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aff9"/>
              <w:numPr>
                <w:ilvl w:val="1"/>
                <w:numId w:val="18"/>
              </w:numPr>
              <w:spacing w:line="240" w:lineRule="auto"/>
              <w:rPr>
                <w:b/>
                <w:bCs/>
              </w:rPr>
            </w:pPr>
            <w:r>
              <w:rPr>
                <w:b/>
                <w:bCs/>
              </w:rPr>
              <w:t>The following combinations of (X, Y) are supported:</w:t>
            </w:r>
          </w:p>
          <w:p w14:paraId="577EAD30" w14:textId="77777777" w:rsidR="00BF303B" w:rsidRDefault="006222A6">
            <w:pPr>
              <w:pStyle w:val="aff9"/>
              <w:numPr>
                <w:ilvl w:val="2"/>
                <w:numId w:val="18"/>
              </w:numPr>
              <w:spacing w:line="240" w:lineRule="auto"/>
              <w:rPr>
                <w:b/>
                <w:bCs/>
              </w:rPr>
            </w:pPr>
            <w:r>
              <w:rPr>
                <w:b/>
                <w:bCs/>
              </w:rPr>
              <w:t>480 kHz SCS: (14, 3), (28, 3), (56, 3)</w:t>
            </w:r>
          </w:p>
          <w:p w14:paraId="31C6E27B" w14:textId="77777777" w:rsidR="00BF303B" w:rsidRDefault="006222A6">
            <w:pPr>
              <w:pStyle w:val="aff9"/>
              <w:numPr>
                <w:ilvl w:val="2"/>
                <w:numId w:val="18"/>
              </w:numPr>
              <w:spacing w:after="120" w:line="240" w:lineRule="auto"/>
              <w:rPr>
                <w:b/>
                <w:bCs/>
              </w:rPr>
            </w:pPr>
            <w:r>
              <w:rPr>
                <w:b/>
                <w:bCs/>
              </w:rPr>
              <w:t>960 kHz SCS: (14, 3), (56, 3), (112, 3)</w:t>
            </w:r>
          </w:p>
        </w:tc>
      </w:tr>
    </w:tbl>
    <w:p w14:paraId="1EE5463F" w14:textId="77777777" w:rsidR="00BF303B" w:rsidRDefault="006222A6">
      <w:pPr>
        <w:pStyle w:val="3"/>
        <w:rPr>
          <w:lang w:val="en-GB" w:eastAsia="zh-CN"/>
        </w:rPr>
      </w:pPr>
      <w:r>
        <w:rPr>
          <w:lang w:val="en-GB" w:eastAsia="zh-CN"/>
        </w:rPr>
        <w:lastRenderedPageBreak/>
        <w:t>R1-2103230 (Samsung)</w:t>
      </w:r>
    </w:p>
    <w:tbl>
      <w:tblPr>
        <w:tblStyle w:val="aff2"/>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lastRenderedPageBreak/>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3"/>
        <w:rPr>
          <w:lang w:val="en-GB" w:eastAsia="zh-CN"/>
        </w:rPr>
      </w:pPr>
      <w:r>
        <w:rPr>
          <w:lang w:val="en-GB" w:eastAsia="zh-CN"/>
        </w:rPr>
        <w:lastRenderedPageBreak/>
        <w:t>R1-2103295 (Sony)</w:t>
      </w:r>
    </w:p>
    <w:tbl>
      <w:tblPr>
        <w:tblStyle w:val="aff2"/>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aff9"/>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aff9"/>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aff9"/>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aff9"/>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aff9"/>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w:t>
            </w:r>
            <w:r>
              <w:rPr>
                <w:sz w:val="20"/>
                <w:szCs w:val="20"/>
                <w:lang w:eastAsia="zh-CN"/>
              </w:rPr>
              <w:lastRenderedPageBreak/>
              <w:t xml:space="preserve">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aff9"/>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aff9"/>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3"/>
        <w:rPr>
          <w:lang w:val="en-GB" w:eastAsia="zh-CN"/>
        </w:rPr>
      </w:pPr>
      <w:r>
        <w:rPr>
          <w:lang w:val="en-GB" w:eastAsia="zh-CN"/>
        </w:rPr>
        <w:t>R1-2103340 (LG)</w:t>
      </w:r>
    </w:p>
    <w:tbl>
      <w:tblPr>
        <w:tblStyle w:val="aff2"/>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length can be signalled for each UE, and this length can be used as a basic time unit for PDCCH monitoring. Regarding the PDCCH monitoring per slot-group, 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w:t>
            </w:r>
            <w:r>
              <w:rPr>
                <w:rFonts w:eastAsia="Batang"/>
                <w:lang w:eastAsia="ko-KR"/>
              </w:rPr>
              <w:lastRenderedPageBreak/>
              <w:t xml:space="preserve">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with a minimum gap between the last symbol of the previous Y and the first symbol of the next Y over two 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3"/>
        <w:rPr>
          <w:lang w:val="en-GB" w:eastAsia="zh-CN"/>
        </w:rPr>
      </w:pPr>
      <w:r>
        <w:rPr>
          <w:lang w:val="en-GB" w:eastAsia="zh-CN"/>
        </w:rPr>
        <w:t>R1-2103412 (Convida Wireless)</w:t>
      </w:r>
    </w:p>
    <w:tbl>
      <w:tblPr>
        <w:tblStyle w:val="aff2"/>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w:t>
            </w:r>
            <w:r>
              <w:lastRenderedPageBreak/>
              <w:t xml:space="preserve">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6.95pt;height:109.55pt;mso-width-percent:0;mso-height-percent:0;mso-width-percent:0;mso-height-percent:0" o:ole="">
                  <v:imagedata r:id="rId31" o:title=""/>
                </v:shape>
                <o:OLEObject Type="Embed" ProgID="Visio.Drawing.15" ShapeID="_x0000_i1031" DrawAspect="Content" ObjectID="_1680351993" r:id="rId32"/>
              </w:object>
            </w:r>
          </w:p>
          <w:p w14:paraId="503B8BB5" w14:textId="77777777" w:rsidR="00BF303B" w:rsidRDefault="006222A6">
            <w:pPr>
              <w:tabs>
                <w:tab w:val="left" w:pos="7406"/>
              </w:tabs>
              <w:spacing w:line="360" w:lineRule="auto"/>
              <w:jc w:val="center"/>
              <w:rPr>
                <w:bCs/>
                <w:iCs/>
              </w:rPr>
            </w:pPr>
            <w:bookmarkStart w:id="174"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4"/>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3"/>
        <w:rPr>
          <w:lang w:val="en-GB" w:eastAsia="zh-CN"/>
        </w:rPr>
      </w:pPr>
      <w:r>
        <w:rPr>
          <w:lang w:val="en-GB" w:eastAsia="zh-CN"/>
        </w:rPr>
        <w:lastRenderedPageBreak/>
        <w:t>R1-2103449 (InterDigital)</w:t>
      </w:r>
    </w:p>
    <w:tbl>
      <w:tblPr>
        <w:tblStyle w:val="aff2"/>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w:t>
            </w:r>
            <w:r>
              <w:rPr>
                <w:rFonts w:ascii="Arial" w:eastAsia="Calibri" w:hAnsi="Arial" w:cs="Arial"/>
                <w:bCs/>
              </w:rPr>
              <w:lastRenderedPageBreak/>
              <w:t xml:space="preserve">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a span with (X,Y) similar to Rel-16 capability. Rel-16 span based monitoring supports </w:t>
            </w:r>
            <w:r>
              <w:rPr>
                <w:rFonts w:ascii="Arial" w:hAnsi="Arial" w:cs="Arial"/>
                <w:bCs/>
              </w:rPr>
              <w:lastRenderedPageBreak/>
              <w:t>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3"/>
        <w:rPr>
          <w:lang w:val="en-GB" w:eastAsia="zh-CN"/>
        </w:rPr>
      </w:pPr>
      <w:r>
        <w:rPr>
          <w:lang w:val="en-GB" w:eastAsia="zh-CN"/>
        </w:rPr>
        <w:t>R1-2103488 (ZTE, Sanechips)</w:t>
      </w:r>
    </w:p>
    <w:tbl>
      <w:tblPr>
        <w:tblStyle w:val="aff2"/>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宋体"/>
                <w:b/>
                <w:lang w:eastAsia="zh-CN"/>
              </w:rPr>
            </w:pPr>
            <w:r>
              <w:rPr>
                <w:rFonts w:eastAsia="宋体" w:hint="eastAsia"/>
                <w:b/>
                <w:lang w:eastAsia="zh-CN"/>
              </w:rPr>
              <w:t>Proposal 1: In the following options for enhancing 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宋体"/>
                <w:b/>
                <w:lang w:eastAsia="zh-CN"/>
              </w:rPr>
            </w:pPr>
            <w:r>
              <w:rPr>
                <w:rFonts w:eastAsia="宋体"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宋体" w:hint="eastAsia"/>
                <w:b/>
                <w:lang w:eastAsia="zh-CN"/>
              </w:rPr>
              <w:t>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lastRenderedPageBreak/>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3"/>
        <w:rPr>
          <w:lang w:val="en-GB" w:eastAsia="zh-CN"/>
        </w:rPr>
      </w:pPr>
      <w:r>
        <w:rPr>
          <w:lang w:val="en-GB" w:eastAsia="zh-CN"/>
        </w:rPr>
        <w:t>R1-2103512 (NEC)</w:t>
      </w:r>
    </w:p>
    <w:tbl>
      <w:tblPr>
        <w:tblStyle w:val="aff2"/>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5"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5"/>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3"/>
        <w:rPr>
          <w:lang w:val="en-GB" w:eastAsia="zh-CN"/>
        </w:rPr>
      </w:pPr>
      <w:r>
        <w:rPr>
          <w:lang w:val="en-GB" w:eastAsia="zh-CN"/>
        </w:rPr>
        <w:t>R1-2103568 (NTT DOCOMO)</w:t>
      </w:r>
    </w:p>
    <w:tbl>
      <w:tblPr>
        <w:tblStyle w:val="aff2"/>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lastRenderedPageBreak/>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aff2"/>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aff9"/>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aff9"/>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2"/>
      </w:pPr>
      <w:r>
        <w:lastRenderedPageBreak/>
        <w:t>Topic A2: Search Space Enhancement</w:t>
      </w:r>
    </w:p>
    <w:p w14:paraId="53A94437" w14:textId="77777777" w:rsidR="00BF303B" w:rsidRDefault="006222A6">
      <w:pPr>
        <w:pStyle w:val="3"/>
        <w:rPr>
          <w:lang w:val="en-GB" w:eastAsia="zh-CN"/>
        </w:rPr>
      </w:pPr>
      <w:r>
        <w:rPr>
          <w:lang w:val="en-GB" w:eastAsia="zh-CN"/>
        </w:rPr>
        <w:t>R1-2102328 (Huawei, HiSilicon)</w:t>
      </w:r>
    </w:p>
    <w:tbl>
      <w:tblPr>
        <w:tblStyle w:val="aff2"/>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a8"/>
              <w:rPr>
                <w:b w:val="0"/>
                <w:color w:val="000000" w:themeColor="text1"/>
                <w:lang w:eastAsia="zh-CN"/>
              </w:rPr>
            </w:pPr>
            <w:bookmarkStart w:id="176" w:name="_Ref68018795"/>
            <w:r>
              <w:t xml:space="preserve">Figure </w:t>
            </w:r>
            <w:fldSimple w:instr=" SEQ Figure \* ARABIC ">
              <w:r>
                <w:t>2</w:t>
              </w:r>
            </w:fldSimple>
            <w:bookmarkEnd w:id="176"/>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7"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aff9"/>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7"/>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aff9"/>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aff9"/>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3"/>
        <w:rPr>
          <w:lang w:val="en-GB" w:eastAsia="zh-CN"/>
        </w:rPr>
      </w:pPr>
      <w:r>
        <w:rPr>
          <w:lang w:val="en-GB" w:eastAsia="zh-CN"/>
        </w:rPr>
        <w:t>R1-2102449 (Spreadtrum)</w:t>
      </w:r>
    </w:p>
    <w:tbl>
      <w:tblPr>
        <w:tblStyle w:val="aff2"/>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t>
            </w:r>
            <w:r>
              <w:lastRenderedPageBreak/>
              <w:t>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3"/>
        <w:rPr>
          <w:lang w:val="en-GB" w:eastAsia="zh-CN"/>
        </w:rPr>
      </w:pPr>
      <w:r>
        <w:rPr>
          <w:lang w:val="en-GB" w:eastAsia="zh-CN"/>
        </w:rPr>
        <w:t>R1-2102515 (vivo)</w:t>
      </w:r>
    </w:p>
    <w:tbl>
      <w:tblPr>
        <w:tblStyle w:val="aff2"/>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aff9"/>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aff9"/>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8"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8"/>
          </w:p>
        </w:tc>
      </w:tr>
    </w:tbl>
    <w:p w14:paraId="5D52325E" w14:textId="77777777" w:rsidR="00BF303B" w:rsidRDefault="00BF303B">
      <w:pPr>
        <w:rPr>
          <w:lang w:eastAsia="zh-CN"/>
        </w:rPr>
      </w:pPr>
    </w:p>
    <w:p w14:paraId="35632F1E" w14:textId="77777777" w:rsidR="00BF303B" w:rsidRDefault="006222A6">
      <w:pPr>
        <w:pStyle w:val="3"/>
        <w:rPr>
          <w:lang w:val="en-GB" w:eastAsia="zh-CN"/>
        </w:rPr>
      </w:pPr>
      <w:r>
        <w:rPr>
          <w:lang w:val="en-GB" w:eastAsia="zh-CN"/>
        </w:rPr>
        <w:lastRenderedPageBreak/>
        <w:t>R1-2102622 (CATT)</w:t>
      </w:r>
    </w:p>
    <w:tbl>
      <w:tblPr>
        <w:tblStyle w:val="aff2"/>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aff9"/>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aff9"/>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aff9"/>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Used to configure the first symbol for each PDCCH MO within the slot. The size of this parameter is 14 bit and each bit represents a 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ae"/>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ae"/>
              <w:keepNext/>
              <w:jc w:val="center"/>
            </w:pPr>
            <w:r>
              <w:rPr>
                <w:noProof/>
              </w:rPr>
              <w:object w:dxaOrig="8116" w:dyaOrig="1767" w14:anchorId="46877D96">
                <v:shape id="_x0000_i1032" type="#_x0000_t75" alt="" style="width:402.55pt;height:87.05pt;mso-width-percent:0;mso-height-percent:0;mso-width-percent:0;mso-height-percent:0" o:ole="">
                  <v:imagedata r:id="rId34" o:title=""/>
                </v:shape>
                <o:OLEObject Type="Embed" ProgID="Visio.Drawing.11" ShapeID="_x0000_i1032" DrawAspect="Content" ObjectID="_1680351994" r:id="rId35"/>
              </w:object>
            </w:r>
          </w:p>
          <w:p w14:paraId="02DADE7B" w14:textId="77777777" w:rsidR="00BF303B" w:rsidRDefault="006222A6">
            <w:pPr>
              <w:pStyle w:val="a8"/>
              <w:rPr>
                <w:lang w:eastAsia="zh-CN"/>
              </w:rPr>
            </w:pPr>
            <w:bookmarkStart w:id="179" w:name="_Ref67922454"/>
            <w:bookmarkStart w:id="180" w:name="_Ref68631385"/>
            <w:r>
              <w:t xml:space="preserve">Figure </w:t>
            </w:r>
            <w:fldSimple w:instr=" SEQ Figure \* ARABIC ">
              <w:r>
                <w:t>3</w:t>
              </w:r>
            </w:fldSimple>
            <w:bookmarkEnd w:id="179"/>
            <w:r>
              <w:rPr>
                <w:lang w:eastAsia="zh-CN"/>
              </w:rPr>
              <w:t>: Example for MO configuration (T_periodicity=</w:t>
            </w:r>
            <w:r>
              <w:rPr>
                <w:rFonts w:hint="eastAsia"/>
                <w:lang w:eastAsia="zh-CN"/>
              </w:rPr>
              <w:t>12 slots</w:t>
            </w:r>
            <w:r>
              <w:rPr>
                <w:lang w:eastAsia="zh-CN"/>
              </w:rPr>
              <w:t>, k_offset=0)</w:t>
            </w:r>
            <w:bookmarkEnd w:id="180"/>
          </w:p>
          <w:p w14:paraId="2195B787" w14:textId="77777777" w:rsidR="00BF303B" w:rsidRDefault="006222A6">
            <w:pPr>
              <w:pStyle w:val="ae"/>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aff9"/>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aff9"/>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ae"/>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3"/>
        <w:rPr>
          <w:lang w:val="en-GB" w:eastAsia="zh-CN"/>
        </w:rPr>
      </w:pPr>
      <w:r>
        <w:rPr>
          <w:lang w:val="en-GB" w:eastAsia="zh-CN"/>
        </w:rPr>
        <w:t>R1-2102978 (Xiaomi)</w:t>
      </w:r>
    </w:p>
    <w:tbl>
      <w:tblPr>
        <w:tblStyle w:val="aff2"/>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lastRenderedPageBreak/>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3"/>
        <w:rPr>
          <w:lang w:val="en-GB" w:eastAsia="zh-CN"/>
        </w:rPr>
      </w:pPr>
      <w:r>
        <w:rPr>
          <w:lang w:val="en-GB" w:eastAsia="zh-CN"/>
        </w:rPr>
        <w:t>R1-2102997 (Lenovo, Motorola Mobility)</w:t>
      </w:r>
    </w:p>
    <w:tbl>
      <w:tblPr>
        <w:tblStyle w:val="aff2"/>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1" w:name="_Hlk67905373"/>
            <w:r>
              <w:rPr>
                <w:rFonts w:asciiTheme="majorBidi" w:hAnsiTheme="majorBidi" w:cstheme="majorBidi"/>
                <w:bCs/>
              </w:rPr>
              <w:t>For example, if there is a 4-slot monitoring duration, then a slot-level bitmap “1010” would indicate that monitoring occasion is in slot 1 and slot 3</w:t>
            </w:r>
            <w:bookmarkEnd w:id="181"/>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3"/>
        <w:rPr>
          <w:lang w:val="en-GB" w:eastAsia="zh-CN"/>
        </w:rPr>
      </w:pPr>
      <w:r>
        <w:rPr>
          <w:lang w:val="en-GB" w:eastAsia="zh-CN"/>
        </w:rPr>
        <w:t>R1-2103022 (Intel)</w:t>
      </w:r>
    </w:p>
    <w:tbl>
      <w:tblPr>
        <w:tblStyle w:val="aff2"/>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 xml:space="preserve">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w:t>
            </w:r>
            <w:r>
              <w:rPr>
                <w:lang w:eastAsia="zh-CN"/>
              </w:rPr>
              <w:lastRenderedPageBreak/>
              <w:t>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aff9"/>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3"/>
        <w:rPr>
          <w:lang w:val="en-GB" w:eastAsia="zh-CN"/>
        </w:rPr>
      </w:pPr>
      <w:r>
        <w:rPr>
          <w:lang w:val="en-GB" w:eastAsia="zh-CN"/>
        </w:rPr>
        <w:t>R1-2103097 (Apple)</w:t>
      </w:r>
    </w:p>
    <w:tbl>
      <w:tblPr>
        <w:tblStyle w:val="aff2"/>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a8"/>
            </w:pPr>
            <w:bookmarkStart w:id="182" w:name="_Ref68624864"/>
            <w:r>
              <w:t xml:space="preserve">Figure </w:t>
            </w:r>
            <w:fldSimple w:instr=" SEQ Figure \* ARABIC ">
              <w:r>
                <w:t>2</w:t>
              </w:r>
            </w:fldSimple>
            <w:bookmarkEnd w:id="182"/>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lastRenderedPageBreak/>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3"/>
        <w:rPr>
          <w:lang w:val="en-GB" w:eastAsia="zh-CN"/>
        </w:rPr>
      </w:pPr>
      <w:r>
        <w:rPr>
          <w:lang w:val="en-GB" w:eastAsia="zh-CN"/>
        </w:rPr>
        <w:t>R1-2103158 (Qualcomm)</w:t>
      </w:r>
    </w:p>
    <w:tbl>
      <w:tblPr>
        <w:tblStyle w:val="aff2"/>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8.95pt;height:200.95pt;mso-width-percent:0;mso-height-percent:0;mso-width-percent:0;mso-height-percent:0" o:ole="">
                  <v:imagedata r:id="rId37" o:title=""/>
                </v:shape>
                <o:OLEObject Type="Embed" ProgID="Visio.Drawing.15" ShapeID="_x0000_i1033" DrawAspect="Content" ObjectID="_1680351995" r:id="rId38"/>
              </w:object>
            </w:r>
          </w:p>
          <w:p w14:paraId="0A89E913" w14:textId="77777777" w:rsidR="00BF303B" w:rsidRDefault="006222A6">
            <w:pPr>
              <w:pStyle w:val="a8"/>
            </w:pPr>
            <w:bookmarkStart w:id="183" w:name="_Ref68206910"/>
            <w:r>
              <w:lastRenderedPageBreak/>
              <w:t xml:space="preserve">Figure </w:t>
            </w:r>
            <w:fldSimple w:instr=" SEQ Figure \* ARABIC ">
              <w:r>
                <w:t>1</w:t>
              </w:r>
            </w:fldSimple>
            <w:bookmarkEnd w:id="183"/>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aff9"/>
              <w:numPr>
                <w:ilvl w:val="0"/>
                <w:numId w:val="56"/>
              </w:numPr>
              <w:snapToGrid/>
              <w:spacing w:line="240" w:lineRule="auto"/>
              <w:ind w:left="1008"/>
            </w:pPr>
            <w:r>
              <w:lastRenderedPageBreak/>
              <w:t>A MAC CE activation command indicating a TCI state for the CORESET associated with the CSS (i.e., CORESET #0),</w:t>
            </w:r>
          </w:p>
          <w:p w14:paraId="0C5D0726" w14:textId="77777777" w:rsidR="00BF303B" w:rsidRDefault="006222A6">
            <w:pPr>
              <w:pStyle w:val="aff9"/>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aff9"/>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Since there could be many different alternatives than the two discussed above, it would be desirable to extend the discussion in RAN1 and specify any enhancement of the common search space design.</w:t>
            </w:r>
          </w:p>
          <w:p w14:paraId="5DD5EB5D" w14:textId="77777777" w:rsidR="00BF303B" w:rsidRDefault="006222A6">
            <w:pPr>
              <w:pStyle w:val="a8"/>
              <w:jc w:val="left"/>
            </w:pPr>
            <w:bookmarkStart w:id="184" w:name="_Toc68262203"/>
            <w:bookmarkStart w:id="185" w:name="_Toc68608257"/>
            <w:bookmarkStart w:id="186" w:name="_Toc68262270"/>
            <w:bookmarkStart w:id="187" w:name="_Toc68262237"/>
            <w:bookmarkStart w:id="188" w:name="_Toc68262408"/>
            <w:bookmarkStart w:id="189" w:name="_Toc68608269"/>
            <w:bookmarkStart w:id="190" w:name="_Toc68262157"/>
            <w:bookmarkStart w:id="191" w:name="_Toc68262097"/>
            <w:bookmarkStart w:id="192" w:name="_Toc68530789"/>
            <w:bookmarkStart w:id="193" w:name="_Toc68262117"/>
            <w:bookmarkStart w:id="194" w:name="_Toc68528598"/>
            <w:bookmarkStart w:id="195" w:name="_Toc68530838"/>
            <w:bookmarkStart w:id="196" w:name="_Toc68262216"/>
            <w:bookmarkStart w:id="197" w:name="_Toc68552635"/>
            <w:bookmarkStart w:id="198" w:name="_Toc68608207"/>
            <w:bookmarkStart w:id="199" w:name="_Toc68261800"/>
            <w:r>
              <w:t xml:space="preserve">Proposal </w:t>
            </w:r>
            <w:fldSimple w:instr=" SEQ Proposal \* ARABIC ">
              <w:r>
                <w:t>8</w:t>
              </w:r>
            </w:fldSimple>
            <w:r>
              <w:t>: If 480 kHz or 960 kHz is supported for initial access in the SPCell, common search space set design should be enhanced to address multi-slot-based CSS monitoring and multiplexing with USS.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bl>
    <w:p w14:paraId="61B98ACC" w14:textId="77777777" w:rsidR="00BF303B" w:rsidRDefault="00BF303B">
      <w:pPr>
        <w:rPr>
          <w:lang w:eastAsia="zh-CN"/>
        </w:rPr>
      </w:pPr>
    </w:p>
    <w:p w14:paraId="260EB1EA" w14:textId="77777777" w:rsidR="00BF303B" w:rsidRDefault="006222A6">
      <w:pPr>
        <w:pStyle w:val="3"/>
        <w:rPr>
          <w:lang w:val="en-GB" w:eastAsia="zh-CN"/>
        </w:rPr>
      </w:pPr>
      <w:r>
        <w:rPr>
          <w:lang w:val="en-GB" w:eastAsia="zh-CN"/>
        </w:rPr>
        <w:t>R1-2103230 (Samsung)</w:t>
      </w:r>
    </w:p>
    <w:tbl>
      <w:tblPr>
        <w:tblStyle w:val="aff2"/>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1pt;height:2in;mso-width-percent:0;mso-height-percent:0;mso-width-percent:0;mso-height-percent:0" o:ole="">
                  <v:imagedata r:id="rId39" o:title=""/>
                </v:shape>
                <o:OLEObject Type="Embed" ProgID="Visio.Drawing.15" ShapeID="_x0000_i1034" DrawAspect="Content" ObjectID="_1680351996"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w:t>
            </w:r>
            <w:r>
              <w:rPr>
                <w:lang w:eastAsia="zh-CN"/>
              </w:rPr>
              <w:lastRenderedPageBreak/>
              <w:t xml:space="preserve">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aff9"/>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aff9"/>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3"/>
        <w:rPr>
          <w:lang w:val="en-GB" w:eastAsia="zh-CN"/>
        </w:rPr>
      </w:pPr>
      <w:r>
        <w:rPr>
          <w:lang w:val="en-GB" w:eastAsia="zh-CN"/>
        </w:rPr>
        <w:t>R1-2103488 (ZTE, Sanechips)</w:t>
      </w:r>
    </w:p>
    <w:tbl>
      <w:tblPr>
        <w:tblStyle w:val="aff2"/>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宋体"/>
                <w:lang w:eastAsia="zh-CN"/>
              </w:rPr>
            </w:pPr>
            <w:r>
              <w:rPr>
                <w:rFonts w:eastAsia="宋体" w:hint="eastAsia"/>
                <w:lang w:eastAsia="zh-CN"/>
              </w:rPr>
              <w:t>(a) Configuration 1</w:t>
            </w:r>
          </w:p>
          <w:p w14:paraId="2EDAAC9A" w14:textId="77777777" w:rsidR="00BF303B" w:rsidRDefault="006222A6">
            <w:r>
              <w:rPr>
                <w:noProof/>
                <w:lang w:eastAsia="zh-CN"/>
              </w:rPr>
              <w:lastRenderedPageBreak/>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宋体"/>
                <w:lang w:eastAsia="zh-CN"/>
              </w:rPr>
            </w:pPr>
            <w:r>
              <w:rPr>
                <w:rFonts w:eastAsia="宋体" w:hint="eastAsia"/>
                <w:lang w:eastAsia="zh-CN"/>
              </w:rPr>
              <w:t>(b) Configuration 2</w:t>
            </w:r>
          </w:p>
          <w:p w14:paraId="57E2BA6B" w14:textId="77777777" w:rsidR="00BF303B" w:rsidRDefault="006222A6">
            <w:pPr>
              <w:jc w:val="center"/>
              <w:rPr>
                <w:b/>
                <w:bCs/>
                <w:lang w:eastAsia="zh-CN"/>
              </w:rPr>
            </w:pPr>
            <w:r>
              <w:rPr>
                <w:rFonts w:eastAsia="宋体" w:hint="eastAsia"/>
                <w:b/>
                <w:bCs/>
                <w:lang w:eastAsia="zh-CN"/>
              </w:rPr>
              <w:t>Figure 3: Configurations if a fixed pattern of slot groups is supported</w:t>
            </w:r>
          </w:p>
          <w:p w14:paraId="301687BE" w14:textId="77777777" w:rsidR="00BF303B" w:rsidRDefault="006222A6">
            <w:pPr>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宋体"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 xml:space="preserve">should be configured as an integral multiple of a slot group, if </w:t>
            </w:r>
            <w:r>
              <w:rPr>
                <w:rFonts w:eastAsia="宋体"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3"/>
        <w:rPr>
          <w:lang w:val="en-GB" w:eastAsia="zh-CN"/>
        </w:rPr>
      </w:pPr>
      <w:r>
        <w:rPr>
          <w:lang w:val="en-GB" w:eastAsia="zh-CN"/>
        </w:rPr>
        <w:t>R1-2103512 (NEC)</w:t>
      </w:r>
    </w:p>
    <w:tbl>
      <w:tblPr>
        <w:tblStyle w:val="aff2"/>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ae"/>
              <w:spacing w:after="0"/>
              <w:rPr>
                <w:rFonts w:eastAsia="Times New Roman"/>
                <w:sz w:val="22"/>
                <w:szCs w:val="22"/>
                <w:lang w:val="en-GB"/>
              </w:rPr>
            </w:pPr>
          </w:p>
          <w:p w14:paraId="3F16F09B" w14:textId="77777777" w:rsidR="00BF303B" w:rsidRDefault="006222A6">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ae"/>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2"/>
      </w:pPr>
      <w:r>
        <w:t>Topic A3: BD Dropping</w:t>
      </w:r>
    </w:p>
    <w:p w14:paraId="154686F7" w14:textId="77777777" w:rsidR="00BF303B" w:rsidRDefault="006222A6">
      <w:pPr>
        <w:pStyle w:val="3"/>
        <w:rPr>
          <w:lang w:val="en-GB" w:eastAsia="zh-CN"/>
        </w:rPr>
      </w:pPr>
      <w:r>
        <w:rPr>
          <w:lang w:val="en-GB" w:eastAsia="zh-CN"/>
        </w:rPr>
        <w:t>R1-2102449 (Spreadtrum)</w:t>
      </w:r>
    </w:p>
    <w:tbl>
      <w:tblPr>
        <w:tblStyle w:val="aff2"/>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ae"/>
              <w:rPr>
                <w:rFonts w:eastAsia="宋体"/>
                <w:sz w:val="22"/>
                <w:szCs w:val="22"/>
                <w:lang w:eastAsia="zh-CN"/>
              </w:rPr>
            </w:pPr>
            <w:r>
              <w:rPr>
                <w:sz w:val="22"/>
                <w:szCs w:val="22"/>
                <w:lang w:val="en-GB" w:eastAsia="zh-CN"/>
              </w:rPr>
              <w:t xml:space="preserve">When multi-slot PDCCH monitoring is introduced, there will be a related problem of PDCCH overbooking. </w:t>
            </w:r>
            <w:r>
              <w:rPr>
                <w:rFonts w:eastAsia="宋体"/>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等线"/>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宋体"/>
                <w:sz w:val="22"/>
                <w:szCs w:val="22"/>
                <w:lang w:eastAsia="zh-CN"/>
              </w:rPr>
              <w:t xml:space="preserve">numbers of monitored PDCCH candidates and non-overlapped CCEs per slot or per span that </w:t>
            </w:r>
            <w:r>
              <w:rPr>
                <w:sz w:val="22"/>
                <w:szCs w:val="22"/>
                <w:lang w:val="en-GB" w:eastAsia="zh-CN"/>
              </w:rPr>
              <w:t>do not</w:t>
            </w:r>
            <w:r>
              <w:rPr>
                <w:rFonts w:eastAsia="宋体"/>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等线"/>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3"/>
        <w:rPr>
          <w:lang w:val="en-GB" w:eastAsia="zh-CN"/>
        </w:rPr>
      </w:pPr>
      <w:r>
        <w:rPr>
          <w:lang w:val="en-GB" w:eastAsia="zh-CN"/>
        </w:rPr>
        <w:lastRenderedPageBreak/>
        <w:t>R1-2103022 (Intel)</w:t>
      </w:r>
    </w:p>
    <w:tbl>
      <w:tblPr>
        <w:tblStyle w:val="aff2"/>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aff9"/>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3"/>
        <w:rPr>
          <w:lang w:val="en-GB" w:eastAsia="zh-CN"/>
        </w:rPr>
      </w:pPr>
      <w:r>
        <w:rPr>
          <w:lang w:val="en-GB" w:eastAsia="zh-CN"/>
        </w:rPr>
        <w:lastRenderedPageBreak/>
        <w:t>R1-2103230 (Samsung)</w:t>
      </w:r>
    </w:p>
    <w:tbl>
      <w:tblPr>
        <w:tblStyle w:val="aff2"/>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1pt;height:102.05pt;mso-width-percent:0;mso-height-percent:0;mso-width-percent:0;mso-height-percent:0" o:ole="">
                  <v:imagedata r:id="rId43" o:title=""/>
                </v:shape>
                <o:OLEObject Type="Embed" ProgID="Visio.Drawing.15" ShapeID="_x0000_i1035" DrawAspect="Content" ObjectID="_1680351997"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2"/>
      </w:pPr>
      <w:r>
        <w:t>Topic A4: PDCCH Extensions for e.g. Coverage, Reliability</w:t>
      </w:r>
    </w:p>
    <w:p w14:paraId="5859F7EA" w14:textId="77777777" w:rsidR="00BF303B" w:rsidRDefault="006222A6">
      <w:pPr>
        <w:pStyle w:val="3"/>
        <w:rPr>
          <w:lang w:val="en-GB" w:eastAsia="zh-CN"/>
        </w:rPr>
      </w:pPr>
      <w:r>
        <w:rPr>
          <w:lang w:val="en-GB" w:eastAsia="zh-CN"/>
        </w:rPr>
        <w:t>R1-2102386 (OPPO)</w:t>
      </w:r>
    </w:p>
    <w:tbl>
      <w:tblPr>
        <w:tblStyle w:val="aff2"/>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ae"/>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ae"/>
              <w:jc w:val="center"/>
              <w:rPr>
                <w:rFonts w:eastAsia="宋体"/>
                <w:b/>
                <w:sz w:val="18"/>
                <w:szCs w:val="18"/>
                <w:lang w:eastAsia="zh-CN"/>
              </w:rPr>
            </w:pPr>
            <w:r>
              <w:rPr>
                <w:noProof/>
              </w:rPr>
              <w:object w:dxaOrig="4135" w:dyaOrig="7320" w14:anchorId="27E9AC21">
                <v:shape id="_x0000_i1036" type="#_x0000_t75" alt="" style="width:209.1pt;height:366.25pt;mso-width-percent:0;mso-height-percent:0;mso-width-percent:0;mso-height-percent:0" o:ole="">
                  <v:imagedata r:id="rId45" o:title=""/>
                </v:shape>
                <o:OLEObject Type="Embed" ProgID="Visio.Drawing.15" ShapeID="_x0000_i1036" DrawAspect="Content" ObjectID="_1680351998" r:id="rId46"/>
              </w:object>
            </w:r>
          </w:p>
          <w:p w14:paraId="0554097C" w14:textId="77777777" w:rsidR="00BF303B" w:rsidRDefault="006222A6">
            <w:pPr>
              <w:pStyle w:val="ae"/>
              <w:jc w:val="center"/>
              <w:rPr>
                <w:rFonts w:eastAsia="宋体"/>
                <w:b/>
                <w:sz w:val="18"/>
                <w:szCs w:val="18"/>
                <w:lang w:eastAsia="zh-CN"/>
              </w:rPr>
            </w:pPr>
            <w:r>
              <w:rPr>
                <w:rFonts w:eastAsia="宋体"/>
                <w:b/>
                <w:sz w:val="18"/>
                <w:szCs w:val="18"/>
                <w:lang w:eastAsia="zh-CN"/>
              </w:rPr>
              <w:t>Figure 1: CORESET configuration of {12RBs, 2symbols} for 120kHz and 480kHz</w:t>
            </w:r>
          </w:p>
          <w:p w14:paraId="03FC9458" w14:textId="77777777" w:rsidR="00BF303B" w:rsidRDefault="006222A6">
            <w:pPr>
              <w:pStyle w:val="ae"/>
              <w:rPr>
                <w:rFonts w:eastAsia="宋体"/>
                <w:lang w:eastAsia="zh-CN"/>
              </w:rPr>
            </w:pPr>
            <w:r>
              <w:rPr>
                <w:rFonts w:eastAsia="宋体" w:hint="eastAsia"/>
                <w:lang w:eastAsia="zh-CN"/>
              </w:rPr>
              <w:t xml:space="preserve">From Figure 1, it can be observed that </w:t>
            </w:r>
            <w:r>
              <w:rPr>
                <w:rFonts w:eastAsia="宋体"/>
                <w:lang w:eastAsia="zh-CN"/>
              </w:rPr>
              <w:t>to keep</w:t>
            </w:r>
            <w:r>
              <w:rPr>
                <w:rFonts w:eastAsia="宋体" w:hint="eastAsia"/>
                <w:lang w:eastAsia="zh-CN"/>
              </w:rPr>
              <w:t xml:space="preserve"> </w:t>
            </w:r>
            <w:r>
              <w:rPr>
                <w:rFonts w:eastAsia="宋体"/>
                <w:lang w:eastAsia="zh-CN"/>
              </w:rPr>
              <w:t>same CORESET configurations and</w:t>
            </w:r>
            <w:r>
              <w:rPr>
                <w:rFonts w:eastAsia="宋体" w:hint="eastAsia"/>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ae"/>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3"/>
        <w:rPr>
          <w:lang w:val="en-GB" w:eastAsia="zh-CN"/>
        </w:rPr>
      </w:pPr>
      <w:r>
        <w:rPr>
          <w:lang w:val="en-GB" w:eastAsia="zh-CN"/>
        </w:rPr>
        <w:t>R1-2102559 (Nokia, Nokia Shanghai Bell)</w:t>
      </w:r>
    </w:p>
    <w:tbl>
      <w:tblPr>
        <w:tblStyle w:val="aff2"/>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a8"/>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3"/>
        <w:rPr>
          <w:lang w:val="en-GB" w:eastAsia="zh-CN"/>
        </w:rPr>
      </w:pPr>
      <w:r>
        <w:rPr>
          <w:lang w:val="en-GB" w:eastAsia="zh-CN"/>
        </w:rPr>
        <w:t>R1-2102773 (Futurewei)</w:t>
      </w:r>
    </w:p>
    <w:tbl>
      <w:tblPr>
        <w:tblStyle w:val="aff2"/>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3"/>
        <w:rPr>
          <w:lang w:val="en-GB" w:eastAsia="zh-CN"/>
        </w:rPr>
      </w:pPr>
      <w:r>
        <w:rPr>
          <w:lang w:val="en-GB" w:eastAsia="zh-CN"/>
        </w:rPr>
        <w:t>R1-2102978 (Xiaomi)</w:t>
      </w:r>
    </w:p>
    <w:tbl>
      <w:tblPr>
        <w:tblStyle w:val="aff2"/>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ae"/>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ae"/>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3"/>
        <w:rPr>
          <w:lang w:val="en-GB" w:eastAsia="zh-CN"/>
        </w:rPr>
      </w:pPr>
      <w:r>
        <w:rPr>
          <w:lang w:val="en-GB" w:eastAsia="zh-CN"/>
        </w:rPr>
        <w:t>R1-2102997 (Lenovo, Motorola Mobility)</w:t>
      </w:r>
    </w:p>
    <w:tbl>
      <w:tblPr>
        <w:tblStyle w:val="aff2"/>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aff9"/>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aff9"/>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aff9"/>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3"/>
        <w:rPr>
          <w:lang w:val="en-GB" w:eastAsia="zh-CN"/>
        </w:rPr>
      </w:pPr>
      <w:r>
        <w:rPr>
          <w:lang w:val="en-GB" w:eastAsia="zh-CN"/>
        </w:rPr>
        <w:t>R1-2103295 (Sony)</w:t>
      </w:r>
    </w:p>
    <w:tbl>
      <w:tblPr>
        <w:tblStyle w:val="aff2"/>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aff9"/>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aff9"/>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aff9"/>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2"/>
      </w:pPr>
      <w:r>
        <w:t xml:space="preserve">Topic B: </w:t>
      </w:r>
      <w:r>
        <w:rPr>
          <w:lang w:val="en-US" w:eastAsia="ja-JP"/>
        </w:rPr>
        <w:t>Multiple PDSCH/PUSCH by a single DCI</w:t>
      </w:r>
    </w:p>
    <w:p w14:paraId="64E586FA" w14:textId="77777777" w:rsidR="00BF303B" w:rsidRDefault="006222A6">
      <w:pPr>
        <w:pStyle w:val="3"/>
        <w:rPr>
          <w:lang w:val="en-GB" w:eastAsia="zh-CN"/>
        </w:rPr>
      </w:pPr>
      <w:r>
        <w:rPr>
          <w:lang w:val="en-GB" w:eastAsia="zh-CN"/>
        </w:rPr>
        <w:t>R1-2102997 (Lenovo, Motorola Mobility)</w:t>
      </w:r>
    </w:p>
    <w:tbl>
      <w:tblPr>
        <w:tblStyle w:val="aff2"/>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3"/>
        <w:rPr>
          <w:lang w:val="en-GB" w:eastAsia="zh-CN"/>
        </w:rPr>
      </w:pPr>
      <w:r>
        <w:rPr>
          <w:lang w:val="en-GB" w:eastAsia="zh-CN"/>
        </w:rPr>
        <w:t>R1-2103412 (Convida Wireless)</w:t>
      </w:r>
    </w:p>
    <w:tbl>
      <w:tblPr>
        <w:tblStyle w:val="aff2"/>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3.75pt;height:2in;mso-width-percent:0;mso-height-percent:0;mso-width-percent:0;mso-height-percent:0" o:ole="">
                  <v:imagedata r:id="rId48" o:title=""/>
                </v:shape>
                <o:OLEObject Type="Embed" ProgID="Visio.Drawing.15" ShapeID="_x0000_i1037" DrawAspect="Content" ObjectID="_1680351999" r:id="rId49"/>
              </w:object>
            </w:r>
          </w:p>
          <w:p w14:paraId="6044A2AE" w14:textId="77777777" w:rsidR="00BF303B" w:rsidRDefault="006222A6">
            <w:pPr>
              <w:tabs>
                <w:tab w:val="left" w:pos="7406"/>
              </w:tabs>
              <w:spacing w:line="360" w:lineRule="auto"/>
              <w:jc w:val="center"/>
              <w:rPr>
                <w:bCs/>
                <w:iCs/>
              </w:rPr>
            </w:pPr>
            <w:bookmarkStart w:id="200"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0"/>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3"/>
        <w:rPr>
          <w:lang w:val="en-GB" w:eastAsia="zh-CN"/>
        </w:rPr>
      </w:pPr>
      <w:r>
        <w:rPr>
          <w:lang w:val="en-GB" w:eastAsia="zh-CN"/>
        </w:rPr>
        <w:lastRenderedPageBreak/>
        <w:t>R1-2103568 (NTT DOCOMO)</w:t>
      </w:r>
    </w:p>
    <w:tbl>
      <w:tblPr>
        <w:tblStyle w:val="aff2"/>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2"/>
      </w:pPr>
      <w:r>
        <w:lastRenderedPageBreak/>
        <w:t>Topic C: Multi-Beam Aspects</w:t>
      </w:r>
    </w:p>
    <w:p w14:paraId="3E40DFDD" w14:textId="77777777" w:rsidR="00BF303B" w:rsidRDefault="006222A6">
      <w:pPr>
        <w:pStyle w:val="3"/>
        <w:rPr>
          <w:lang w:val="en-GB" w:eastAsia="zh-CN"/>
        </w:rPr>
      </w:pPr>
      <w:r>
        <w:rPr>
          <w:lang w:val="en-GB" w:eastAsia="zh-CN"/>
        </w:rPr>
        <w:t>R1-2102559 (Nokia, Nokia Shanghai Bell)</w:t>
      </w:r>
    </w:p>
    <w:tbl>
      <w:tblPr>
        <w:tblStyle w:val="aff2"/>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3"/>
        <w:rPr>
          <w:lang w:val="en-GB" w:eastAsia="zh-CN"/>
        </w:rPr>
      </w:pPr>
      <w:r>
        <w:rPr>
          <w:lang w:val="en-GB" w:eastAsia="zh-CN"/>
        </w:rPr>
        <w:t>R1-2102997 (Lenovo, Motorola Mobility)</w:t>
      </w:r>
    </w:p>
    <w:tbl>
      <w:tblPr>
        <w:tblStyle w:val="aff2"/>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3"/>
        <w:rPr>
          <w:lang w:val="en-GB" w:eastAsia="zh-CN"/>
        </w:rPr>
      </w:pPr>
      <w:r>
        <w:rPr>
          <w:lang w:val="en-GB" w:eastAsia="zh-CN"/>
        </w:rPr>
        <w:t>R1-2103097 (Apple)</w:t>
      </w:r>
    </w:p>
    <w:tbl>
      <w:tblPr>
        <w:tblStyle w:val="aff2"/>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3"/>
        <w:rPr>
          <w:lang w:val="en-GB" w:eastAsia="zh-CN"/>
        </w:rPr>
      </w:pPr>
      <w:r>
        <w:rPr>
          <w:lang w:val="en-GB" w:eastAsia="zh-CN"/>
        </w:rPr>
        <w:t>R1-2103230 (Samsung)</w:t>
      </w:r>
    </w:p>
    <w:tbl>
      <w:tblPr>
        <w:tblStyle w:val="aff2"/>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3"/>
        <w:rPr>
          <w:lang w:val="en-GB" w:eastAsia="zh-CN"/>
        </w:rPr>
      </w:pPr>
      <w:r>
        <w:rPr>
          <w:lang w:val="en-GB" w:eastAsia="zh-CN"/>
        </w:rPr>
        <w:t>R1-2103340 (LG)</w:t>
      </w:r>
    </w:p>
    <w:tbl>
      <w:tblPr>
        <w:tblStyle w:val="aff2"/>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2"/>
      </w:pPr>
      <w:r>
        <w:t>Topic D: Multi-Cell Operation, Cross-carrier scheduling</w:t>
      </w:r>
    </w:p>
    <w:p w14:paraId="600277DF" w14:textId="77777777" w:rsidR="00BF303B" w:rsidRDefault="006222A6">
      <w:pPr>
        <w:pStyle w:val="3"/>
        <w:rPr>
          <w:lang w:val="en-GB" w:eastAsia="zh-CN"/>
        </w:rPr>
      </w:pPr>
      <w:r>
        <w:rPr>
          <w:lang w:val="en-GB" w:eastAsia="zh-CN"/>
        </w:rPr>
        <w:t>R1-2102328 (Huawei, HiSilicon)</w:t>
      </w:r>
    </w:p>
    <w:tbl>
      <w:tblPr>
        <w:tblStyle w:val="aff2"/>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1"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1"/>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3"/>
        <w:rPr>
          <w:lang w:val="en-GB" w:eastAsia="zh-CN"/>
        </w:rPr>
      </w:pPr>
      <w:r>
        <w:rPr>
          <w:lang w:val="en-GB" w:eastAsia="zh-CN"/>
        </w:rPr>
        <w:t>R1-2102449 (Spreadtrum)</w:t>
      </w:r>
    </w:p>
    <w:tbl>
      <w:tblPr>
        <w:tblStyle w:val="aff2"/>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3"/>
        <w:rPr>
          <w:lang w:val="en-GB" w:eastAsia="zh-CN"/>
        </w:rPr>
      </w:pPr>
      <w:r>
        <w:rPr>
          <w:lang w:val="en-GB" w:eastAsia="zh-CN"/>
        </w:rPr>
        <w:t>R1-2102515 (vivo)</w:t>
      </w:r>
    </w:p>
    <w:tbl>
      <w:tblPr>
        <w:tblStyle w:val="aff2"/>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2"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2"/>
          </w:p>
        </w:tc>
      </w:tr>
    </w:tbl>
    <w:p w14:paraId="780625C7" w14:textId="77777777" w:rsidR="00BF303B" w:rsidRDefault="00BF303B">
      <w:pPr>
        <w:rPr>
          <w:lang w:eastAsia="zh-CN"/>
        </w:rPr>
      </w:pPr>
    </w:p>
    <w:p w14:paraId="1EE43E67" w14:textId="77777777" w:rsidR="00BF303B" w:rsidRDefault="006222A6">
      <w:pPr>
        <w:pStyle w:val="3"/>
        <w:rPr>
          <w:lang w:val="en-GB" w:eastAsia="zh-CN"/>
        </w:rPr>
      </w:pPr>
      <w:r>
        <w:rPr>
          <w:lang w:val="en-GB" w:eastAsia="zh-CN"/>
        </w:rPr>
        <w:t>R1-2103022 (Intel)</w:t>
      </w:r>
    </w:p>
    <w:tbl>
      <w:tblPr>
        <w:tblStyle w:val="aff2"/>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aff9"/>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aff9"/>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3"/>
        <w:rPr>
          <w:lang w:val="en-GB" w:eastAsia="zh-CN"/>
        </w:rPr>
      </w:pPr>
      <w:r>
        <w:rPr>
          <w:lang w:val="en-GB" w:eastAsia="zh-CN"/>
        </w:rPr>
        <w:lastRenderedPageBreak/>
        <w:t>R1-2103097 (Apple)</w:t>
      </w:r>
    </w:p>
    <w:tbl>
      <w:tblPr>
        <w:tblStyle w:val="aff2"/>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aff9"/>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aff9"/>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aff9"/>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aff9"/>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aff9"/>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3"/>
        <w:rPr>
          <w:lang w:val="en-GB" w:eastAsia="zh-CN"/>
        </w:rPr>
      </w:pPr>
      <w:r>
        <w:rPr>
          <w:lang w:val="en-GB" w:eastAsia="zh-CN"/>
        </w:rPr>
        <w:t>R1-2103158 (Qualcomm)</w:t>
      </w:r>
    </w:p>
    <w:tbl>
      <w:tblPr>
        <w:tblStyle w:val="aff2"/>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a8"/>
              <w:jc w:val="left"/>
              <w:rPr>
                <w:lang w:val="en-GB"/>
              </w:rPr>
            </w:pPr>
            <w:bookmarkStart w:id="203" w:name="_Toc68262204"/>
            <w:bookmarkStart w:id="204" w:name="_Toc68262271"/>
            <w:bookmarkStart w:id="205" w:name="_Toc68262118"/>
            <w:bookmarkStart w:id="206" w:name="_Toc68262098"/>
            <w:bookmarkStart w:id="207" w:name="_Toc68262158"/>
            <w:bookmarkStart w:id="208" w:name="_Toc68262238"/>
            <w:bookmarkStart w:id="209" w:name="_Toc68262217"/>
            <w:bookmarkStart w:id="210" w:name="_Toc68261801"/>
            <w:bookmarkStart w:id="211" w:name="_Toc68262409"/>
            <w:bookmarkStart w:id="212" w:name="_Toc68530790"/>
            <w:bookmarkStart w:id="213" w:name="_Toc68528599"/>
            <w:bookmarkStart w:id="214" w:name="_Toc68608258"/>
            <w:bookmarkStart w:id="215" w:name="_Toc68552636"/>
            <w:bookmarkStart w:id="216" w:name="_Toc68608270"/>
            <w:bookmarkStart w:id="217" w:name="_Toc68608208"/>
            <w:bookmarkStart w:id="218"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3"/>
            <w:bookmarkEnd w:id="204"/>
            <w:bookmarkEnd w:id="205"/>
            <w:bookmarkEnd w:id="206"/>
            <w:bookmarkEnd w:id="207"/>
            <w:bookmarkEnd w:id="208"/>
            <w:bookmarkEnd w:id="209"/>
            <w:bookmarkEnd w:id="210"/>
            <w:r>
              <w:rPr>
                <w:lang w:val="en-GB"/>
              </w:rPr>
              <w:t>.</w:t>
            </w:r>
            <w:bookmarkEnd w:id="211"/>
            <w:bookmarkEnd w:id="212"/>
            <w:bookmarkEnd w:id="213"/>
            <w:bookmarkEnd w:id="214"/>
            <w:bookmarkEnd w:id="215"/>
            <w:bookmarkEnd w:id="216"/>
            <w:bookmarkEnd w:id="217"/>
            <w:bookmarkEnd w:id="218"/>
          </w:p>
        </w:tc>
      </w:tr>
    </w:tbl>
    <w:p w14:paraId="14B6A97E" w14:textId="77777777" w:rsidR="00BF303B" w:rsidRDefault="00BF303B">
      <w:pPr>
        <w:rPr>
          <w:lang w:eastAsia="zh-CN"/>
        </w:rPr>
      </w:pPr>
    </w:p>
    <w:p w14:paraId="3E90F049" w14:textId="77777777" w:rsidR="00BF303B" w:rsidRDefault="006222A6">
      <w:pPr>
        <w:pStyle w:val="3"/>
        <w:rPr>
          <w:lang w:val="en-GB" w:eastAsia="zh-CN"/>
        </w:rPr>
      </w:pPr>
      <w:r>
        <w:rPr>
          <w:lang w:val="en-GB" w:eastAsia="zh-CN"/>
        </w:rPr>
        <w:t>R1-2103340 (LG)</w:t>
      </w:r>
    </w:p>
    <w:tbl>
      <w:tblPr>
        <w:tblStyle w:val="aff2"/>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3"/>
        <w:rPr>
          <w:lang w:val="en-GB" w:eastAsia="zh-CN"/>
        </w:rPr>
      </w:pPr>
      <w:r>
        <w:rPr>
          <w:lang w:val="en-GB" w:eastAsia="zh-CN"/>
        </w:rPr>
        <w:t>R1-2103488 (ZTE, Sanechips)</w:t>
      </w:r>
    </w:p>
    <w:tbl>
      <w:tblPr>
        <w:tblStyle w:val="aff2"/>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GHz 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needs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宋体" w:hAnsi="宋体" w:cs="宋体"/>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宋体" w:hint="eastAsia"/>
                <w:b/>
                <w:lang w:eastAsia="zh-CN"/>
              </w:rPr>
              <w:t xml:space="preserve">Proposal 4: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 xml:space="preserve"> RS trigger delay</w:t>
            </w:r>
            <w:r>
              <w:rPr>
                <w:rFonts w:eastAsia="宋体"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2"/>
      </w:pPr>
      <w:r>
        <w:t>Topic E: Other</w:t>
      </w:r>
    </w:p>
    <w:p w14:paraId="7F5D79C1" w14:textId="77777777" w:rsidR="00BF303B" w:rsidRDefault="006222A6">
      <w:pPr>
        <w:pStyle w:val="3"/>
        <w:rPr>
          <w:lang w:val="en-GB" w:eastAsia="zh-CN"/>
        </w:rPr>
      </w:pPr>
      <w:r>
        <w:rPr>
          <w:lang w:val="en-GB" w:eastAsia="zh-CN"/>
        </w:rPr>
        <w:t>R1-2103158 (Qualcomm)</w:t>
      </w:r>
    </w:p>
    <w:tbl>
      <w:tblPr>
        <w:tblStyle w:val="aff2"/>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a8"/>
              <w:jc w:val="left"/>
            </w:pPr>
            <w:bookmarkStart w:id="219" w:name="_Toc68262161"/>
            <w:bookmarkStart w:id="220" w:name="_Toc68262207"/>
            <w:bookmarkStart w:id="221" w:name="_Toc61547152"/>
            <w:bookmarkStart w:id="222" w:name="_Toc68262241"/>
            <w:bookmarkStart w:id="223" w:name="_Toc61859951"/>
            <w:bookmarkStart w:id="224" w:name="_Toc68528602"/>
            <w:bookmarkStart w:id="225" w:name="_Toc68262220"/>
            <w:bookmarkStart w:id="226" w:name="_Toc68530842"/>
            <w:bookmarkStart w:id="227" w:name="_Toc68262412"/>
            <w:bookmarkStart w:id="228" w:name="_Toc61547167"/>
            <w:bookmarkStart w:id="229" w:name="_Toc61859762"/>
            <w:bookmarkStart w:id="230" w:name="_Toc61547201"/>
            <w:bookmarkStart w:id="231" w:name="_Toc68530793"/>
            <w:bookmarkStart w:id="232" w:name="_Toc61822883"/>
            <w:bookmarkStart w:id="233" w:name="_Toc68262101"/>
            <w:bookmarkStart w:id="234" w:name="_Toc68552639"/>
            <w:bookmarkStart w:id="235" w:name="_Toc68262274"/>
            <w:bookmarkStart w:id="236" w:name="_Toc61546066"/>
            <w:bookmarkStart w:id="237" w:name="_Toc68261804"/>
            <w:bookmarkStart w:id="238" w:name="_Toc61869397"/>
            <w:bookmarkStart w:id="239" w:name="_Toc68262121"/>
            <w:bookmarkStart w:id="240" w:name="_Toc68608261"/>
            <w:bookmarkStart w:id="241" w:name="_Toc68608273"/>
            <w:bookmarkStart w:id="242"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15pt;height:137.1pt;mso-width-percent:0;mso-height-percent:0;mso-width-percent:0;mso-height-percent:0" o:ole="">
                  <v:imagedata r:id="rId50" o:title=""/>
                </v:shape>
                <o:OLEObject Type="Embed" ProgID="Visio.Drawing.15" ShapeID="_x0000_i1038" DrawAspect="Content" ObjectID="_1680352000" r:id="rId51"/>
              </w:object>
            </w:r>
          </w:p>
          <w:p w14:paraId="4D3F37AC" w14:textId="77777777" w:rsidR="00BF303B" w:rsidRDefault="006222A6">
            <w:pPr>
              <w:pStyle w:val="a8"/>
              <w:rPr>
                <w:lang w:val="en-GB"/>
              </w:rPr>
            </w:pPr>
            <w:bookmarkStart w:id="243" w:name="_Ref61547006"/>
            <w:r>
              <w:t xml:space="preserve">Figure </w:t>
            </w:r>
            <w:fldSimple w:instr=" SEQ Figure \* ARABIC ">
              <w:r>
                <w:t>3</w:t>
              </w:r>
            </w:fldSimple>
            <w:bookmarkEnd w:id="243"/>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B08F5" w14:textId="77777777" w:rsidR="002B1EDE" w:rsidRDefault="002B1EDE" w:rsidP="006222A6">
      <w:pPr>
        <w:spacing w:after="0" w:line="240" w:lineRule="auto"/>
      </w:pPr>
      <w:r>
        <w:separator/>
      </w:r>
    </w:p>
  </w:endnote>
  <w:endnote w:type="continuationSeparator" w:id="0">
    <w:p w14:paraId="63690B63" w14:textId="77777777" w:rsidR="002B1EDE" w:rsidRDefault="002B1EDE"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altName w:val="Microsoft Ya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4DD02" w14:textId="77777777" w:rsidR="002B1EDE" w:rsidRDefault="002B1EDE" w:rsidP="006222A6">
      <w:pPr>
        <w:spacing w:after="0" w:line="240" w:lineRule="auto"/>
      </w:pPr>
      <w:r>
        <w:separator/>
      </w:r>
    </w:p>
  </w:footnote>
  <w:footnote w:type="continuationSeparator" w:id="0">
    <w:p w14:paraId="27755059" w14:textId="77777777" w:rsidR="002B1EDE" w:rsidRDefault="002B1EDE"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0"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6"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4"/>
  </w:num>
  <w:num w:numId="4">
    <w:abstractNumId w:val="59"/>
  </w:num>
  <w:num w:numId="5">
    <w:abstractNumId w:val="46"/>
  </w:num>
  <w:num w:numId="6">
    <w:abstractNumId w:val="35"/>
  </w:num>
  <w:num w:numId="7">
    <w:abstractNumId w:val="38"/>
  </w:num>
  <w:num w:numId="8">
    <w:abstractNumId w:val="67"/>
  </w:num>
  <w:num w:numId="9">
    <w:abstractNumId w:val="39"/>
  </w:num>
  <w:num w:numId="10">
    <w:abstractNumId w:val="61"/>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2"/>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8"/>
  </w:num>
  <w:num w:numId="32">
    <w:abstractNumId w:val="8"/>
  </w:num>
  <w:num w:numId="33">
    <w:abstractNumId w:val="4"/>
  </w:num>
  <w:num w:numId="34">
    <w:abstractNumId w:val="33"/>
  </w:num>
  <w:num w:numId="35">
    <w:abstractNumId w:val="22"/>
  </w:num>
  <w:num w:numId="36">
    <w:abstractNumId w:val="18"/>
  </w:num>
  <w:num w:numId="37">
    <w:abstractNumId w:val="65"/>
  </w:num>
  <w:num w:numId="38">
    <w:abstractNumId w:val="27"/>
  </w:num>
  <w:num w:numId="39">
    <w:abstractNumId w:val="49"/>
  </w:num>
  <w:num w:numId="40">
    <w:abstractNumId w:val="63"/>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6"/>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60"/>
  </w:num>
  <w:num w:numId="62">
    <w:abstractNumId w:val="2"/>
  </w:num>
  <w:num w:numId="63">
    <w:abstractNumId w:val="11"/>
  </w:num>
  <w:num w:numId="64">
    <w:abstractNumId w:val="10"/>
  </w:num>
  <w:num w:numId="65">
    <w:abstractNumId w:val="23"/>
  </w:num>
  <w:num w:numId="66">
    <w:abstractNumId w:val="48"/>
  </w:num>
  <w:num w:numId="67">
    <w:abstractNumId w:val="7"/>
  </w:num>
  <w:num w:numId="68">
    <w:abstractNumId w:val="57"/>
  </w:num>
  <w:numIdMacAtCleanup w:val="6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22A6"/>
    <w:pPr>
      <w:autoSpaceDE w:val="0"/>
      <w:autoSpaceDN w:val="0"/>
      <w:adjustRightInd w:val="0"/>
      <w:snapToGrid w:val="0"/>
      <w:spacing w:after="120"/>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basedOn w:val="a2"/>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a9">
    <w:name w:val="题注 字符"/>
    <w:link w:val="a8"/>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f9">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affc">
    <w:name w:val="No Spacing"/>
    <w:uiPriority w:val="1"/>
    <w:qFormat/>
    <w:rPr>
      <w:rFonts w:eastAsia="MS Mincho"/>
      <w:lang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正文文本缩进 2 字符"/>
    <w:basedOn w:val="a1"/>
    <w:link w:val="26"/>
    <w:qFormat/>
    <w:rPr>
      <w:rFonts w:eastAsia="Times New Roman"/>
      <w:kern w:val="2"/>
      <w:lang w:eastAsia="ja-JP"/>
    </w:rPr>
  </w:style>
  <w:style w:type="character" w:customStyle="1" w:styleId="36">
    <w:name w:val="正文文本缩进 3 字符"/>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val="en-US" w:eastAsia="en-US"/>
    </w:rPr>
  </w:style>
  <w:style w:type="character" w:customStyle="1" w:styleId="50">
    <w:name w:val="标题 5 字符"/>
    <w:link w:val="5"/>
    <w:qFormat/>
    <w:rPr>
      <w:b/>
      <w:bCs/>
      <w:i/>
      <w:iCs/>
      <w:sz w:val="26"/>
      <w:szCs w:val="26"/>
      <w:lang w:val="en-US" w:eastAsia="en-US"/>
    </w:rPr>
  </w:style>
  <w:style w:type="character" w:customStyle="1" w:styleId="60">
    <w:name w:val="标题 6 字符"/>
    <w:link w:val="6"/>
    <w:qFormat/>
    <w:rPr>
      <w:b/>
      <w:bCs/>
      <w:sz w:val="22"/>
      <w:szCs w:val="22"/>
      <w:lang w:val="en-US" w:eastAsia="en-US"/>
    </w:rPr>
  </w:style>
  <w:style w:type="character" w:customStyle="1" w:styleId="70">
    <w:name w:val="标题 7 字符"/>
    <w:link w:val="7"/>
    <w:qFormat/>
    <w:rPr>
      <w:sz w:val="24"/>
      <w:szCs w:val="24"/>
      <w:lang w:val="en-US" w:eastAsia="en-US"/>
    </w:rPr>
  </w:style>
  <w:style w:type="character" w:customStyle="1" w:styleId="80">
    <w:name w:val="标题 8 字符"/>
    <w:link w:val="8"/>
    <w:qFormat/>
    <w:rPr>
      <w:i/>
      <w:iCs/>
      <w:sz w:val="24"/>
      <w:szCs w:val="24"/>
      <w:lang w:val="en-US" w:eastAsia="en-US"/>
    </w:rPr>
  </w:style>
  <w:style w:type="character" w:customStyle="1" w:styleId="90">
    <w:name w:val="标题 9 字符"/>
    <w:link w:val="9"/>
    <w:qFormat/>
    <w:rPr>
      <w:rFonts w:ascii="Arial" w:hAnsi="Arial"/>
      <w:sz w:val="22"/>
      <w:szCs w:val="22"/>
      <w:lang w:val="en-US"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29">
    <w:name w:val="正文文本 2 字符"/>
    <w:link w:val="28"/>
    <w:qFormat/>
    <w:rPr>
      <w:sz w:val="22"/>
      <w:lang w:eastAsia="en-US"/>
    </w:rPr>
  </w:style>
  <w:style w:type="character" w:customStyle="1" w:styleId="aff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5.wmf"/><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80048A-372D-480B-8DF0-33E3EE968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89</Pages>
  <Words>31078</Words>
  <Characters>177148</Characters>
  <Application>Microsoft Office Word</Application>
  <DocSecurity>0</DocSecurity>
  <Lines>1476</Lines>
  <Paragraphs>415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207811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Shupeng Li</cp:lastModifiedBy>
  <cp:revision>3</cp:revision>
  <cp:lastPrinted>2016-08-13T07:06:00Z</cp:lastPrinted>
  <dcterms:created xsi:type="dcterms:W3CDTF">2021-04-19T19:32:00Z</dcterms:created>
  <dcterms:modified xsi:type="dcterms:W3CDTF">2021-04-19T19:40:00Z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