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ZTE, Sanechips</w:t>
            </w:r>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Huawei, HiSilicon</w:t>
            </w:r>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r w:rsidRPr="00EB2676">
              <w:rPr>
                <w:sz w:val="20"/>
                <w:lang w:eastAsia="zh-CN"/>
              </w:rPr>
              <w:t>Spreadtrum</w:t>
            </w:r>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ZTE, Sanechips</w:t>
            </w:r>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Huawei, HiSilicon</w:t>
            </w:r>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We support the proposal. Okay with Convida’s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We also support Convida’s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r w:rsidRPr="007E3F39">
              <w:rPr>
                <w:sz w:val="20"/>
                <w:szCs w:val="20"/>
              </w:rPr>
              <w:lastRenderedPageBreak/>
              <w:t>Spreadtrum</w:t>
            </w:r>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Specific numbers for X, Y may depend on UE capability and gNB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BDB0D50" w:rsidR="00BF303B" w:rsidRDefault="00637A29" w:rsidP="00637A29">
      <w:pPr>
        <w:pStyle w:val="Heading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Alt 1 supported by Huawei, HiSilicon, Nokia, Nokia Shanghai Bell, CATT, MediaTek, Apple, LG, Interdigital, ZTE, Sanechips, OPPO</w:t>
      </w:r>
    </w:p>
    <w:p w14:paraId="4334770F" w14:textId="77777777" w:rsidR="00BF303B" w:rsidRDefault="006222A6">
      <w:pPr>
        <w:rPr>
          <w:lang w:val="en-GB" w:eastAsia="zh-CN"/>
        </w:rPr>
      </w:pPr>
      <w:r>
        <w:rPr>
          <w:lang w:val="en-GB" w:eastAsia="zh-CN"/>
        </w:rPr>
        <w:t>Alt 2 supported by vivo, CATT, Futurewei, Panasonic, Lenovo, Motorola Mobility, Apple, Qualcomm, Samsung, Convida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sidRPr="00637A29">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3pt;height:99.1pt;mso-width-percent:0;mso-height-percent:0;mso-width-percent:0;mso-height-percent:0" o:ole="">
                  <v:imagedata r:id="rId10" o:title=""/>
                </v:shape>
                <o:OLEObject Type="Embed" ProgID="Visio.Drawing.11" ShapeID="_x0000_i1025" DrawAspect="Content" ObjectID="_1680351885"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Heading4"/>
        <w:rPr>
          <w:lang w:val="en-GB" w:eastAsia="zh-CN"/>
        </w:rPr>
      </w:pPr>
      <w:r>
        <w:rPr>
          <w:lang w:val="en-GB" w:eastAsia="zh-CN"/>
        </w:rPr>
        <w:t>Second</w:t>
      </w:r>
      <w:r>
        <w:rPr>
          <w:lang w:val="en-GB" w:eastAsia="zh-CN"/>
        </w:rPr>
        <w:t xml:space="preserve">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ListParagraph"/>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ListParagraph"/>
              <w:widowControl/>
              <w:numPr>
                <w:ilvl w:val="1"/>
                <w:numId w:val="18"/>
              </w:numPr>
            </w:pPr>
            <w:r>
              <w:t>Each slot group consists of X slots</w:t>
            </w:r>
          </w:p>
          <w:p w14:paraId="7DAB6D54" w14:textId="77777777" w:rsidR="00637A29" w:rsidRDefault="00637A29" w:rsidP="00637A29">
            <w:pPr>
              <w:pStyle w:val="ListParagraph"/>
              <w:widowControl/>
              <w:numPr>
                <w:ilvl w:val="1"/>
                <w:numId w:val="18"/>
              </w:numPr>
            </w:pPr>
            <w:r>
              <w:t>Slot groups are consecutive and non-overlapping</w:t>
            </w:r>
          </w:p>
          <w:p w14:paraId="348E344A" w14:textId="77777777" w:rsidR="00637A29" w:rsidRDefault="00637A29" w:rsidP="00637A29">
            <w:pPr>
              <w:pStyle w:val="ListParagraph"/>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ListParagraph"/>
              <w:widowControl/>
              <w:numPr>
                <w:ilvl w:val="1"/>
                <w:numId w:val="18"/>
              </w:numPr>
            </w:pPr>
            <w:r>
              <w:t>FFS: Supported values/constraints of X and Y, e.g. Y&lt;=X, Y=X</w:t>
            </w:r>
          </w:p>
          <w:p w14:paraId="0BC217AD" w14:textId="77777777" w:rsidR="00637A29" w:rsidRDefault="00637A29" w:rsidP="00637A29">
            <w:pPr>
              <w:pStyle w:val="ListParagraph"/>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ListParagraph"/>
              <w:widowControl/>
              <w:numPr>
                <w:ilvl w:val="1"/>
                <w:numId w:val="18"/>
              </w:numPr>
            </w:pPr>
            <w:r>
              <w:t>FFS: Further definition of capabilities</w:t>
            </w:r>
          </w:p>
          <w:p w14:paraId="64EF9D6C" w14:textId="77777777" w:rsidR="00637A29" w:rsidRDefault="00637A29" w:rsidP="00637A29">
            <w:pPr>
              <w:pStyle w:val="ListParagraph"/>
              <w:widowControl/>
              <w:numPr>
                <w:ilvl w:val="0"/>
                <w:numId w:val="18"/>
              </w:numPr>
            </w:pPr>
            <w:r>
              <w:t>Alt 2: Use an (X, Y) span as the baseline to define the new capability</w:t>
            </w:r>
          </w:p>
          <w:p w14:paraId="577733A4" w14:textId="77777777" w:rsidR="00637A29" w:rsidRDefault="00637A29" w:rsidP="00637A29">
            <w:pPr>
              <w:pStyle w:val="ListParagraph"/>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ListParagraph"/>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ListParagraph"/>
              <w:widowControl/>
              <w:numPr>
                <w:ilvl w:val="1"/>
                <w:numId w:val="18"/>
              </w:numPr>
            </w:pPr>
            <w:r>
              <w:t>Y &lt;= X</w:t>
            </w:r>
          </w:p>
          <w:p w14:paraId="20D4C8D0" w14:textId="77777777" w:rsidR="00637A29" w:rsidRDefault="00637A29" w:rsidP="00637A29">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ListParagraph"/>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TableGrid"/>
        <w:tblW w:w="14581" w:type="dxa"/>
        <w:tblLayout w:type="fixed"/>
        <w:tblLook w:val="04A0" w:firstRow="1" w:lastRow="0" w:firstColumn="1" w:lastColumn="0" w:noHBand="0" w:noVBand="1"/>
      </w:tblPr>
      <w:tblGrid>
        <w:gridCol w:w="2405"/>
        <w:gridCol w:w="12176"/>
      </w:tblGrid>
      <w:tr w:rsidR="00637A29" w14:paraId="7C817075" w14:textId="77777777" w:rsidTr="00C115DB">
        <w:tc>
          <w:tcPr>
            <w:tcW w:w="2405" w:type="dxa"/>
            <w:shd w:val="clear" w:color="auto" w:fill="FFC000"/>
          </w:tcPr>
          <w:p w14:paraId="260820AF" w14:textId="77777777" w:rsidR="00637A29" w:rsidRDefault="00637A29" w:rsidP="00C115DB">
            <w:pPr>
              <w:rPr>
                <w:b/>
                <w:bCs/>
              </w:rPr>
            </w:pPr>
            <w:r>
              <w:rPr>
                <w:b/>
                <w:bCs/>
              </w:rPr>
              <w:t>Company</w:t>
            </w:r>
          </w:p>
        </w:tc>
        <w:tc>
          <w:tcPr>
            <w:tcW w:w="12176" w:type="dxa"/>
            <w:shd w:val="clear" w:color="auto" w:fill="FFC000"/>
          </w:tcPr>
          <w:p w14:paraId="20DA948C" w14:textId="77777777" w:rsidR="00637A29" w:rsidRDefault="00637A29" w:rsidP="00C115DB">
            <w:pPr>
              <w:rPr>
                <w:b/>
                <w:bCs/>
              </w:rPr>
            </w:pPr>
            <w:r>
              <w:rPr>
                <w:b/>
                <w:bCs/>
              </w:rPr>
              <w:t>Comment</w:t>
            </w:r>
          </w:p>
        </w:tc>
      </w:tr>
      <w:tr w:rsidR="00637A29" w14:paraId="2954A294" w14:textId="77777777" w:rsidTr="00C115DB">
        <w:tc>
          <w:tcPr>
            <w:tcW w:w="2405" w:type="dxa"/>
          </w:tcPr>
          <w:p w14:paraId="0CC44227" w14:textId="323FE02B" w:rsidR="00637A29" w:rsidRDefault="00637A29" w:rsidP="00C115DB"/>
        </w:tc>
        <w:tc>
          <w:tcPr>
            <w:tcW w:w="12176" w:type="dxa"/>
          </w:tcPr>
          <w:p w14:paraId="5878B215" w14:textId="7E4B8525" w:rsidR="00637A29" w:rsidRDefault="00637A29" w:rsidP="00C115DB">
            <w:pPr>
              <w:rPr>
                <w:lang w:eastAsia="zh-CN"/>
              </w:rPr>
            </w:pPr>
          </w:p>
        </w:tc>
      </w:tr>
      <w:tr w:rsidR="00637A29" w14:paraId="37D48BB8" w14:textId="77777777" w:rsidTr="00C115DB">
        <w:tc>
          <w:tcPr>
            <w:tcW w:w="2405" w:type="dxa"/>
          </w:tcPr>
          <w:p w14:paraId="2EEDBE2A" w14:textId="06ECCC08" w:rsidR="00637A29" w:rsidRDefault="00637A29" w:rsidP="00C115DB">
            <w:pPr>
              <w:rPr>
                <w:sz w:val="20"/>
              </w:rPr>
            </w:pPr>
          </w:p>
        </w:tc>
        <w:tc>
          <w:tcPr>
            <w:tcW w:w="12176" w:type="dxa"/>
          </w:tcPr>
          <w:p w14:paraId="67B5784A" w14:textId="578791AF" w:rsidR="00637A29" w:rsidRDefault="00637A29" w:rsidP="00C115DB">
            <w:pPr>
              <w:rPr>
                <w:sz w:val="20"/>
                <w:lang w:eastAsia="zh-CN"/>
              </w:rPr>
            </w:pPr>
          </w:p>
        </w:tc>
      </w:tr>
    </w:tbl>
    <w:p w14:paraId="5DA65659" w14:textId="77777777" w:rsidR="00637A29" w:rsidRPr="001C072F" w:rsidRDefault="00637A29">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lastRenderedPageBreak/>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lastRenderedPageBreak/>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lastRenderedPageBreak/>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lastRenderedPageBreak/>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lastRenderedPageBreak/>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lastRenderedPageBreak/>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lastRenderedPageBreak/>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lastRenderedPageBreak/>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lastRenderedPageBreak/>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lastRenderedPageBreak/>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We think it can be discussed later after each field in DCI format 2_0 are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 xml:space="preserve">Lenovo, Motorola </w:t>
            </w:r>
            <w:r>
              <w:rPr>
                <w:lang w:eastAsia="zh-CN"/>
              </w:rPr>
              <w:lastRenderedPageBreak/>
              <w:t>Mobility</w:t>
            </w:r>
          </w:p>
        </w:tc>
        <w:tc>
          <w:tcPr>
            <w:tcW w:w="12176" w:type="dxa"/>
          </w:tcPr>
          <w:p w14:paraId="4A4823F4" w14:textId="388CBE83" w:rsidR="00130D6A" w:rsidRDefault="0032305B" w:rsidP="00130D6A">
            <w:pPr>
              <w:rPr>
                <w:lang w:eastAsia="zh-CN"/>
              </w:rPr>
            </w:pPr>
            <w:r w:rsidRPr="0032305B">
              <w:rPr>
                <w:lang w:eastAsia="zh-CN"/>
              </w:rPr>
              <w:lastRenderedPageBreak/>
              <w:t xml:space="preserve">We are open to beam-specific enhancements carried in DCI format 2_0 as suggested in the FL proposal, but a decision om these could </w:t>
            </w:r>
            <w:r w:rsidRPr="0032305B">
              <w:rPr>
                <w:lang w:eastAsia="zh-CN"/>
              </w:rPr>
              <w:lastRenderedPageBreak/>
              <w:t>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lastRenderedPageBreak/>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lastRenderedPageBreak/>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lastRenderedPageBreak/>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1" w:name="_Ref68012702"/>
            <w:r>
              <w:t xml:space="preserve">Figure </w:t>
            </w:r>
            <w:fldSimple w:instr=" SEQ Figure \* ARABIC ">
              <w:r>
                <w:t>1</w:t>
              </w:r>
            </w:fldSimple>
            <w:bookmarkEnd w:id="1"/>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3.5pt;mso-width-percent:0;mso-height-percent:0;mso-width-percent:0;mso-height-percent:0" o:ole="">
                  <v:imagedata r:id="rId15" o:title=""/>
                </v:shape>
                <o:OLEObject Type="Embed" ProgID="Visio.Drawing.15" ShapeID="_x0000_i1026" DrawAspect="Content" ObjectID="_1680351886"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(i.e.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fldSimple w:instr=" SEQ Table \* ARABIC ">
              <w:r>
                <w:t>2</w:t>
              </w:r>
            </w:fldSimple>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8.45pt;height:129.05pt;mso-width-percent:0;mso-height-percent:0;mso-width-percent:0;mso-height-percent:0" o:ole="">
                  <v:imagedata r:id="rId17" o:title=""/>
                </v:shape>
                <o:OLEObject Type="Embed" ProgID="Visio.Drawing.11" ShapeID="_x0000_i1027" DrawAspect="Content" ObjectID="_1680351887" r:id="rId18"/>
              </w:object>
            </w:r>
          </w:p>
          <w:p w14:paraId="28BCF308" w14:textId="77777777" w:rsidR="00BF303B" w:rsidRDefault="006222A6">
            <w:pPr>
              <w:pStyle w:val="Caption"/>
              <w:rPr>
                <w:lang w:eastAsia="zh-CN"/>
              </w:rPr>
            </w:pPr>
            <w:bookmarkStart w:id="14" w:name="_Ref67683938"/>
            <w:r>
              <w:t xml:space="preserve">Figure </w:t>
            </w:r>
            <w:fldSimple w:instr=" SEQ Figure \* ARABIC ">
              <w:r>
                <w:t>1</w:t>
              </w:r>
            </w:fldSimple>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0.55pt;height:101.9pt;mso-width-percent:0;mso-height-percent:0;mso-width-percent:0;mso-height-percent:0" o:ole="">
                  <v:imagedata r:id="rId10" o:title=""/>
                </v:shape>
                <o:OLEObject Type="Embed" ProgID="Visio.Drawing.11" ShapeID="_x0000_i1028" DrawAspect="Content" ObjectID="_1680351888" r:id="rId19"/>
              </w:object>
            </w:r>
          </w:p>
          <w:p w14:paraId="00E681AA" w14:textId="77777777" w:rsidR="00BF303B" w:rsidRDefault="006222A6">
            <w:pPr>
              <w:pStyle w:val="Caption"/>
              <w:rPr>
                <w:lang w:eastAsia="zh-CN"/>
              </w:rPr>
            </w:pPr>
            <w:bookmarkStart w:id="15" w:name="_Ref67870726"/>
            <w:r>
              <w:t xml:space="preserve">Figure </w:t>
            </w:r>
            <w:fldSimple w:instr=" SEQ Figure \* ARABIC ">
              <w:r>
                <w:t>2</w:t>
              </w:r>
            </w:fldSimple>
            <w:bookmarkEnd w:id="15"/>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8"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19"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Alt 2 may also require additional PDCCH processing load restriction/checking as Alt 1B. Further clarification from the proponent companies are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For Rel-17 UE with multi-slot PDCCH processing capabilities, overbooking and PDCCH dropping rules similar to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Overbooking is not allowed for SCells.</w:t>
            </w:r>
            <w:bookmarkEnd w:id="31"/>
          </w:p>
          <w:p w14:paraId="77DA9939" w14:textId="77777777" w:rsidR="00BF303B" w:rsidRDefault="006222A6">
            <w:pPr>
              <w:pStyle w:val="Observation"/>
              <w:numPr>
                <w:ilvl w:val="1"/>
                <w:numId w:val="38"/>
              </w:numPr>
            </w:pPr>
            <w:bookmarkStart w:id="32" w:name="_Toc68610481"/>
            <w:r>
              <w:t>For the PCell,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BodyText"/>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5" w:name="_Ref60921413"/>
            <w:bookmarkStart w:id="36" w:name="_Hlk61354178"/>
            <w:r>
              <w:t xml:space="preserve">Figure </w:t>
            </w:r>
            <w:fldSimple w:instr=" SEQ Figure \* ARABIC ">
              <w:r>
                <w:t>14</w:t>
              </w:r>
            </w:fldSimple>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6"/>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7" w:name="_Ref60824877"/>
            <w:r>
              <w:t xml:space="preserve"> Table </w:t>
            </w:r>
            <w:fldSimple w:instr=" SEQ Table \* ARABIC ">
              <w:r>
                <w:t>1</w:t>
              </w:r>
            </w:fldSimple>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E17AC1">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E17AC1">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E17AC1">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E17AC1">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5pt;height:101.9pt;mso-width-percent:0;mso-height-percent:0;mso-width-percent:0;mso-height-percent:0" o:ole="">
                  <v:imagedata r:id="rId22" o:title=""/>
                </v:shape>
                <o:OLEObject Type="Embed" ProgID="Visio.Drawing.15" ShapeID="_x0000_i1029" DrawAspect="Content" ObjectID="_1680351889"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8.05pt;height:2in;mso-width-percent:0;mso-height-percent:0;mso-width-percent:0;mso-height-percent:0" o:ole="">
                  <v:imagedata r:id="rId24" o:title=""/>
                </v:shape>
                <o:OLEObject Type="Embed" ProgID="Visio.Drawing.15" ShapeID="_x0000_i1030" DrawAspect="Content" ObjectID="_1680351890"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2" w:name="_Ref68540663"/>
            <w:r>
              <w:t xml:space="preserve">Figure </w:t>
            </w:r>
            <w:fldSimple w:instr=" SEQ Figure \* ARABIC ">
              <w:r>
                <w:t>1</w:t>
              </w:r>
            </w:fldSimple>
            <w:bookmarkEnd w:id="42"/>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fldSimple w:instr=" SEQ Proposal \* ARABIC ">
              <w:r>
                <w:t>1</w:t>
              </w:r>
            </w:fldSimple>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fldSimple w:instr=" SEQ Proposal \* ARABIC ">
              <w:r>
                <w:t>2</w:t>
              </w:r>
            </w:fldSimple>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Caption"/>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Caption"/>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Caption"/>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fldSimple w:instr=" SEQ Proposal \* ARABIC ">
              <w:r>
                <w:t>5</w:t>
              </w:r>
            </w:fldSimple>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fldSimple w:instr=" SEQ Proposal \* ARABIC ">
              <w:r>
                <w:t>7</w:t>
              </w:r>
            </w:fldSimple>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length can be signalled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05pt;height:109.4pt;mso-width-percent:0;mso-height-percent:0;mso-width-percent:0;mso-height-percent:0" o:ole="">
                  <v:imagedata r:id="rId31" o:title=""/>
                </v:shape>
                <o:OLEObject Type="Embed" ProgID="Visio.Drawing.15" ShapeID="_x0000_i1031" DrawAspect="Content" ObjectID="_1680351891"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(InterDigital)</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5" w:name="_Ref68018795"/>
            <w:r>
              <w:t xml:space="preserve">Figure </w:t>
            </w:r>
            <w:fldSimple w:instr=" SEQ Figure \* ARABIC ">
              <w:r>
                <w:t>2</w:t>
              </w:r>
            </w:fldSimple>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3pt;height:86.95pt;mso-width-percent:0;mso-height-percent:0;mso-width-percent:0;mso-height-percent:0" o:ole="">
                  <v:imagedata r:id="rId34" o:title=""/>
                </v:shape>
                <o:OLEObject Type="Embed" ProgID="Visio.Drawing.11" ShapeID="_x0000_i1032" DrawAspect="Content" ObjectID="_1680351892" r:id="rId35"/>
              </w:object>
            </w:r>
          </w:p>
          <w:p w14:paraId="02DADE7B" w14:textId="77777777" w:rsidR="00BF303B" w:rsidRDefault="006222A6">
            <w:pPr>
              <w:pStyle w:val="Caption"/>
              <w:rPr>
                <w:lang w:eastAsia="zh-CN"/>
              </w:rPr>
            </w:pPr>
            <w:bookmarkStart w:id="178" w:name="_Ref67922454"/>
            <w:bookmarkStart w:id="179" w:name="_Ref68631385"/>
            <w:r>
              <w:t xml:space="preserve">Figure </w:t>
            </w:r>
            <w:fldSimple w:instr=" SEQ Figure \* ARABIC ">
              <w:r>
                <w:t>3</w:t>
              </w:r>
            </w:fldSimple>
            <w:bookmarkEnd w:id="178"/>
            <w:r>
              <w:rPr>
                <w:lang w:eastAsia="zh-CN"/>
              </w:rPr>
              <w:t>: Example for MO configuration (T_periodicity=</w:t>
            </w:r>
            <w:r>
              <w:rPr>
                <w:rFonts w:hint="eastAsia"/>
                <w:lang w:eastAsia="zh-CN"/>
              </w:rPr>
              <w:t>12 slots</w:t>
            </w:r>
            <w:r>
              <w:rPr>
                <w:lang w:eastAsia="zh-CN"/>
              </w:rPr>
              <w:t>, k_offset=0)</w:t>
            </w:r>
            <w:bookmarkEnd w:id="179"/>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1" w:name="_Ref68624864"/>
            <w:r>
              <w:t xml:space="preserve">Figure </w:t>
            </w:r>
            <w:fldSimple w:instr=" SEQ Figure \* ARABIC ">
              <w:r>
                <w:t>2</w:t>
              </w:r>
            </w:fldSimple>
            <w:bookmarkEnd w:id="181"/>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8.45pt;height:201.05pt;mso-width-percent:0;mso-height-percent:0;mso-width-percent:0;mso-height-percent:0" o:ole="">
                  <v:imagedata r:id="rId37" o:title=""/>
                </v:shape>
                <o:OLEObject Type="Embed" ProgID="Visio.Drawing.15" ShapeID="_x0000_i1033" DrawAspect="Content" ObjectID="_1680351893" r:id="rId38"/>
              </w:object>
            </w:r>
          </w:p>
          <w:p w14:paraId="0A89E913" w14:textId="77777777" w:rsidR="00BF303B" w:rsidRDefault="006222A6">
            <w:pPr>
              <w:pStyle w:val="Caption"/>
            </w:pPr>
            <w:bookmarkStart w:id="182" w:name="_Ref68206910"/>
            <w:r>
              <w:t xml:space="preserve">Figure </w:t>
            </w:r>
            <w:fldSimple w:instr=" SEQ Figure \* ARABIC ">
              <w:r>
                <w:t>1</w:t>
              </w:r>
            </w:fldSimple>
            <w:bookmarkEnd w:id="182"/>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fldSimple w:instr=" SEQ Proposal \* ARABIC ">
              <w:r>
                <w:t>8</w:t>
              </w:r>
            </w:fldSimple>
            <w:r>
              <w:t>: If 480 kHz or 960 kHz is supported for initial access in the SPCell,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5pt;height:2in;mso-width-percent:0;mso-height-percent:0;mso-width-percent:0;mso-height-percent:0" o:ole="">
                  <v:imagedata r:id="rId39" o:title=""/>
                </v:shape>
                <o:OLEObject Type="Embed" ProgID="Visio.Drawing.15" ShapeID="_x0000_i1034" DrawAspect="Content" ObjectID="_1680351894"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5pt;height:101.9pt;mso-width-percent:0;mso-height-percent:0;mso-width-percent:0;mso-height-percent:0" o:ole="">
                  <v:imagedata r:id="rId43" o:title=""/>
                </v:shape>
                <o:OLEObject Type="Embed" ProgID="Visio.Drawing.15" ShapeID="_x0000_i1035" DrawAspect="Content" ObjectID="_1680351895"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9.45pt;height:365.6pt;mso-width-percent:0;mso-height-percent:0;mso-width-percent:0;mso-height-percent:0" o:ole="">
                  <v:imagedata r:id="rId45" o:title=""/>
                </v:shape>
                <o:OLEObject Type="Embed" ProgID="Visio.Drawing.15" ShapeID="_x0000_i1036" DrawAspect="Content" ObjectID="_1680351896"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4pt;height:2in;mso-width-percent:0;mso-height-percent:0;mso-width-percent:0;mso-height-percent:0" o:ole="">
                  <v:imagedata r:id="rId48" o:title=""/>
                </v:shape>
                <o:OLEObject Type="Embed" ProgID="Visio.Drawing.15" ShapeID="_x0000_i1037" DrawAspect="Content" ObjectID="_1680351897"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4pt;height:137.45pt;mso-width-percent:0;mso-height-percent:0;mso-width-percent:0;mso-height-percent:0" o:ole="">
                  <v:imagedata r:id="rId50" o:title=""/>
                </v:shape>
                <o:OLEObject Type="Embed" ProgID="Visio.Drawing.15" ShapeID="_x0000_i1038" DrawAspect="Content" ObjectID="_1680351898" r:id="rId51"/>
              </w:object>
            </w:r>
          </w:p>
          <w:p w14:paraId="4D3F37AC" w14:textId="77777777" w:rsidR="00BF303B" w:rsidRDefault="006222A6">
            <w:pPr>
              <w:pStyle w:val="Caption"/>
              <w:rPr>
                <w:lang w:val="en-GB"/>
              </w:rPr>
            </w:pPr>
            <w:bookmarkStart w:id="242" w:name="_Ref61547006"/>
            <w:r>
              <w:t xml:space="preserve">Figure </w:t>
            </w:r>
            <w:fldSimple w:instr=" SEQ Figure \* ARABIC ">
              <w:r>
                <w:t>3</w:t>
              </w:r>
            </w:fldSimple>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44FD2" w14:textId="77777777" w:rsidR="00215045" w:rsidRDefault="00215045" w:rsidP="006222A6">
      <w:pPr>
        <w:spacing w:after="0" w:line="240" w:lineRule="auto"/>
      </w:pPr>
      <w:r>
        <w:separator/>
      </w:r>
    </w:p>
  </w:endnote>
  <w:endnote w:type="continuationSeparator" w:id="0">
    <w:p w14:paraId="4BC7C346" w14:textId="77777777" w:rsidR="00215045" w:rsidRDefault="00215045"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C7D5A" w14:textId="77777777" w:rsidR="00215045" w:rsidRDefault="00215045" w:rsidP="006222A6">
      <w:pPr>
        <w:spacing w:after="0" w:line="240" w:lineRule="auto"/>
      </w:pPr>
      <w:r>
        <w:separator/>
      </w:r>
    </w:p>
  </w:footnote>
  <w:footnote w:type="continuationSeparator" w:id="0">
    <w:p w14:paraId="3F3371C8" w14:textId="77777777" w:rsidR="00215045" w:rsidRDefault="00215045"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2"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8"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1"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4"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4"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1"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0"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2"/>
  </w:num>
  <w:num w:numId="3">
    <w:abstractNumId w:val="60"/>
  </w:num>
  <w:num w:numId="4">
    <w:abstractNumId w:val="55"/>
  </w:num>
  <w:num w:numId="5">
    <w:abstractNumId w:val="44"/>
  </w:num>
  <w:num w:numId="6">
    <w:abstractNumId w:val="33"/>
  </w:num>
  <w:num w:numId="7">
    <w:abstractNumId w:val="36"/>
  </w:num>
  <w:num w:numId="8">
    <w:abstractNumId w:val="63"/>
  </w:num>
  <w:num w:numId="9">
    <w:abstractNumId w:val="37"/>
  </w:num>
  <w:num w:numId="10">
    <w:abstractNumId w:val="57"/>
  </w:num>
  <w:num w:numId="11">
    <w:abstractNumId w:val="27"/>
  </w:num>
  <w:num w:numId="12">
    <w:abstractNumId w:val="15"/>
  </w:num>
  <w:num w:numId="13">
    <w:abstractNumId w:val="23"/>
  </w:num>
  <w:num w:numId="14">
    <w:abstractNumId w:val="43"/>
  </w:num>
  <w:num w:numId="15">
    <w:abstractNumId w:val="20"/>
  </w:num>
  <w:num w:numId="16">
    <w:abstractNumId w:val="29"/>
  </w:num>
  <w:num w:numId="17">
    <w:abstractNumId w:val="35"/>
  </w:num>
  <w:num w:numId="18">
    <w:abstractNumId w:val="40"/>
  </w:num>
  <w:num w:numId="19">
    <w:abstractNumId w:val="51"/>
  </w:num>
  <w:num w:numId="20">
    <w:abstractNumId w:val="6"/>
  </w:num>
  <w:num w:numId="21">
    <w:abstractNumId w:val="19"/>
  </w:num>
  <w:num w:numId="22">
    <w:abstractNumId w:val="24"/>
  </w:num>
  <w:num w:numId="23">
    <w:abstractNumId w:val="41"/>
  </w:num>
  <w:num w:numId="24">
    <w:abstractNumId w:val="58"/>
  </w:num>
  <w:num w:numId="25">
    <w:abstractNumId w:val="14"/>
  </w:num>
  <w:num w:numId="26">
    <w:abstractNumId w:val="47"/>
  </w:num>
  <w:num w:numId="27">
    <w:abstractNumId w:val="18"/>
  </w:num>
  <w:num w:numId="28">
    <w:abstractNumId w:val="42"/>
  </w:num>
  <w:num w:numId="29">
    <w:abstractNumId w:val="45"/>
  </w:num>
  <w:num w:numId="30">
    <w:abstractNumId w:val="30"/>
  </w:num>
  <w:num w:numId="31">
    <w:abstractNumId w:val="54"/>
  </w:num>
  <w:num w:numId="32">
    <w:abstractNumId w:val="7"/>
  </w:num>
  <w:num w:numId="33">
    <w:abstractNumId w:val="4"/>
  </w:num>
  <w:num w:numId="34">
    <w:abstractNumId w:val="31"/>
  </w:num>
  <w:num w:numId="35">
    <w:abstractNumId w:val="21"/>
  </w:num>
  <w:num w:numId="36">
    <w:abstractNumId w:val="17"/>
  </w:num>
  <w:num w:numId="37">
    <w:abstractNumId w:val="61"/>
  </w:num>
  <w:num w:numId="38">
    <w:abstractNumId w:val="25"/>
  </w:num>
  <w:num w:numId="39">
    <w:abstractNumId w:val="46"/>
  </w:num>
  <w:num w:numId="40">
    <w:abstractNumId w:val="59"/>
  </w:num>
  <w:num w:numId="41">
    <w:abstractNumId w:val="26"/>
  </w:num>
  <w:num w:numId="42">
    <w:abstractNumId w:val="12"/>
  </w:num>
  <w:num w:numId="43">
    <w:abstractNumId w:val="5"/>
  </w:num>
  <w:num w:numId="44">
    <w:abstractNumId w:val="52"/>
  </w:num>
  <w:num w:numId="45">
    <w:abstractNumId w:val="28"/>
  </w:num>
  <w:num w:numId="46">
    <w:abstractNumId w:val="49"/>
  </w:num>
  <w:num w:numId="47">
    <w:abstractNumId w:val="53"/>
  </w:num>
  <w:num w:numId="48">
    <w:abstractNumId w:val="3"/>
  </w:num>
  <w:num w:numId="49">
    <w:abstractNumId w:val="38"/>
  </w:num>
  <w:num w:numId="50">
    <w:abstractNumId w:val="16"/>
  </w:num>
  <w:num w:numId="51">
    <w:abstractNumId w:val="1"/>
  </w:num>
  <w:num w:numId="52">
    <w:abstractNumId w:val="0"/>
  </w:num>
  <w:num w:numId="53">
    <w:abstractNumId w:val="11"/>
  </w:num>
  <w:num w:numId="54">
    <w:abstractNumId w:val="62"/>
  </w:num>
  <w:num w:numId="55">
    <w:abstractNumId w:val="39"/>
  </w:num>
  <w:num w:numId="56">
    <w:abstractNumId w:val="32"/>
  </w:num>
  <w:num w:numId="57">
    <w:abstractNumId w:val="48"/>
  </w:num>
  <w:num w:numId="58">
    <w:abstractNumId w:val="50"/>
  </w:num>
  <w:num w:numId="59">
    <w:abstractNumId w:val="13"/>
  </w:num>
  <w:num w:numId="60">
    <w:abstractNumId w:val="34"/>
  </w:num>
  <w:num w:numId="61">
    <w:abstractNumId w:val="56"/>
  </w:num>
  <w:num w:numId="62">
    <w:abstractNumId w:val="2"/>
  </w:num>
  <w:num w:numId="63">
    <w:abstractNumId w:val="10"/>
  </w:num>
  <w:num w:numId="64">
    <w:abstractNumId w:val="9"/>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15.wmf"/><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4245DD-4A89-4BB0-BB31-AA4A259E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27930</Words>
  <Characters>175961</Characters>
  <Application>Microsoft Office Word</Application>
  <DocSecurity>0</DocSecurity>
  <Lines>1466</Lines>
  <Paragraphs>406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203485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Alexander Golitschek</cp:lastModifiedBy>
  <cp:revision>2</cp:revision>
  <cp:lastPrinted>2016-08-13T07:06:00Z</cp:lastPrinted>
  <dcterms:created xsi:type="dcterms:W3CDTF">2021-04-19T13:36:00Z</dcterms:created>
  <dcterms:modified xsi:type="dcterms:W3CDTF">2021-04-19T13:36:00Z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