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0" w:hangingChars="850" w:hanging="1870"/>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9878B6" w:rsidRPr="00231B58" w:rsidRDefault="009878B6"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9878B6" w:rsidRPr="00787267" w:rsidRDefault="009878B6"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9878B6" w:rsidRPr="00231B58" w:rsidRDefault="009878B6"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9878B6" w:rsidRPr="00787267" w:rsidRDefault="009878B6"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Heading1"/>
      </w:pPr>
      <w:r>
        <w:t>Discussion</w:t>
      </w:r>
    </w:p>
    <w:p w14:paraId="5DBBE143" w14:textId="26A440C9" w:rsidR="003222A9" w:rsidRDefault="000D4764" w:rsidP="00C92A55">
      <w:pPr>
        <w:pStyle w:val="Caption"/>
        <w:rPr>
          <w:b w:val="0"/>
          <w:lang w:eastAsia="ja-JP"/>
        </w:rPr>
      </w:pPr>
      <w:r w:rsidRPr="009878B6">
        <w:rPr>
          <w:b w:val="0"/>
        </w:rPr>
        <w:t>In RAN1#104-e</w:t>
      </w:r>
      <w:r w:rsidR="00A053D8" w:rsidRPr="009878B6">
        <w:rPr>
          <w:b w:val="0"/>
        </w:rPr>
        <w:t xml:space="preserve"> [3] potential enhancements for HARQ operation for NB-IoT/eMTC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Heading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Caption"/>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TableGrid"/>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DengXian"/>
                <w:sz w:val="18"/>
                <w:szCs w:val="18"/>
                <w:lang w:eastAsia="zh-CN"/>
              </w:rPr>
            </w:pPr>
            <w:r w:rsidRPr="00C75346">
              <w:rPr>
                <w:rFonts w:eastAsia="DengXian"/>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NB-IoT/eMTC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SimSun"/>
                <w:sz w:val="18"/>
                <w:szCs w:val="18"/>
                <w:lang w:val="en-GB" w:eastAsia="zh-CN"/>
              </w:rPr>
            </w:pPr>
            <w:r w:rsidRPr="00C75346">
              <w:rPr>
                <w:rFonts w:eastAsia="SimSun"/>
                <w:sz w:val="18"/>
                <w:szCs w:val="18"/>
                <w:lang w:val="en-GB" w:eastAsia="zh-CN"/>
              </w:rPr>
              <w:t xml:space="preserve">Observation 1: The required HARQ process number is less than the </w:t>
            </w:r>
            <w:proofErr w:type="spellStart"/>
            <w:r w:rsidRPr="00C75346">
              <w:rPr>
                <w:rFonts w:eastAsia="SimSun"/>
                <w:sz w:val="18"/>
                <w:szCs w:val="18"/>
                <w:lang w:val="en-GB" w:eastAsia="zh-CN"/>
              </w:rPr>
              <w:t>subframe</w:t>
            </w:r>
            <w:proofErr w:type="spellEnd"/>
            <w:r w:rsidRPr="00C75346">
              <w:rPr>
                <w:rFonts w:eastAsia="SimSun"/>
                <w:sz w:val="18"/>
                <w:szCs w:val="18"/>
                <w:lang w:val="en-GB" w:eastAsia="zh-CN"/>
              </w:rPr>
              <w:t xml:space="preserv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DengXian"/>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SimSun"/>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SimSun"/>
                <w:sz w:val="18"/>
                <w:szCs w:val="18"/>
                <w:lang w:eastAsia="zh-CN"/>
              </w:rPr>
            </w:pPr>
            <w:r w:rsidRPr="00C75346">
              <w:rPr>
                <w:rFonts w:eastAsia="SimSun"/>
                <w:sz w:val="18"/>
                <w:szCs w:val="18"/>
                <w:lang w:eastAsia="zh-CN"/>
              </w:rPr>
              <w:t>Same applies to eMTC.</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B43C86">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3: It is sufficient to use 1 or 2 HARQ processes for NTN NB-IoT and eMTC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Proposal 1: Re-use 1 or 2 HARQ processes for NTN NB-IoT and eMTC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NB-IoT NPDSCH and eMTC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Proposal 1: Both number of HARQ process and number of repetition,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DengXian"/>
                <w:sz w:val="18"/>
                <w:szCs w:val="18"/>
                <w:lang w:eastAsia="zh-CN"/>
              </w:rPr>
            </w:pPr>
            <w:r w:rsidRPr="00C75346">
              <w:rPr>
                <w:rFonts w:eastAsia="DengXian"/>
                <w:sz w:val="18"/>
                <w:szCs w:val="18"/>
                <w:lang w:eastAsia="zh-CN"/>
              </w:rPr>
              <w:t>Proposal 1: HARQ process number for NB-IoT/eMTC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SimSun"/>
                <w:sz w:val="18"/>
                <w:szCs w:val="18"/>
                <w:lang w:eastAsia="zh-CN"/>
              </w:rPr>
            </w:pPr>
            <w:r w:rsidRPr="00C75346">
              <w:rPr>
                <w:rFonts w:eastAsia="SimSun"/>
                <w:sz w:val="18"/>
                <w:szCs w:val="18"/>
                <w:lang w:eastAsia="zh-CN"/>
              </w:rPr>
              <w:t>Proposal 1</w:t>
            </w:r>
            <w:r w:rsidRPr="00C75346">
              <w:rPr>
                <w:rFonts w:eastAsia="SimSun"/>
                <w:sz w:val="18"/>
                <w:szCs w:val="18"/>
                <w:lang w:eastAsia="zh-CN"/>
              </w:rPr>
              <w:tab/>
              <w:t>Do not increase the number of HARQ processes for eMTC.</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SimSun"/>
                <w:sz w:val="18"/>
                <w:szCs w:val="18"/>
                <w:lang w:eastAsia="zh-CN"/>
              </w:rPr>
            </w:pPr>
            <w:r w:rsidRPr="00C75346">
              <w:rPr>
                <w:rFonts w:eastAsia="SimSun"/>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SimSun"/>
                <w:sz w:val="18"/>
                <w:szCs w:val="18"/>
                <w:lang w:eastAsia="zh-CN"/>
              </w:rPr>
            </w:pPr>
            <w:r w:rsidRPr="00C75346">
              <w:rPr>
                <w:rFonts w:eastAsia="SimSun"/>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SimSun"/>
                <w:sz w:val="18"/>
                <w:szCs w:val="18"/>
                <w:lang w:eastAsia="zh-CN"/>
              </w:rPr>
            </w:pPr>
            <w:r w:rsidRPr="00C75346">
              <w:rPr>
                <w:rFonts w:eastAsia="SimSun"/>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HARQ process number can be maintained the same as legacy for both eMTC and NBIoT.</w:t>
            </w:r>
          </w:p>
        </w:tc>
      </w:tr>
    </w:tbl>
    <w:p w14:paraId="2F59E169" w14:textId="5D885981" w:rsidR="00337EA0" w:rsidRDefault="00337EA0" w:rsidP="00337EA0">
      <w:pPr>
        <w:pStyle w:val="ListParagraph"/>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ListParagraph"/>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ListParagraph"/>
        <w:spacing w:after="60"/>
        <w:ind w:left="0"/>
        <w:contextualSpacing/>
        <w:jc w:val="left"/>
        <w:rPr>
          <w:rFonts w:ascii="Times New Roman" w:hAnsi="Times New Roman"/>
          <w:sz w:val="20"/>
          <w:szCs w:val="20"/>
          <w:lang w:val="en-GB"/>
        </w:rPr>
      </w:pPr>
    </w:p>
    <w:p w14:paraId="1E8E76AF" w14:textId="77777777" w:rsidR="00E04B81" w:rsidRPr="00B06FD3" w:rsidRDefault="00337EA0" w:rsidP="00E04B81">
      <w:pPr>
        <w:pStyle w:val="ListParagraph"/>
        <w:numPr>
          <w:ilvl w:val="0"/>
          <w:numId w:val="39"/>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E04B81">
      <w:pPr>
        <w:pStyle w:val="ListParagraph"/>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HiSilicon, Oppo, Spreadtrum,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E04B81">
      <w:pPr>
        <w:pStyle w:val="ListParagraph"/>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ListParagraph"/>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contextualSpacing/>
        <w:jc w:val="left"/>
        <w:rPr>
          <w:b/>
          <w:lang w:val="en-GB"/>
        </w:rPr>
      </w:pPr>
      <w:r w:rsidRPr="0001133F">
        <w:rPr>
          <w:b/>
          <w:highlight w:val="yellow"/>
          <w:lang w:val="en-GB"/>
        </w:rPr>
        <w:t>Proposal 1-1</w:t>
      </w:r>
      <w:r w:rsidR="00E04B81" w:rsidRPr="0001133F">
        <w:rPr>
          <w:b/>
          <w:highlight w:val="yellow"/>
          <w:lang w:val="en-GB"/>
        </w:rPr>
        <w:t>:</w:t>
      </w:r>
    </w:p>
    <w:p w14:paraId="6E908299" w14:textId="77C90514" w:rsidR="00E04B81" w:rsidRPr="00D15F3A" w:rsidRDefault="00285040" w:rsidP="00464425">
      <w:pPr>
        <w:contextualSpacing/>
        <w:jc w:val="left"/>
        <w:rPr>
          <w:b/>
          <w:lang w:val="en-GB"/>
        </w:rPr>
      </w:pPr>
      <w:r>
        <w:rPr>
          <w:b/>
          <w:lang w:val="en-GB"/>
        </w:rPr>
        <w:t>Increasing the</w:t>
      </w:r>
      <w:r w:rsidR="00E04B81" w:rsidRPr="00D15F3A">
        <w:rPr>
          <w:b/>
          <w:lang w:val="en-GB"/>
        </w:rPr>
        <w:t xml:space="preserve"> number of HARQ processes for NB-IoT and for eMTC in NTN is not supported in Rel-17.</w:t>
      </w:r>
    </w:p>
    <w:p w14:paraId="2A4CE01D" w14:textId="77777777" w:rsidR="00337EA0" w:rsidRDefault="00337EA0" w:rsidP="00464425">
      <w:pPr>
        <w:pStyle w:val="ListParagraph"/>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The issue of HARQ stalling and increase in number of HARQ processes for NB-IoT and eMTC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contextualSpacing/>
        <w:jc w:val="left"/>
        <w:rPr>
          <w:b/>
          <w:lang w:val="en-GB"/>
        </w:rPr>
      </w:pPr>
      <w:r>
        <w:rPr>
          <w:b/>
          <w:highlight w:val="yellow"/>
          <w:lang w:val="en-GB"/>
        </w:rPr>
        <w:t>Question 1-1</w:t>
      </w:r>
      <w:r w:rsidR="0001133F" w:rsidRPr="0001133F">
        <w:rPr>
          <w:b/>
          <w:highlight w:val="yellow"/>
          <w:lang w:val="en-GB"/>
        </w:rPr>
        <w:t>:</w:t>
      </w:r>
    </w:p>
    <w:p w14:paraId="5BF0BC95" w14:textId="4365D60F" w:rsidR="0001133F" w:rsidRPr="00D15F3A" w:rsidRDefault="00993EF5" w:rsidP="00464425">
      <w:pPr>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TableGrid"/>
        <w:tblW w:w="9355" w:type="dxa"/>
        <w:tblLook w:val="04A0" w:firstRow="1" w:lastRow="0" w:firstColumn="1" w:lastColumn="0" w:noHBand="0" w:noVBand="1"/>
      </w:tblPr>
      <w:tblGrid>
        <w:gridCol w:w="1255"/>
        <w:gridCol w:w="8100"/>
      </w:tblGrid>
      <w:tr w:rsidR="00114C50" w14:paraId="30FCA4A5" w14:textId="77777777" w:rsidTr="00000254">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000254">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000254">
            <w:pPr>
              <w:snapToGrid w:val="0"/>
              <w:ind w:firstLineChars="0" w:firstLine="0"/>
              <w:jc w:val="left"/>
              <w:rPr>
                <w:b/>
                <w:sz w:val="18"/>
                <w:szCs w:val="18"/>
              </w:rPr>
            </w:pPr>
            <w:r>
              <w:rPr>
                <w:b/>
                <w:sz w:val="18"/>
                <w:szCs w:val="18"/>
              </w:rPr>
              <w:t>Comments</w:t>
            </w:r>
          </w:p>
        </w:tc>
      </w:tr>
      <w:tr w:rsidR="00114C50" w:rsidRPr="00B70F28" w14:paraId="74B9A0B0" w14:textId="77777777" w:rsidTr="00000254">
        <w:tc>
          <w:tcPr>
            <w:tcW w:w="1255" w:type="dxa"/>
            <w:tcBorders>
              <w:top w:val="single" w:sz="4" w:space="0" w:color="auto"/>
              <w:left w:val="single" w:sz="4" w:space="0" w:color="auto"/>
              <w:bottom w:val="single" w:sz="4" w:space="0" w:color="auto"/>
              <w:right w:val="single" w:sz="4" w:space="0" w:color="auto"/>
            </w:tcBorders>
          </w:tcPr>
          <w:p w14:paraId="674510A0" w14:textId="77777777" w:rsidR="00114C50" w:rsidRDefault="00114C50" w:rsidP="00000254">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5F9BBD4A" w14:textId="77777777" w:rsidR="00114C50" w:rsidRPr="001B1321" w:rsidRDefault="00114C50" w:rsidP="00000254">
            <w:pPr>
              <w:spacing w:beforeLines="50" w:before="120"/>
            </w:pP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 xml:space="preserve">HARQ process does not need to wait for the feedback before a new data transmission. This can avoid HARQ stalling and consequently throughput </w:t>
      </w:r>
      <w:r w:rsidR="009A28FB" w:rsidRPr="009A28FB">
        <w:rPr>
          <w:b w:val="0"/>
        </w:rPr>
        <w:lastRenderedPageBreak/>
        <w:t>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TableGrid"/>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NB-IoT/eMTC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SimSun"/>
                <w:sz w:val="18"/>
                <w:szCs w:val="18"/>
                <w:lang w:eastAsia="zh-CN"/>
              </w:rPr>
            </w:pPr>
            <w:r w:rsidRPr="00C75346">
              <w:rPr>
                <w:rFonts w:eastAsia="SimSun"/>
                <w:sz w:val="18"/>
                <w:szCs w:val="18"/>
                <w:lang w:eastAsia="zh-CN"/>
              </w:rPr>
              <w:t>Whether to support disabling HARQ feedback for NB-IoT and eMTC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BodyText"/>
              <w:spacing w:before="120"/>
              <w:ind w:firstLineChars="0" w:firstLine="0"/>
              <w:rPr>
                <w:rFonts w:eastAsia="SimSun"/>
                <w:kern w:val="2"/>
                <w:sz w:val="18"/>
                <w:szCs w:val="18"/>
                <w:lang w:eastAsia="zh-CN"/>
              </w:rPr>
            </w:pPr>
            <w:r w:rsidRPr="00C75346">
              <w:rPr>
                <w:rFonts w:eastAsia="SimSun"/>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BodyText"/>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BodyText"/>
              <w:spacing w:before="120"/>
              <w:ind w:firstLine="180"/>
              <w:rPr>
                <w:rFonts w:eastAsia="DengXian"/>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SimSun"/>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proofErr w:type="spellStart"/>
            <w:r w:rsidRPr="00C75346">
              <w:rPr>
                <w:sz w:val="18"/>
                <w:szCs w:val="18"/>
                <w:lang w:eastAsia="zh-CN"/>
              </w:rPr>
              <w:t>CEmodeA</w:t>
            </w:r>
            <w:proofErr w:type="spellEnd"/>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DengXian"/>
                <w:sz w:val="18"/>
                <w:szCs w:val="18"/>
                <w:lang w:eastAsia="zh-CN"/>
              </w:rPr>
            </w:pPr>
            <w:r w:rsidRPr="00C75346">
              <w:rPr>
                <w:rFonts w:eastAsia="DengXian"/>
                <w:sz w:val="18"/>
                <w:szCs w:val="18"/>
                <w:lang w:eastAsia="zh-CN"/>
              </w:rPr>
              <w:t xml:space="preserve">Non-essential functionality </w:t>
            </w:r>
            <w:r w:rsidR="00DB067D" w:rsidRPr="00C75346">
              <w:rPr>
                <w:rFonts w:eastAsia="DengXian"/>
                <w:sz w:val="18"/>
                <w:szCs w:val="18"/>
                <w:lang w:eastAsia="zh-CN"/>
              </w:rPr>
              <w:t xml:space="preserve">for NB-IoT </w:t>
            </w:r>
            <w:r w:rsidRPr="00C75346">
              <w:rPr>
                <w:rFonts w:eastAsia="DengXian"/>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DB067D" w:rsidRPr="001C3A70">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BodyText"/>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BodyText"/>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BodyText"/>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BodyText"/>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Support of HARQ disabling can have the negative impact on the reliability which in turn can possibly increase the UE’s power </w:t>
            </w:r>
            <w:r w:rsidR="002153D0" w:rsidRPr="00C75346">
              <w:rPr>
                <w:rFonts w:eastAsia="SimSun"/>
                <w:sz w:val="18"/>
                <w:szCs w:val="18"/>
                <w:lang w:eastAsia="zh-CN"/>
              </w:rPr>
              <w:t>consumption.</w:t>
            </w:r>
            <w:r w:rsidRPr="00C75346">
              <w:rPr>
                <w:rFonts w:eastAsia="SimSun"/>
                <w:sz w:val="18"/>
                <w:szCs w:val="18"/>
                <w:lang w:eastAsia="zh-CN"/>
              </w:rPr>
              <w:t xml:space="preserve"> </w:t>
            </w:r>
          </w:p>
          <w:p w14:paraId="6D35CF84" w14:textId="03D4A4ED" w:rsidR="003C5C0A"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2</w:t>
            </w:r>
            <w:r w:rsidRPr="00C75346">
              <w:rPr>
                <w:rFonts w:eastAsia="SimSun"/>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lastRenderedPageBreak/>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lastRenderedPageBreak/>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SimSun"/>
                <w:sz w:val="18"/>
                <w:szCs w:val="18"/>
                <w:lang w:eastAsia="zh-CN"/>
              </w:rPr>
            </w:pPr>
            <w:r w:rsidRPr="00C75346">
              <w:rPr>
                <w:rFonts w:eastAsia="SimSun"/>
                <w:sz w:val="18"/>
                <w:szCs w:val="18"/>
                <w:lang w:eastAsia="zh-CN"/>
              </w:rPr>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At least for NBIoT NTN, disabling HARQ is not supported.</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B06FD3">
      <w:pPr>
        <w:pStyle w:val="ListParagraph"/>
        <w:numPr>
          <w:ilvl w:val="0"/>
          <w:numId w:val="39"/>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ListParagraph"/>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 xml:space="preserve">Supported by Vivo, CATT (only for eMTC </w:t>
      </w:r>
      <w:proofErr w:type="spellStart"/>
      <w:r w:rsidRPr="00FB0482">
        <w:rPr>
          <w:rFonts w:ascii="Times New Roman" w:hAnsi="Times New Roman"/>
          <w:sz w:val="20"/>
          <w:szCs w:val="20"/>
          <w:lang w:val="en-GB"/>
        </w:rPr>
        <w:t>CEModeA</w:t>
      </w:r>
      <w:proofErr w:type="spellEnd"/>
      <w:r w:rsidRPr="00FB0482">
        <w:rPr>
          <w:rFonts w:ascii="Times New Roman" w:hAnsi="Times New Roman"/>
          <w:sz w:val="20"/>
          <w:szCs w:val="20"/>
          <w:lang w:val="en-GB"/>
        </w:rPr>
        <w:t>)</w:t>
      </w:r>
      <w:r>
        <w:rPr>
          <w:rFonts w:ascii="Times New Roman" w:hAnsi="Times New Roman"/>
          <w:sz w:val="20"/>
          <w:szCs w:val="20"/>
          <w:lang w:val="en-GB"/>
        </w:rPr>
        <w:t>, CMCC, ZTE, Qualcomm, Samsung</w:t>
      </w:r>
    </w:p>
    <w:p w14:paraId="601EF3FA" w14:textId="77777777" w:rsidR="00B06FD3" w:rsidRPr="00B06FD3" w:rsidRDefault="00B06FD3" w:rsidP="00B06FD3">
      <w:pPr>
        <w:pStyle w:val="ListParagraph"/>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B06FD3">
      <w:pPr>
        <w:pStyle w:val="ListParagraph"/>
        <w:numPr>
          <w:ilvl w:val="0"/>
          <w:numId w:val="41"/>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ListParagraph"/>
        <w:ind w:left="644" w:firstLineChars="0" w:firstLine="0"/>
        <w:contextualSpacing/>
        <w:jc w:val="left"/>
        <w:rPr>
          <w:rFonts w:ascii="Times New Roman" w:eastAsia="DengXian" w:hAnsi="Times New Roman"/>
          <w:sz w:val="20"/>
          <w:szCs w:val="20"/>
        </w:rPr>
      </w:pPr>
      <w:r w:rsidRPr="00FB0482">
        <w:rPr>
          <w:rFonts w:ascii="Times New Roman" w:hAnsi="Times New Roman"/>
          <w:sz w:val="20"/>
          <w:szCs w:val="20"/>
          <w:lang w:val="en-GB"/>
        </w:rPr>
        <w:t xml:space="preserve">Supported by: Huawei, HiSilicon, Oppo, CATT (for NB-IoT and eMTC </w:t>
      </w:r>
      <w:proofErr w:type="spellStart"/>
      <w:r w:rsidRPr="00FB0482">
        <w:rPr>
          <w:rFonts w:ascii="Times New Roman" w:hAnsi="Times New Roman"/>
          <w:sz w:val="20"/>
          <w:szCs w:val="20"/>
          <w:lang w:val="en-GB"/>
        </w:rPr>
        <w:t>CEModeB</w:t>
      </w:r>
      <w:proofErr w:type="spellEnd"/>
      <w:r w:rsidRPr="00FB0482">
        <w:rPr>
          <w:rFonts w:ascii="Times New Roman" w:hAnsi="Times New Roman"/>
          <w:sz w:val="20"/>
          <w:szCs w:val="20"/>
          <w:lang w:val="en-GB"/>
        </w:rPr>
        <w:t xml:space="preserve">), </w:t>
      </w:r>
      <w:r w:rsidRPr="00FB0482">
        <w:rPr>
          <w:rFonts w:ascii="Times New Roman" w:eastAsia="DengXian" w:hAnsi="Times New Roman"/>
          <w:sz w:val="20"/>
          <w:szCs w:val="20"/>
        </w:rPr>
        <w:t xml:space="preserve">APT, FGI, ITRI, III, MediaTek, </w:t>
      </w:r>
      <w:r>
        <w:rPr>
          <w:rFonts w:ascii="Times New Roman" w:eastAsia="DengXian" w:hAnsi="Times New Roman"/>
          <w:sz w:val="20"/>
          <w:szCs w:val="20"/>
        </w:rPr>
        <w:t>Nokia, NSB, CMCC, Xiaomi, Interdigital, Lenovo, Motorola Mobility (for NB-IoT)</w:t>
      </w:r>
    </w:p>
    <w:p w14:paraId="7E67C431" w14:textId="77777777" w:rsidR="00B06FD3" w:rsidRPr="00B06FD3" w:rsidRDefault="00B06FD3" w:rsidP="00B06FD3">
      <w:pPr>
        <w:pStyle w:val="ListParagraph"/>
        <w:ind w:left="644" w:firstLineChars="0" w:firstLine="0"/>
        <w:contextualSpacing/>
        <w:jc w:val="left"/>
        <w:rPr>
          <w:rFonts w:ascii="Times New Roman" w:eastAsia="DengXian" w:hAnsi="Times New Roman"/>
          <w:sz w:val="20"/>
          <w:szCs w:val="20"/>
        </w:rPr>
      </w:pPr>
    </w:p>
    <w:p w14:paraId="416D55ED" w14:textId="77777777" w:rsidR="00B06FD3"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study for eMTC only (Lenovo, Motorola Mobility)</w:t>
      </w:r>
    </w:p>
    <w:p w14:paraId="15E0F5CD" w14:textId="7F526AD4" w:rsidR="0084712D" w:rsidRDefault="0084712D" w:rsidP="003F0999">
      <w:pPr>
        <w:spacing w:before="120" w:after="120"/>
        <w:ind w:firstLineChars="0" w:firstLine="0"/>
        <w:rPr>
          <w:rFonts w:eastAsia="DengXian"/>
          <w:lang w:eastAsia="zh-CN" w:bidi="ar"/>
        </w:rPr>
      </w:pPr>
    </w:p>
    <w:p w14:paraId="14FB3F49" w14:textId="592EAB0B" w:rsidR="00993EF5" w:rsidRDefault="00993EF5" w:rsidP="0063219E">
      <w:pPr>
        <w:spacing w:before="120" w:after="120"/>
        <w:rPr>
          <w:rFonts w:eastAsia="DengXian"/>
          <w:lang w:eastAsia="zh-CN" w:bidi="ar"/>
        </w:rPr>
      </w:pPr>
      <w:r>
        <w:rPr>
          <w:rFonts w:eastAsia="DengXian"/>
          <w:lang w:eastAsia="zh-CN" w:bidi="ar"/>
        </w:rPr>
        <w:t>Companies ha</w:t>
      </w:r>
      <w:r w:rsidR="00AE467B">
        <w:rPr>
          <w:rFonts w:eastAsia="DengXian"/>
          <w:lang w:eastAsia="zh-CN" w:bidi="ar"/>
        </w:rPr>
        <w:t xml:space="preserve">ve discussed </w:t>
      </w:r>
      <w:r w:rsidR="004A702F">
        <w:rPr>
          <w:rFonts w:eastAsia="DengXian"/>
          <w:lang w:eastAsia="zh-CN" w:bidi="ar"/>
        </w:rPr>
        <w:t>the motivation</w:t>
      </w:r>
      <w:r w:rsidR="00AE467B">
        <w:rPr>
          <w:rFonts w:eastAsia="DengXian"/>
          <w:lang w:eastAsia="zh-CN" w:bidi="ar"/>
        </w:rPr>
        <w:t xml:space="preserve"> for disabling HARQ feedback and some companies think that it is not necessary to introduce it in NTN IoT because Io</w:t>
      </w:r>
      <w:r w:rsidR="004A702F">
        <w:rPr>
          <w:rFonts w:eastAsia="DengXian"/>
          <w:lang w:eastAsia="zh-CN" w:bidi="ar"/>
        </w:rPr>
        <w:t>T</w:t>
      </w:r>
      <w:r w:rsidR="00AE467B">
        <w:rPr>
          <w:rFonts w:eastAsia="DengXian"/>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DengXian"/>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DengXian"/>
          <w:lang w:eastAsia="zh-CN" w:bidi="ar"/>
        </w:rPr>
        <w:t>allow</w:t>
      </w:r>
      <w:r w:rsidR="007032D7">
        <w:rPr>
          <w:rFonts w:eastAsia="DengXian"/>
          <w:lang w:eastAsia="zh-CN" w:bidi="ar"/>
        </w:rPr>
        <w:t xml:space="preserve"> NB-IoT and eMTC operation in NTN.</w:t>
      </w:r>
    </w:p>
    <w:p w14:paraId="3D57E14E" w14:textId="2505D4CF" w:rsidR="0063219E" w:rsidRDefault="0063219E" w:rsidP="0063219E">
      <w:pPr>
        <w:spacing w:before="120" w:after="120"/>
        <w:rPr>
          <w:rFonts w:eastAsia="DengXian"/>
          <w:lang w:eastAsia="zh-CN" w:bidi="ar"/>
        </w:rPr>
      </w:pPr>
    </w:p>
    <w:p w14:paraId="6BC1C8E3" w14:textId="05165445" w:rsidR="00227B71" w:rsidRPr="00227B71" w:rsidRDefault="00227B71" w:rsidP="00464425">
      <w:pPr>
        <w:spacing w:beforeLines="60" w:before="144" w:afterLines="60" w:after="144"/>
        <w:ind w:firstLine="201"/>
        <w:rPr>
          <w:rFonts w:eastAsia="DengXian"/>
          <w:b/>
          <w:lang w:eastAsia="zh-CN" w:bidi="ar"/>
        </w:rPr>
      </w:pPr>
      <w:r w:rsidRPr="00227B71">
        <w:rPr>
          <w:rFonts w:eastAsia="DengXian"/>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77777777" w:rsidR="00224FFB" w:rsidRDefault="00224FFB" w:rsidP="009878B6">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778F663C" w14:textId="77777777" w:rsidR="00224FFB" w:rsidRPr="001B1321" w:rsidRDefault="00224FFB" w:rsidP="009878B6">
            <w:pPr>
              <w:spacing w:beforeLines="50" w:before="120"/>
            </w:pPr>
          </w:p>
        </w:tc>
      </w:tr>
    </w:tbl>
    <w:p w14:paraId="0AC06F10" w14:textId="77777777" w:rsidR="00224FFB" w:rsidRDefault="00224FFB" w:rsidP="00224FFB">
      <w:pPr>
        <w:ind w:left="200" w:firstLineChars="0" w:firstLine="0"/>
      </w:pPr>
    </w:p>
    <w:p w14:paraId="0D5DBA08" w14:textId="3790EBF8" w:rsidR="00000EA6" w:rsidRDefault="00000EA6" w:rsidP="003F0999">
      <w:pPr>
        <w:spacing w:before="120" w:after="120"/>
        <w:ind w:firstLineChars="0" w:firstLine="0"/>
        <w:rPr>
          <w:rFonts w:eastAsia="DengXian"/>
          <w:lang w:eastAsia="zh-CN" w:bidi="ar"/>
        </w:rPr>
      </w:pPr>
    </w:p>
    <w:p w14:paraId="7A786E7C" w14:textId="3BFDA685" w:rsidR="00000EA6" w:rsidRPr="007937E5" w:rsidRDefault="00D36D2B" w:rsidP="00000EA6">
      <w:pPr>
        <w:pStyle w:val="Heading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TableGrid"/>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000254">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000254">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000254">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DengXian"/>
                <w:sz w:val="18"/>
                <w:szCs w:val="18"/>
                <w:lang w:eastAsia="zh-CN"/>
              </w:rPr>
              <w:t>isms from the UE to provide pro</w:t>
            </w:r>
            <w:r w:rsidRPr="00C75346">
              <w:rPr>
                <w:rFonts w:eastAsia="DengXian"/>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Furthermore, the base stations ability to perform link adaptation is reduced, if the UE does not provide HARQ feedback. The reason is that link adaptation algorithms take into account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Proposal 2: Alternative feedback for HARQ, e.g. assistance on requested number of repetition,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HARQ disabling/enabling, and the HARQ related information could be an explicit indication of HARQ disabling/enabling request, or a buffer condition for HARQ operation for gNB to consider disabling/enabling HARQ. For another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adapting the number of HARQ processes, in an explicit way by requesting the number or an implicit way by reporting the buffer condition. Alternatively, the UE buffer size could be signaled as part of UE capability, then gNB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Proposal 5: UE assistance information for HARQ can be supported.</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333BF8D5"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ind w:firstLine="201"/>
        <w:rPr>
          <w:rFonts w:eastAsia="DengXian"/>
          <w:b/>
          <w:lang w:eastAsia="zh-CN" w:bidi="ar"/>
        </w:rPr>
      </w:pPr>
      <w:r w:rsidRPr="00227B71">
        <w:rPr>
          <w:rFonts w:eastAsia="DengXian"/>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TableGrid"/>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7777777" w:rsidR="00FD4539" w:rsidRDefault="00FD4539" w:rsidP="009878B6">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0EC2D1CB" w14:textId="77777777" w:rsidR="00FD4539" w:rsidRPr="001B1321" w:rsidRDefault="00FD4539" w:rsidP="009878B6">
            <w:pPr>
              <w:spacing w:beforeLines="50" w:before="120"/>
            </w:pPr>
          </w:p>
        </w:tc>
      </w:tr>
    </w:tbl>
    <w:p w14:paraId="7ADDA51B" w14:textId="2B24B7FC" w:rsidR="002B0CD1" w:rsidRPr="00952A73" w:rsidRDefault="002B0CD1" w:rsidP="00C75346">
      <w:pPr>
        <w:ind w:firstLineChars="0" w:firstLine="0"/>
      </w:pPr>
    </w:p>
    <w:p w14:paraId="39392E6D" w14:textId="4468A66F" w:rsidR="006F371A" w:rsidRPr="007937E5" w:rsidRDefault="00A10BEA" w:rsidP="006F371A">
      <w:pPr>
        <w:pStyle w:val="Heading2"/>
        <w:ind w:left="576"/>
        <w:rPr>
          <w:lang w:val="en-US"/>
        </w:rPr>
      </w:pPr>
      <w:r>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TableGrid"/>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SimSun"/>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000254">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000254">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000254">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w:t>
            </w:r>
            <w:proofErr w:type="spellStart"/>
            <w:r w:rsidRPr="00637871">
              <w:rPr>
                <w:sz w:val="18"/>
                <w:szCs w:val="18"/>
                <w:lang w:eastAsia="zh-CN"/>
              </w:rPr>
              <w:t>subframe</w:t>
            </w:r>
            <w:proofErr w:type="spellEnd"/>
            <w:r w:rsidRPr="00637871">
              <w:rPr>
                <w:sz w:val="18"/>
                <w:szCs w:val="18"/>
                <w:lang w:eastAsia="zh-CN"/>
              </w:rPr>
              <w:t xml:space="preserv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proofErr w:type="spellStart"/>
            <w:r w:rsidRPr="00637871">
              <w:rPr>
                <w:i/>
                <w:sz w:val="18"/>
                <w:szCs w:val="18"/>
              </w:rPr>
              <w:t>twoHARQ-ProcessesConfig</w:t>
            </w:r>
            <w:proofErr w:type="spellEnd"/>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proofErr w:type="spellStart"/>
            <w:r w:rsidR="001B1321" w:rsidRPr="00637871">
              <w:rPr>
                <w:sz w:val="18"/>
                <w:szCs w:val="18"/>
                <w:lang w:eastAsia="zh-CN"/>
              </w:rPr>
              <w:t>subframe</w:t>
            </w:r>
            <w:proofErr w:type="spellEnd"/>
            <w:r w:rsidR="001B1321" w:rsidRPr="00637871">
              <w:rPr>
                <w:sz w:val="18"/>
                <w:szCs w:val="18"/>
                <w:lang w:eastAsia="zh-CN"/>
              </w:rPr>
              <w:t xml:space="preserve"> for a</w:t>
            </w:r>
            <w:r w:rsidRPr="00637871">
              <w:rPr>
                <w:sz w:val="18"/>
                <w:szCs w:val="18"/>
                <w:lang w:eastAsia="zh-CN"/>
              </w:rPr>
              <w:t xml:space="preserve"> UE to receive an NPDCCH with DCI format N0/N1 for the same HARQ process depends on the offset between the UL and DL frame timing at the </w:t>
            </w:r>
            <w:proofErr w:type="spellStart"/>
            <w:r w:rsidRPr="00637871">
              <w:rPr>
                <w:sz w:val="18"/>
                <w:szCs w:val="18"/>
                <w:lang w:eastAsia="zh-CN"/>
              </w:rPr>
              <w:t>eNB</w:t>
            </w:r>
            <w:proofErr w:type="spellEnd"/>
            <w:r w:rsidRPr="00637871">
              <w:rPr>
                <w:sz w:val="18"/>
                <w:szCs w:val="18"/>
                <w:lang w:eastAsia="zh-CN"/>
              </w:rPr>
              <w:t>.</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DengXian"/>
                <w:sz w:val="18"/>
                <w:szCs w:val="18"/>
                <w:lang w:eastAsia="zh-CN"/>
              </w:rPr>
            </w:pPr>
            <w:r w:rsidRPr="00637871">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DengXian"/>
                <w:sz w:val="18"/>
                <w:szCs w:val="18"/>
                <w:lang w:eastAsia="zh-CN"/>
              </w:rPr>
            </w:pPr>
            <w:r w:rsidRPr="00637871">
              <w:rPr>
                <w:rFonts w:eastAsia="DengXian"/>
                <w:sz w:val="18"/>
                <w:szCs w:val="18"/>
                <w:lang w:eastAsia="zh-CN"/>
              </w:rPr>
              <w:t>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DengXian"/>
                <w:sz w:val="18"/>
                <w:szCs w:val="18"/>
                <w:lang w:eastAsia="zh-CN"/>
              </w:rPr>
            </w:pPr>
            <w:r w:rsidRPr="00637871">
              <w:rPr>
                <w:rFonts w:eastAsia="DengXian"/>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It is hence proposed that, in order to reduce power consumption, when a UE is scheduled PUSCH in the UL, it does not need to monitor MPDCCH until the RTT time has elapsed from the end of the PUSCH. This is a 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SimSun"/>
                <w:sz w:val="18"/>
                <w:szCs w:val="18"/>
                <w:lang w:eastAsia="zh-CN"/>
              </w:rPr>
            </w:pPr>
            <w:r w:rsidRPr="00637871">
              <w:rPr>
                <w:rFonts w:eastAsia="SimSun"/>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lastRenderedPageBreak/>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200" w:hangingChars="100" w:hanging="200"/>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200" w:hangingChars="100" w:hanging="200"/>
        <w:rPr>
          <w:b/>
        </w:rPr>
      </w:pPr>
      <w:r w:rsidRPr="00464425">
        <w:rPr>
          <w:b/>
        </w:rPr>
        <w:t xml:space="preserve">For a NTN UE that is configured with one </w:t>
      </w:r>
      <w:r w:rsidR="00742E0E" w:rsidRPr="00464425">
        <w:rPr>
          <w:b/>
        </w:rPr>
        <w:t xml:space="preserve">or more </w:t>
      </w:r>
      <w:r w:rsidRPr="00464425">
        <w:rPr>
          <w:b/>
        </w:rPr>
        <w:t>HARQ process</w:t>
      </w:r>
      <w:r w:rsidR="00742E0E" w:rsidRPr="00464425">
        <w:rPr>
          <w:b/>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ListParagraph"/>
        <w:ind w:left="920" w:firstLineChars="0" w:firstLine="0"/>
        <w:rPr>
          <w:rFonts w:ascii="Times New Roman" w:hAnsi="Times New Roman"/>
          <w:sz w:val="20"/>
          <w:szCs w:val="20"/>
        </w:rPr>
      </w:pPr>
    </w:p>
    <w:tbl>
      <w:tblPr>
        <w:tblStyle w:val="TableGrid"/>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77777777" w:rsidR="00FD4539" w:rsidRDefault="00FD4539" w:rsidP="009878B6">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7942E8B9" w14:textId="77777777" w:rsidR="00FD4539" w:rsidRPr="001B1321" w:rsidRDefault="00FD4539" w:rsidP="009878B6">
            <w:pPr>
              <w:spacing w:beforeLines="50" w:before="120"/>
            </w:pPr>
          </w:p>
        </w:tc>
      </w:tr>
    </w:tbl>
    <w:p w14:paraId="61B6E31D" w14:textId="2CE7349E" w:rsidR="006F371A" w:rsidRDefault="006F371A" w:rsidP="006F371A">
      <w:pPr>
        <w:ind w:left="200" w:firstLineChars="0" w:firstLine="0"/>
      </w:pPr>
    </w:p>
    <w:p w14:paraId="3CDA63BF" w14:textId="77777777" w:rsidR="00FD4539" w:rsidRPr="00952A73" w:rsidRDefault="00FD4539" w:rsidP="006F371A">
      <w:pPr>
        <w:ind w:left="200" w:firstLineChars="0" w:firstLine="0"/>
      </w:pPr>
    </w:p>
    <w:p w14:paraId="10BF2310" w14:textId="7DBAFECD" w:rsidR="006F371A" w:rsidRDefault="00034D56" w:rsidP="006F371A">
      <w:pPr>
        <w:pStyle w:val="Heading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jc w:val="center"/>
        <w:rPr>
          <w:lang w:eastAsia="en-US"/>
        </w:rPr>
      </w:pPr>
      <w:r w:rsidRPr="0025175D">
        <w:rPr>
          <w:b/>
        </w:rPr>
        <w:t xml:space="preserve">Table </w:t>
      </w:r>
      <w:r>
        <w:rPr>
          <w:b/>
        </w:rPr>
        <w:t>6 Views on coverage enhancement</w:t>
      </w:r>
    </w:p>
    <w:tbl>
      <w:tblPr>
        <w:tblStyle w:val="TableGrid"/>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000254">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000254">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000254">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Such large coupling loss is not expected by NB-IoT and eMTC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 xml:space="preserve">Only one company discusses this issue and concludes that it is not applicable to the current use cases for NB-IoT/eMTC. </w:t>
      </w:r>
    </w:p>
    <w:p w14:paraId="0FB0D4F0" w14:textId="4A3C9796" w:rsidR="006F371A" w:rsidRDefault="006F371A" w:rsidP="00C60A3A">
      <w:pPr>
        <w:ind w:firstLineChars="0" w:firstLine="100"/>
      </w:pPr>
    </w:p>
    <w:p w14:paraId="758978F0" w14:textId="13E380CA" w:rsidR="00464425" w:rsidRDefault="0055739E" w:rsidP="00C60A3A">
      <w:pPr>
        <w:rPr>
          <w:b/>
          <w:lang w:eastAsia="en-US"/>
        </w:rPr>
      </w:pPr>
      <w:r w:rsidRPr="00A81A26">
        <w:rPr>
          <w:b/>
          <w:highlight w:val="yellow"/>
          <w:lang w:eastAsia="en-US"/>
        </w:rPr>
        <w:t>Conclusion</w:t>
      </w:r>
      <w:r w:rsidR="00464425">
        <w:rPr>
          <w:b/>
          <w:highlight w:val="yellow"/>
          <w:lang w:eastAsia="en-US"/>
        </w:rPr>
        <w:t xml:space="preserve"> 5-1</w:t>
      </w:r>
      <w:r w:rsidRPr="00A81A26">
        <w:rPr>
          <w:b/>
          <w:highlight w:val="yellow"/>
          <w:lang w:eastAsia="en-US"/>
        </w:rPr>
        <w:t>:</w:t>
      </w:r>
      <w:r w:rsidRPr="00A81A26">
        <w:rPr>
          <w:b/>
          <w:lang w:eastAsia="en-US"/>
        </w:rPr>
        <w:t xml:space="preserve"> </w:t>
      </w:r>
    </w:p>
    <w:p w14:paraId="1BE44116" w14:textId="3911A8E7" w:rsidR="0095081C" w:rsidRPr="00A81A26" w:rsidRDefault="0055739E" w:rsidP="00C60A3A">
      <w:pPr>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TableGrid"/>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79909E6E" w:rsidR="0095081C" w:rsidRDefault="0095081C" w:rsidP="009878B6">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2484FBF6" w14:textId="63C6E7AA" w:rsidR="0095081C" w:rsidRPr="001B1321" w:rsidRDefault="0095081C" w:rsidP="009878B6">
            <w:pPr>
              <w:spacing w:beforeLines="50" w:before="120"/>
            </w:pPr>
          </w:p>
        </w:tc>
      </w:tr>
    </w:tbl>
    <w:p w14:paraId="354CF167" w14:textId="44EAA85E" w:rsidR="0095081C" w:rsidRDefault="0095081C" w:rsidP="00410D03">
      <w:pPr>
        <w:ind w:firstLineChars="0" w:firstLine="0"/>
      </w:pPr>
    </w:p>
    <w:p w14:paraId="2577CA1A" w14:textId="5670D959" w:rsidR="0095081C" w:rsidRPr="00952A73" w:rsidRDefault="0095081C" w:rsidP="00410D03">
      <w:pPr>
        <w:ind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jc w:val="center"/>
        <w:rPr>
          <w:lang w:eastAsia="en-US"/>
        </w:rPr>
      </w:pPr>
      <w:r w:rsidRPr="0025175D">
        <w:rPr>
          <w:b/>
        </w:rPr>
        <w:lastRenderedPageBreak/>
        <w:t xml:space="preserve">Table </w:t>
      </w:r>
      <w:r w:rsidR="00410D03">
        <w:rPr>
          <w:b/>
        </w:rPr>
        <w:t>6</w:t>
      </w:r>
      <w:r w:rsidR="000F2A28">
        <w:rPr>
          <w:b/>
        </w:rPr>
        <w:t xml:space="preserve"> Views on enhancements for serving cell change</w:t>
      </w:r>
    </w:p>
    <w:tbl>
      <w:tblPr>
        <w:tblStyle w:val="TableGrid"/>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SimSun"/>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Observation 2</w:t>
            </w:r>
            <w:r w:rsidRPr="002736BB">
              <w:rPr>
                <w:rFonts w:eastAsia="DengXian"/>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 xml:space="preserve">For each HARQ process, LTE NB-IoT transmission time will be decided as repetition time * number of RU * number of slot in RU. When considering largest repetition time, number of RU, number of slot in RU defined in LTE, the maximum transmission time could be 0.5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 128 * 10 * 16 = 10240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for 15kHz SCS or 2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 128 * 10 * 16 = 40960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for 3.75kHz SCS. This time length could be larger than the time before UE need to handover or perform a cell </w:t>
            </w:r>
            <w:proofErr w:type="spellStart"/>
            <w:r w:rsidRPr="002736BB">
              <w:rPr>
                <w:rFonts w:eastAsia="DengXian"/>
                <w:sz w:val="18"/>
                <w:szCs w:val="18"/>
                <w:lang w:eastAsia="zh-CN"/>
              </w:rPr>
              <w:t>reseletion</w:t>
            </w:r>
            <w:proofErr w:type="spellEnd"/>
            <w:r w:rsidRPr="002736BB">
              <w:rPr>
                <w:rFonts w:eastAsia="DengXian"/>
                <w:sz w:val="18"/>
                <w:szCs w:val="18"/>
                <w:lang w:eastAsia="zh-CN"/>
              </w:rPr>
              <w:t xml:space="preserve"> with high speed satellite, resulting that UE </w:t>
            </w:r>
            <w:proofErr w:type="spellStart"/>
            <w:r w:rsidRPr="002736BB">
              <w:rPr>
                <w:rFonts w:eastAsia="DengXian"/>
                <w:sz w:val="18"/>
                <w:szCs w:val="18"/>
                <w:lang w:eastAsia="zh-CN"/>
              </w:rPr>
              <w:t>can not</w:t>
            </w:r>
            <w:proofErr w:type="spellEnd"/>
            <w:r w:rsidRPr="002736BB">
              <w:rPr>
                <w:rFonts w:eastAsia="DengXian"/>
                <w:sz w:val="18"/>
                <w:szCs w:val="18"/>
                <w:lang w:eastAsia="zh-CN"/>
              </w:rPr>
              <w:t xml:space="preserve"> complete the repetition before change of cell. Repetition continuation for the HARQ process should be considered and it should be guaranteed that the repetition from coverage of two cells should be able to be combined. Therefore, after a handover (eMTC) or RLF+ cell reselection (NB-IoT) the data transfer could continue instead of restarting. This could be studied for both uplink and downlink data transfers. Specifically, RAN1 can consider if such </w:t>
            </w:r>
            <w:proofErr w:type="spellStart"/>
            <w:r w:rsidRPr="002736BB">
              <w:rPr>
                <w:rFonts w:eastAsia="DengXian"/>
                <w:sz w:val="18"/>
                <w:szCs w:val="18"/>
                <w:lang w:eastAsia="zh-CN"/>
              </w:rPr>
              <w:t>continiuation</w:t>
            </w:r>
            <w:proofErr w:type="spellEnd"/>
            <w:r w:rsidRPr="002736BB">
              <w:rPr>
                <w:rFonts w:eastAsia="DengXian"/>
                <w:sz w:val="18"/>
                <w:szCs w:val="18"/>
                <w:lang w:eastAsia="zh-CN"/>
              </w:rPr>
              <w:t xml:space="preserve"> is feasible on the PHY layer in terms of keeping soft </w:t>
            </w:r>
            <w:proofErr w:type="gramStart"/>
            <w:r w:rsidRPr="002736BB">
              <w:rPr>
                <w:rFonts w:eastAsia="DengXian"/>
                <w:sz w:val="18"/>
                <w:szCs w:val="18"/>
                <w:lang w:eastAsia="zh-CN"/>
              </w:rPr>
              <w:t>bits</w:t>
            </w:r>
            <w:proofErr w:type="gramEnd"/>
            <w:r w:rsidRPr="002736BB">
              <w:rPr>
                <w:rFonts w:eastAsia="DengXian"/>
                <w:sz w:val="18"/>
                <w:szCs w:val="18"/>
                <w:lang w:eastAsia="zh-CN"/>
              </w:rPr>
              <w:t xml:space="preserve">/repetition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gNB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ind w:firstLine="201"/>
        <w:rPr>
          <w:rFonts w:eastAsia="DengXian"/>
          <w:b/>
          <w:lang w:eastAsia="zh-CN" w:bidi="ar"/>
        </w:rPr>
      </w:pPr>
      <w:r w:rsidRPr="00227B71">
        <w:rPr>
          <w:rFonts w:eastAsia="DengXian"/>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TableGrid"/>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77777777" w:rsidR="00667717" w:rsidRDefault="00667717" w:rsidP="009878B6">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2C56144E" w14:textId="77777777" w:rsidR="00667717" w:rsidRPr="001B1321" w:rsidRDefault="00667717" w:rsidP="009878B6">
            <w:pPr>
              <w:spacing w:beforeLines="50" w:before="120"/>
            </w:pPr>
          </w:p>
        </w:tc>
      </w:tr>
    </w:tbl>
    <w:p w14:paraId="7EBA966A" w14:textId="77777777" w:rsidR="00AE3BDB" w:rsidRPr="00952A73" w:rsidRDefault="00AE3BDB" w:rsidP="00034D56">
      <w:pPr>
        <w:ind w:left="200" w:firstLineChars="0" w:firstLine="0"/>
      </w:pPr>
    </w:p>
    <w:p w14:paraId="02352CF0" w14:textId="699979AF" w:rsidR="00034D56" w:rsidRDefault="00034D56" w:rsidP="00034D56">
      <w:pPr>
        <w:pStyle w:val="Heading2"/>
        <w:ind w:left="576"/>
        <w:rPr>
          <w:lang w:val="en-US"/>
        </w:rPr>
      </w:pPr>
      <w:r>
        <w:rPr>
          <w:lang w:val="en-US"/>
        </w:rPr>
        <w:lastRenderedPageBreak/>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jc w:val="center"/>
        <w:rPr>
          <w:lang w:eastAsia="en-US"/>
        </w:rPr>
      </w:pPr>
      <w:r w:rsidRPr="0025175D">
        <w:rPr>
          <w:b/>
        </w:rPr>
        <w:t xml:space="preserve">Table </w:t>
      </w:r>
      <w:r w:rsidR="00410D03">
        <w:rPr>
          <w:b/>
        </w:rPr>
        <w:t>7</w:t>
      </w:r>
      <w:r w:rsidR="00517F6B">
        <w:rPr>
          <w:b/>
        </w:rPr>
        <w:t xml:space="preserve"> Views on supporting multi-TB scheduling</w:t>
      </w:r>
    </w:p>
    <w:tbl>
      <w:tblPr>
        <w:tblStyle w:val="TableGrid"/>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SimSun"/>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DengXian"/>
                <w:sz w:val="18"/>
                <w:szCs w:val="18"/>
                <w:lang w:eastAsia="zh-CN"/>
              </w:rPr>
            </w:pPr>
            <w:r w:rsidRPr="002C1992">
              <w:rPr>
                <w:rFonts w:eastAsia="DengXian"/>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DengXian"/>
                <w:sz w:val="18"/>
                <w:szCs w:val="18"/>
                <w:lang w:eastAsia="zh-CN"/>
              </w:rPr>
            </w:pPr>
            <w:r w:rsidRPr="002C1992">
              <w:rPr>
                <w:rFonts w:eastAsia="DengXian"/>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TableGrid"/>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77777777" w:rsidR="000A525E" w:rsidRDefault="000A525E" w:rsidP="009878B6">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613213F8" w14:textId="77777777" w:rsidR="000A525E" w:rsidRPr="001B1321" w:rsidRDefault="000A525E" w:rsidP="009878B6">
            <w:pPr>
              <w:spacing w:beforeLines="50" w:before="120"/>
            </w:pP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Default="00034D56" w:rsidP="00034D56">
      <w:pPr>
        <w:pStyle w:val="Heading2"/>
        <w:ind w:left="576"/>
        <w:rPr>
          <w:lang w:val="en-US"/>
        </w:rPr>
      </w:pPr>
      <w:r>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jc w:val="center"/>
        <w:rPr>
          <w:lang w:eastAsia="en-US"/>
        </w:rPr>
      </w:pPr>
      <w:r w:rsidRPr="0025175D">
        <w:rPr>
          <w:b/>
        </w:rPr>
        <w:t xml:space="preserve">Table </w:t>
      </w:r>
      <w:r w:rsidR="00410D03">
        <w:rPr>
          <w:b/>
        </w:rPr>
        <w:t>8</w:t>
      </w:r>
      <w:r w:rsidR="00345AE8">
        <w:rPr>
          <w:b/>
        </w:rPr>
        <w:t xml:space="preserve"> Views on throughput enhancements</w:t>
      </w:r>
    </w:p>
    <w:tbl>
      <w:tblPr>
        <w:tblStyle w:val="TableGrid"/>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SimSun"/>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DengXian"/>
                <w:sz w:val="18"/>
                <w:szCs w:val="18"/>
                <w:lang w:eastAsia="zh-CN"/>
              </w:rPr>
            </w:pPr>
            <w:r w:rsidRPr="00421F98">
              <w:rPr>
                <w:rFonts w:eastAsia="DengXian"/>
                <w:sz w:val="18"/>
                <w:szCs w:val="18"/>
                <w:lang w:eastAsia="zh-CN"/>
              </w:rPr>
              <w:t>Non-essential functionality for NB-IoT in Rel-17, deprioritize</w:t>
            </w:r>
            <w:r w:rsidR="00CA22A4">
              <w:rPr>
                <w:rFonts w:eastAsia="DengXian"/>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DengXian"/>
                <w:sz w:val="18"/>
                <w:szCs w:val="18"/>
                <w:lang w:eastAsia="zh-CN"/>
              </w:rPr>
            </w:pPr>
            <w:r w:rsidRPr="00421F98">
              <w:rPr>
                <w:rFonts w:eastAsia="DengXian"/>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SimSun"/>
                <w:sz w:val="18"/>
                <w:szCs w:val="18"/>
                <w:lang w:eastAsia="zh-CN"/>
              </w:rPr>
            </w:pPr>
            <w:r w:rsidRPr="00421F98">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In an NTN, a UE may have to wait for a considerable period after receiving a DL transmission before it transmits the corresponding UL. This is especially true for “near UEs” if the “scheduling offsets” (</w:t>
            </w:r>
            <w:proofErr w:type="spellStart"/>
            <w:r w:rsidRPr="00421F98">
              <w:rPr>
                <w:sz w:val="18"/>
                <w:szCs w:val="18"/>
              </w:rPr>
              <w:t>K_offset</w:t>
            </w:r>
            <w:proofErr w:type="spellEnd"/>
            <w:r w:rsidRPr="00421F98">
              <w:rPr>
                <w:sz w:val="18"/>
                <w:szCs w:val="18"/>
              </w:rPr>
              <w:t xml:space="preserve">)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SimSun"/>
                <w:sz w:val="18"/>
                <w:szCs w:val="18"/>
                <w:lang w:eastAsia="zh-CN"/>
              </w:rPr>
            </w:pPr>
            <w:r w:rsidRPr="00421F98">
              <w:rPr>
                <w:rFonts w:eastAsia="SimSun"/>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lastRenderedPageBreak/>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TableGrid"/>
        <w:tblW w:w="9355" w:type="dxa"/>
        <w:tblLook w:val="04A0" w:firstRow="1" w:lastRow="0" w:firstColumn="1" w:lastColumn="0" w:noHBand="0" w:noVBand="1"/>
      </w:tblPr>
      <w:tblGrid>
        <w:gridCol w:w="1255"/>
        <w:gridCol w:w="8100"/>
      </w:tblGrid>
      <w:tr w:rsidR="00D15F3A" w14:paraId="315257A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9878B6">
        <w:tc>
          <w:tcPr>
            <w:tcW w:w="1255" w:type="dxa"/>
            <w:tcBorders>
              <w:top w:val="single" w:sz="4" w:space="0" w:color="auto"/>
              <w:left w:val="single" w:sz="4" w:space="0" w:color="auto"/>
              <w:bottom w:val="single" w:sz="4" w:space="0" w:color="auto"/>
              <w:right w:val="single" w:sz="4" w:space="0" w:color="auto"/>
            </w:tcBorders>
          </w:tcPr>
          <w:p w14:paraId="575DA008" w14:textId="77777777" w:rsidR="00345AE8" w:rsidRDefault="00345AE8" w:rsidP="009878B6">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3DD14672" w14:textId="77777777" w:rsidR="00345AE8" w:rsidRPr="001B1321" w:rsidRDefault="00345AE8" w:rsidP="009878B6">
            <w:pPr>
              <w:spacing w:beforeLines="50" w:before="120"/>
            </w:pPr>
          </w:p>
        </w:tc>
      </w:tr>
    </w:tbl>
    <w:p w14:paraId="2AF29256" w14:textId="77777777" w:rsidR="00345AE8" w:rsidRDefault="00345AE8" w:rsidP="00345AE8">
      <w:pPr>
        <w:ind w:left="200" w:firstLineChars="0" w:firstLine="0"/>
      </w:pPr>
    </w:p>
    <w:p w14:paraId="4A649352" w14:textId="77777777" w:rsidR="00345AE8" w:rsidRDefault="00345AE8" w:rsidP="000F2A28">
      <w:pPr>
        <w:ind w:firstLineChars="0" w:firstLine="0"/>
      </w:pPr>
    </w:p>
    <w:p w14:paraId="2C72C14D" w14:textId="26533605" w:rsidR="00410D03" w:rsidRDefault="00410D03" w:rsidP="00410D03">
      <w:pPr>
        <w:pStyle w:val="Heading2"/>
        <w:ind w:left="576"/>
        <w:rPr>
          <w:lang w:val="en-US"/>
        </w:rPr>
      </w:pPr>
      <w:r>
        <w:rPr>
          <w:lang w:val="en-US"/>
        </w:rPr>
        <w:t>Other</w:t>
      </w:r>
      <w:r w:rsidR="00B6791D">
        <w:rPr>
          <w:lang w:val="en-US"/>
        </w:rPr>
        <w:t xml:space="preserve"> </w:t>
      </w:r>
      <w:bookmarkStart w:id="5" w:name="_GoBack"/>
      <w:bookmarkEnd w:id="5"/>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TableGrid"/>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r w:rsidRPr="00277ED2">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In NR-NTN, an offset, i.e., </w:t>
            </w:r>
            <w:proofErr w:type="spellStart"/>
            <w:r w:rsidRPr="00277ED2">
              <w:rPr>
                <w:rFonts w:eastAsia="SimSun"/>
                <w:sz w:val="18"/>
                <w:szCs w:val="18"/>
                <w:lang w:eastAsia="zh-CN"/>
              </w:rPr>
              <w:t>K_offset</w:t>
            </w:r>
            <w:proofErr w:type="spellEnd"/>
            <w:r w:rsidRPr="00277ED2">
              <w:rPr>
                <w:rFonts w:eastAsia="SimSun"/>
                <w:sz w:val="18"/>
                <w:szCs w:val="18"/>
                <w:lang w:eastAsia="zh-CN"/>
              </w:rPr>
              <w:t xml:space="preserve">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w:t>
            </w:r>
            <w:proofErr w:type="spellStart"/>
            <w:r w:rsidRPr="00277ED2">
              <w:rPr>
                <w:sz w:val="18"/>
                <w:szCs w:val="18"/>
              </w:rPr>
              <w:t>DataToUL</w:t>
            </w:r>
            <w:proofErr w:type="spellEnd"/>
            <w:r w:rsidRPr="00277ED2">
              <w:rPr>
                <w:sz w:val="18"/>
                <w:szCs w:val="18"/>
              </w:rPr>
              <w:t>-ACK.</w:t>
            </w:r>
          </w:p>
          <w:p w14:paraId="4A2A40D6" w14:textId="77777777"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For HARQ-ACK feedback in IoT-NTN, similar to NR-NTN, the timing relationship between PDSCH reception and HARQ-ACK feedback should be enhanced with the </w:t>
            </w:r>
            <w:proofErr w:type="spellStart"/>
            <w:r w:rsidRPr="00277ED2">
              <w:rPr>
                <w:rFonts w:eastAsia="SimSun"/>
                <w:sz w:val="18"/>
                <w:szCs w:val="18"/>
                <w:lang w:eastAsia="zh-CN"/>
              </w:rPr>
              <w:t>K_offset</w:t>
            </w:r>
            <w:proofErr w:type="spellEnd"/>
            <w:r w:rsidRPr="00277ED2">
              <w:rPr>
                <w:rFonts w:eastAsia="SimSun"/>
                <w:sz w:val="18"/>
                <w:szCs w:val="18"/>
                <w:lang w:eastAsia="zh-CN"/>
              </w:rPr>
              <w:t xml:space="preserve"> at least in</w:t>
            </w:r>
            <w:r w:rsidRPr="00277ED2">
              <w:rPr>
                <w:rFonts w:eastAsia="SimSun" w:hint="eastAsia"/>
                <w:sz w:val="18"/>
                <w:szCs w:val="18"/>
                <w:lang w:eastAsia="zh-CN"/>
              </w:rPr>
              <w:t xml:space="preserve"> the </w:t>
            </w:r>
            <w:r w:rsidRPr="00277ED2">
              <w:rPr>
                <w:rFonts w:eastAsia="SimSun"/>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BodyText"/>
              <w:ind w:firstLine="180"/>
              <w:rPr>
                <w:sz w:val="18"/>
                <w:szCs w:val="18"/>
              </w:rPr>
            </w:pPr>
            <w:r w:rsidRPr="00277ED2">
              <w:rPr>
                <w:sz w:val="18"/>
                <w:szCs w:val="18"/>
              </w:rPr>
              <w:t xml:space="preserve">Proposal 1: </w:t>
            </w:r>
            <w:proofErr w:type="spellStart"/>
            <w:r w:rsidRPr="00277ED2">
              <w:rPr>
                <w:sz w:val="18"/>
                <w:szCs w:val="18"/>
              </w:rPr>
              <w:t>K_offset</w:t>
            </w:r>
            <w:proofErr w:type="spellEnd"/>
            <w:r w:rsidRPr="00277ED2">
              <w:rPr>
                <w:sz w:val="18"/>
                <w:szCs w:val="18"/>
              </w:rPr>
              <w:t xml:space="preserve"> is introduced to enhance the timing relationship for HARQ-ACK transmission for NB-IoT/eMTC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TableGrid"/>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BodyText"/>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lastRenderedPageBreak/>
        <w:t>The discussion of which NB-IoT features to support in Rel-17 NTN IoT can happen at a later stage in the UE features discussion. The same applies to eMTC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 xml:space="preserve">Support of NB-IoT/eMTC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TableGrid"/>
        <w:tblW w:w="9355" w:type="dxa"/>
        <w:tblLook w:val="04A0" w:firstRow="1" w:lastRow="0" w:firstColumn="1" w:lastColumn="0" w:noHBand="0" w:noVBand="1"/>
      </w:tblPr>
      <w:tblGrid>
        <w:gridCol w:w="1255"/>
        <w:gridCol w:w="8100"/>
      </w:tblGrid>
      <w:tr w:rsidR="004010B4" w14:paraId="77248513" w14:textId="77777777" w:rsidTr="00000254">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000254">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000254">
            <w:pPr>
              <w:snapToGrid w:val="0"/>
              <w:ind w:firstLineChars="0" w:firstLine="0"/>
              <w:jc w:val="left"/>
              <w:rPr>
                <w:b/>
                <w:sz w:val="18"/>
                <w:szCs w:val="18"/>
              </w:rPr>
            </w:pPr>
            <w:r>
              <w:rPr>
                <w:b/>
                <w:sz w:val="18"/>
                <w:szCs w:val="18"/>
              </w:rPr>
              <w:t>Comments</w:t>
            </w:r>
          </w:p>
        </w:tc>
      </w:tr>
      <w:tr w:rsidR="004010B4" w:rsidRPr="00B70F28" w14:paraId="33F92C28" w14:textId="77777777" w:rsidTr="00000254">
        <w:tc>
          <w:tcPr>
            <w:tcW w:w="1255" w:type="dxa"/>
            <w:tcBorders>
              <w:top w:val="single" w:sz="4" w:space="0" w:color="auto"/>
              <w:left w:val="single" w:sz="4" w:space="0" w:color="auto"/>
              <w:bottom w:val="single" w:sz="4" w:space="0" w:color="auto"/>
              <w:right w:val="single" w:sz="4" w:space="0" w:color="auto"/>
            </w:tcBorders>
          </w:tcPr>
          <w:p w14:paraId="4F121B91" w14:textId="77777777" w:rsidR="004010B4" w:rsidRDefault="004010B4" w:rsidP="00000254">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04B878A6" w14:textId="77777777" w:rsidR="004010B4" w:rsidRPr="001B1321" w:rsidRDefault="004010B4" w:rsidP="00000254">
            <w:pPr>
              <w:spacing w:beforeLines="50" w:before="120"/>
            </w:pP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Heading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526E5B"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953F5D" w:rsidRPr="00953F5D">
                <w:rPr>
                  <w:rStyle w:val="Hyperlink"/>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HiSilicon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Observation 2: The earliest </w:t>
            </w:r>
            <w:proofErr w:type="spellStart"/>
            <w:r w:rsidRPr="00D36D2B">
              <w:rPr>
                <w:rFonts w:cs="Times"/>
                <w:lang w:eastAsia="x-none"/>
              </w:rPr>
              <w:t>subframe</w:t>
            </w:r>
            <w:proofErr w:type="spellEnd"/>
            <w:r w:rsidRPr="00D36D2B">
              <w:rPr>
                <w:rFonts w:cs="Times"/>
                <w:lang w:eastAsia="x-none"/>
              </w:rPr>
              <w:t xml:space="preserve"> for an UE to receive an NPDCCH with DCI format N0/N1 for the same HARQ process depends on the offset between the UL and DL frame timing at the </w:t>
            </w:r>
            <w:proofErr w:type="spellStart"/>
            <w:r w:rsidRPr="00D36D2B">
              <w:rPr>
                <w:rFonts w:cs="Times"/>
                <w:lang w:eastAsia="x-none"/>
              </w:rPr>
              <w:t>eNB</w:t>
            </w:r>
            <w:proofErr w:type="spellEnd"/>
            <w:r w:rsidRPr="00D36D2B">
              <w:rPr>
                <w:rFonts w:cs="Times"/>
                <w:lang w:eastAsia="x-none"/>
              </w:rPr>
              <w:t>.</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526E5B"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953F5D" w:rsidRPr="00953F5D">
                <w:rPr>
                  <w:rStyle w:val="Hyperlink"/>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w:t>
            </w:r>
            <w:proofErr w:type="spellStart"/>
            <w:r w:rsidRPr="00D36D2B">
              <w:rPr>
                <w:rFonts w:cs="Times"/>
                <w:lang w:eastAsia="x-none"/>
              </w:rPr>
              <w:t>K_offset</w:t>
            </w:r>
            <w:proofErr w:type="spellEnd"/>
            <w:r w:rsidRPr="00D36D2B">
              <w:rPr>
                <w:rFonts w:cs="Times"/>
                <w:lang w:eastAsia="x-none"/>
              </w:rPr>
              <w:t xml:space="preserve"> is introduced to enhance the timing relationship for HARQ-ACK transmission for NB-IoT/eMTC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2: HARQ disabling and increased HARQ process number for NB-IoT/eMTC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NB-IoT/eMTC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526E5B"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953F5D" w:rsidRPr="00953F5D">
                <w:rPr>
                  <w:rStyle w:val="Hyperlink"/>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Proposal 2: Whether to support disabling HARQ feedback for NB-IoT and eMTC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526E5B"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953F5D" w:rsidRPr="00953F5D">
                <w:rPr>
                  <w:rStyle w:val="Hyperlink"/>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Observation 1: The required HARQ process number is less than the </w:t>
            </w:r>
            <w:proofErr w:type="spellStart"/>
            <w:r w:rsidRPr="00C9510E">
              <w:rPr>
                <w:rFonts w:cs="Times"/>
                <w:lang w:eastAsia="x-none"/>
              </w:rPr>
              <w:t>subframe</w:t>
            </w:r>
            <w:proofErr w:type="spellEnd"/>
            <w:r w:rsidRPr="00C9510E">
              <w:rPr>
                <w:rFonts w:cs="Times"/>
                <w:lang w:eastAsia="x-none"/>
              </w:rPr>
              <w:t xml:space="preserv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Observation 3: There is a timing misalignment between UE and </w:t>
            </w:r>
            <w:proofErr w:type="spellStart"/>
            <w:r w:rsidRPr="00C9510E">
              <w:rPr>
                <w:rFonts w:cs="Times"/>
                <w:lang w:eastAsia="x-none"/>
              </w:rPr>
              <w:t>eNB</w:t>
            </w:r>
            <w:proofErr w:type="spellEnd"/>
            <w:r w:rsidRPr="00C9510E">
              <w:rPr>
                <w:rFonts w:cs="Times"/>
                <w:lang w:eastAsia="x-none"/>
              </w:rPr>
              <w:t xml:space="preserve">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Observation 5: Due to the round-trip delay of NTN is much large than 3 </w:t>
            </w:r>
            <w:proofErr w:type="spellStart"/>
            <w:r w:rsidRPr="00C9510E">
              <w:rPr>
                <w:rFonts w:cs="Times"/>
                <w:lang w:eastAsia="x-none"/>
              </w:rPr>
              <w:t>subframes</w:t>
            </w:r>
            <w:proofErr w:type="spellEnd"/>
            <w:r w:rsidRPr="00C9510E">
              <w:rPr>
                <w:rFonts w:cs="Times"/>
                <w:lang w:eastAsia="x-none"/>
              </w:rPr>
              <w:t xml:space="preserve">, the interval of 3 </w:t>
            </w:r>
            <w:proofErr w:type="spellStart"/>
            <w:r w:rsidRPr="00C9510E">
              <w:rPr>
                <w:rFonts w:cs="Times"/>
                <w:lang w:eastAsia="x-none"/>
              </w:rPr>
              <w:t>subframes</w:t>
            </w:r>
            <w:proofErr w:type="spellEnd"/>
            <w:r w:rsidRPr="00C9510E">
              <w:rPr>
                <w:rFonts w:cs="Times"/>
                <w:lang w:eastAsia="x-none"/>
              </w:rPr>
              <w:t xml:space="preserve">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NB-IoT/eMTC NTN, the HARQ process number can be maintained the same as the NB-IoT/eMTC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NB-IoT/eMTC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4: Consider </w:t>
            </w:r>
            <w:proofErr w:type="spellStart"/>
            <w:proofErr w:type="gramStart"/>
            <w:r w:rsidRPr="00C9510E">
              <w:rPr>
                <w:rFonts w:cs="Times"/>
                <w:lang w:eastAsia="x-none"/>
              </w:rPr>
              <w:t>a</w:t>
            </w:r>
            <w:proofErr w:type="spellEnd"/>
            <w:proofErr w:type="gramEnd"/>
            <w:r w:rsidRPr="00C9510E">
              <w:rPr>
                <w:rFonts w:cs="Times"/>
                <w:lang w:eastAsia="x-none"/>
              </w:rPr>
              <w:t xml:space="preserve">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526E5B"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953F5D" w:rsidRPr="00953F5D">
                <w:rPr>
                  <w:rStyle w:val="Hyperlink"/>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proofErr w:type="spellStart"/>
            <w:r w:rsidRPr="00C9510E">
              <w:rPr>
                <w:lang w:eastAsia="zh-CN"/>
              </w:rPr>
              <w:t>CEmode</w:t>
            </w:r>
            <w:r w:rsidRPr="00C9510E">
              <w:rPr>
                <w:rFonts w:hint="eastAsia"/>
                <w:lang w:eastAsia="zh-CN"/>
              </w:rPr>
              <w:t>A</w:t>
            </w:r>
            <w:proofErr w:type="spellEnd"/>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SimSun"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526E5B"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953F5D" w:rsidRPr="00953F5D">
                <w:rPr>
                  <w:rStyle w:val="Hyperlink"/>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526E5B"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953F5D" w:rsidRPr="00953F5D">
                <w:rPr>
                  <w:rStyle w:val="Hyperlink"/>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3: It is sufficient to use 1 or 2 HARQ processes for NTN NB-IoT and eMTC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lastRenderedPageBreak/>
              <w:t xml:space="preserve">Proposal 1: Re-use 1 or 2 HARQ processes for NTN NB-IoT and eMTC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526E5B"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953F5D" w:rsidRPr="00953F5D">
                <w:rPr>
                  <w:rStyle w:val="Hyperlink"/>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repetition,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Alternative feedback for HARQ, e.g. assistance on requested number of repetition,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526E5B"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953F5D" w:rsidRPr="00953F5D">
                <w:rPr>
                  <w:rStyle w:val="Hyperlink"/>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526E5B" w:rsidP="00953F5D">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953F5D" w:rsidRPr="00953F5D">
                <w:rPr>
                  <w:rStyle w:val="Hyperlink"/>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NB-IoT/eMTC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526E5B"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953F5D" w:rsidRPr="00953F5D">
                <w:rPr>
                  <w:rStyle w:val="Hyperlink"/>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526E5B"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953F5D" w:rsidRPr="00953F5D">
                <w:rPr>
                  <w:rStyle w:val="Hyperlink"/>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 xml:space="preserve">No HARQ enhancements are necessary to support the required data rates of IoT. However, the reductions in peak data rates due to stalling are substantial, especially for GEO. </w:t>
            </w:r>
            <w:r w:rsidRPr="00B018BE">
              <w:rPr>
                <w:rFonts w:cs="Times"/>
                <w:lang w:eastAsia="x-none"/>
              </w:rPr>
              <w:lastRenderedPageBreak/>
              <w:t>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Latency should be analyzed for overall delay from application layer including delays introduced in different layers. The general effect of the RTT of the NTN network should be counted to estimate the overall delay of the eMTC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Do not increase the number of HARQ processes for eMTC.</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526E5B"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953F5D" w:rsidRPr="00953F5D">
                <w:rPr>
                  <w:rStyle w:val="Hyperlink"/>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526E5B"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953F5D" w:rsidRPr="00953F5D">
                <w:rPr>
                  <w:rStyle w:val="Hyperlink"/>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526E5B"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953F5D" w:rsidRPr="00953F5D">
                <w:rPr>
                  <w:rStyle w:val="Hyperlink"/>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526E5B"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8" w:history="1">
              <w:r w:rsidR="00953F5D" w:rsidRPr="00953F5D">
                <w:rPr>
                  <w:rStyle w:val="Hyperlink"/>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526E5B"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9" w:history="1">
              <w:r w:rsidR="00953F5D" w:rsidRPr="00953F5D">
                <w:rPr>
                  <w:rStyle w:val="Hyperlink"/>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526E5B"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0" w:history="1">
              <w:r w:rsidR="00953F5D" w:rsidRPr="00953F5D">
                <w:rPr>
                  <w:rStyle w:val="Hyperlink"/>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The HARQ process number can be maintained the same as legacy for both eMTC and NBIoT.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At least for NBIoT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lastRenderedPageBreak/>
              <w:t>Proposal 3: NB-IoT UE is to skip NPDCCH monitoring for an HARQ process for a longer time interval than the time interval in 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NB-IoT/</w:t>
      </w:r>
      <w:proofErr w:type="spellStart"/>
      <w:r w:rsidR="00424833" w:rsidRPr="00424833">
        <w:rPr>
          <w:rFonts w:ascii="Times" w:hAnsi="Times" w:cs="Times"/>
          <w:color w:val="000000" w:themeColor="text1"/>
          <w:sz w:val="20"/>
          <w:szCs w:val="20"/>
          <w:lang w:eastAsia="x-none"/>
        </w:rPr>
        <w:t>eTMC</w:t>
      </w:r>
      <w:proofErr w:type="spellEnd"/>
      <w:r w:rsidR="00424833" w:rsidRPr="00424833">
        <w:rPr>
          <w:rFonts w:ascii="Times" w:hAnsi="Times" w:cs="Times"/>
          <w:color w:val="000000" w:themeColor="text1"/>
          <w:sz w:val="20"/>
          <w:szCs w:val="20"/>
          <w:lang w:eastAsia="x-none"/>
        </w:rPr>
        <w:t xml:space="preserve">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w:t>
      </w:r>
      <w:proofErr w:type="spellStart"/>
      <w:r w:rsidRPr="007B785C">
        <w:rPr>
          <w:rFonts w:ascii="Times" w:hAnsi="Times" w:cs="Times"/>
          <w:color w:val="000000" w:themeColor="text1"/>
          <w:sz w:val="20"/>
          <w:szCs w:val="20"/>
          <w:lang w:eastAsia="x-none"/>
        </w:rPr>
        <w:t>NTN_IoT_roadmap</w:t>
      </w:r>
      <w:proofErr w:type="spellEnd"/>
      <w:r w:rsidRPr="007B785C">
        <w:rPr>
          <w:rFonts w:ascii="Times" w:hAnsi="Times" w:cs="Times"/>
          <w:color w:val="000000" w:themeColor="text1"/>
          <w:sz w:val="20"/>
          <w:szCs w:val="20"/>
          <w:lang w:eastAsia="x-none"/>
        </w:rPr>
        <w:t>], Ericsson</w:t>
      </w:r>
    </w:p>
    <w:p w14:paraId="32A30AC1" w14:textId="1FE96CC2" w:rsidR="00424833" w:rsidRDefault="00424833"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Huawei, HiSilicon</w:t>
      </w:r>
    </w:p>
    <w:p w14:paraId="027D2C3F" w14:textId="363DA5AB"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t>Spreadtrum Communications</w:t>
      </w:r>
    </w:p>
    <w:p w14:paraId="6CA068B3" w14:textId="77777777" w:rsidR="0038247E" w:rsidRPr="0038247E" w:rsidRDefault="00526E5B"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hyperlink r:id="rId31" w:history="1">
        <w:r w:rsidR="0038247E" w:rsidRPr="0038247E">
          <w:rPr>
            <w:rStyle w:val="Hyperlink"/>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NB-IoT/eMTC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NB-IoT/eMTC</w:t>
      </w:r>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NB-IoT/eMTC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InterDigital, Inc.</w:t>
      </w:r>
    </w:p>
    <w:p w14:paraId="6E5CD2AB" w14:textId="30EFEBF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E24A13">
            <w:pPr>
              <w:numPr>
                <w:ilvl w:val="1"/>
                <w:numId w:val="35"/>
              </w:numPr>
              <w:spacing w:before="0" w:after="0" w:line="240" w:lineRule="auto"/>
              <w:ind w:firstLineChars="0" w:firstLine="200"/>
              <w:jc w:val="left"/>
              <w:rPr>
                <w:lang w:eastAsia="x-none"/>
              </w:rPr>
            </w:pPr>
            <w:r>
              <w:rPr>
                <w:lang w:eastAsia="x-none"/>
              </w:rPr>
              <w:lastRenderedPageBreak/>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E24A13">
            <w:pPr>
              <w:numPr>
                <w:ilvl w:val="0"/>
                <w:numId w:val="36"/>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E24A13">
            <w:pPr>
              <w:numPr>
                <w:ilvl w:val="0"/>
                <w:numId w:val="36"/>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E24A13">
            <w:pPr>
              <w:numPr>
                <w:ilvl w:val="0"/>
                <w:numId w:val="37"/>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68CCA3D1"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t>eMTC: 2,4,8,14</w:t>
            </w:r>
          </w:p>
          <w:p w14:paraId="06CAFAA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E24A13">
            <w:pPr>
              <w:numPr>
                <w:ilvl w:val="0"/>
                <w:numId w:val="38"/>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9F21448" w14:textId="77777777" w:rsidR="00E24A13" w:rsidRPr="00352FBC" w:rsidRDefault="00E24A13" w:rsidP="00E24A13">
            <w:pPr>
              <w:numPr>
                <w:ilvl w:val="1"/>
                <w:numId w:val="38"/>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E24A13">
            <w:pPr>
              <w:numPr>
                <w:ilvl w:val="1"/>
                <w:numId w:val="38"/>
              </w:numPr>
              <w:spacing w:before="0" w:after="0" w:line="240" w:lineRule="auto"/>
              <w:ind w:firstLineChars="0" w:firstLine="200"/>
              <w:jc w:val="left"/>
              <w:rPr>
                <w:lang w:eastAsia="zh-CN"/>
              </w:rPr>
            </w:pPr>
            <w:r w:rsidRPr="00CC7A2A">
              <w:rPr>
                <w:lang w:eastAsia="zh-CN"/>
              </w:rPr>
              <w:t>eMTC:</w:t>
            </w:r>
          </w:p>
          <w:p w14:paraId="2DF7210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E24A13">
            <w:pPr>
              <w:numPr>
                <w:ilvl w:val="0"/>
                <w:numId w:val="37"/>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SimSun"/>
                <w:sz w:val="22"/>
                <w:szCs w:val="22"/>
                <w:lang w:eastAsia="zh-CN"/>
              </w:rPr>
            </w:pPr>
          </w:p>
        </w:tc>
      </w:tr>
    </w:tbl>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lastRenderedPageBreak/>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w:t>
            </w:r>
            <w:proofErr w:type="gramStart"/>
            <w:r w:rsidRPr="009C7CCA">
              <w:rPr>
                <w:iCs/>
                <w:lang w:eastAsia="x-none"/>
              </w:rPr>
              <w:t>a:Slot</w:t>
            </w:r>
            <w:proofErr w:type="gramEnd"/>
            <w:r w:rsidRPr="009C7CCA">
              <w:rPr>
                <w:iCs/>
                <w:lang w:eastAsia="x-none"/>
              </w:rPr>
              <w:t xml:space="preserve">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TableGrid"/>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2"/>
      <w:footerReference w:type="default" r:id="rId33"/>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59E7F" w14:textId="77777777" w:rsidR="00526E5B" w:rsidRDefault="00526E5B" w:rsidP="007378B8">
      <w:r>
        <w:separator/>
      </w:r>
    </w:p>
  </w:endnote>
  <w:endnote w:type="continuationSeparator" w:id="0">
    <w:p w14:paraId="7204B941" w14:textId="77777777" w:rsidR="00526E5B" w:rsidRDefault="00526E5B"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FangSong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69BE5486" w:rsidR="009878B6" w:rsidRDefault="009878B6">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B6791D">
      <w:rPr>
        <w:rStyle w:val="PageNumber"/>
        <w:i/>
        <w:color w:val="auto"/>
      </w:rPr>
      <w:t>11</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F1EDD" w14:textId="77777777" w:rsidR="00526E5B" w:rsidRDefault="00526E5B" w:rsidP="007378B8">
      <w:r>
        <w:separator/>
      </w:r>
    </w:p>
  </w:footnote>
  <w:footnote w:type="continuationSeparator" w:id="0">
    <w:p w14:paraId="1D9818F5" w14:textId="77777777" w:rsidR="00526E5B" w:rsidRDefault="00526E5B"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9878B6" w:rsidRDefault="009878B6"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E5AF6"/>
    <w:multiLevelType w:val="hybridMultilevel"/>
    <w:tmpl w:val="D31A40B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B5AA0"/>
    <w:multiLevelType w:val="hybridMultilevel"/>
    <w:tmpl w:val="FB185BB8"/>
    <w:lvl w:ilvl="0" w:tplc="AC968F4C">
      <w:start w:val="3"/>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25113D"/>
    <w:multiLevelType w:val="hybridMultilevel"/>
    <w:tmpl w:val="375872B0"/>
    <w:lvl w:ilvl="0" w:tplc="8C68F360">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4"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A53F5"/>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8"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9E42DD"/>
    <w:multiLevelType w:val="multilevel"/>
    <w:tmpl w:val="3C9E42D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3CB229F3"/>
    <w:multiLevelType w:val="hybridMultilevel"/>
    <w:tmpl w:val="1E668326"/>
    <w:lvl w:ilvl="0" w:tplc="1758F12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D800D67"/>
    <w:multiLevelType w:val="hybridMultilevel"/>
    <w:tmpl w:val="F4F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85326"/>
    <w:multiLevelType w:val="hybridMultilevel"/>
    <w:tmpl w:val="4D3EB17A"/>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7" w15:restartNumberingAfterBreak="0">
    <w:nsid w:val="563A2DCF"/>
    <w:multiLevelType w:val="hybridMultilevel"/>
    <w:tmpl w:val="167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7BD2F9E"/>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0"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BA433A"/>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3"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C610E"/>
    <w:multiLevelType w:val="hybridMultilevel"/>
    <w:tmpl w:val="5BE4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9" w15:restartNumberingAfterBreak="0">
    <w:nsid w:val="77A36BDB"/>
    <w:multiLevelType w:val="hybridMultilevel"/>
    <w:tmpl w:val="F7D41F68"/>
    <w:lvl w:ilvl="0" w:tplc="F414313C">
      <w:start w:val="1"/>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0"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41" w15:restartNumberingAfterBreak="0">
    <w:nsid w:val="7B80260F"/>
    <w:multiLevelType w:val="hybridMultilevel"/>
    <w:tmpl w:val="89BC6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4"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42"/>
  </w:num>
  <w:num w:numId="3">
    <w:abstractNumId w:val="12"/>
  </w:num>
  <w:num w:numId="4">
    <w:abstractNumId w:val="28"/>
  </w:num>
  <w:num w:numId="5">
    <w:abstractNumId w:val="1"/>
  </w:num>
  <w:num w:numId="6">
    <w:abstractNumId w:val="6"/>
  </w:num>
  <w:num w:numId="7">
    <w:abstractNumId w:val="38"/>
  </w:num>
  <w:num w:numId="8">
    <w:abstractNumId w:val="2"/>
  </w:num>
  <w:num w:numId="9">
    <w:abstractNumId w:val="7"/>
  </w:num>
  <w:num w:numId="10">
    <w:abstractNumId w:val="34"/>
  </w:num>
  <w:num w:numId="11">
    <w:abstractNumId w:val="22"/>
  </w:num>
  <w:num w:numId="12">
    <w:abstractNumId w:val="24"/>
  </w:num>
  <w:num w:numId="13">
    <w:abstractNumId w:val="36"/>
  </w:num>
  <w:num w:numId="14">
    <w:abstractNumId w:val="10"/>
  </w:num>
  <w:num w:numId="15">
    <w:abstractNumId w:val="35"/>
  </w:num>
  <w:num w:numId="16">
    <w:abstractNumId w:val="16"/>
  </w:num>
  <w:num w:numId="17">
    <w:abstractNumId w:val="3"/>
  </w:num>
  <w:num w:numId="18">
    <w:abstractNumId w:val="15"/>
  </w:num>
  <w:num w:numId="19">
    <w:abstractNumId w:val="33"/>
  </w:num>
  <w:num w:numId="20">
    <w:abstractNumId w:val="40"/>
  </w:num>
  <w:num w:numId="21">
    <w:abstractNumId w:val="37"/>
  </w:num>
  <w:num w:numId="22">
    <w:abstractNumId w:val="19"/>
  </w:num>
  <w:num w:numId="23">
    <w:abstractNumId w:val="29"/>
  </w:num>
  <w:num w:numId="24">
    <w:abstractNumId w:val="17"/>
  </w:num>
  <w:num w:numId="25">
    <w:abstractNumId w:val="27"/>
  </w:num>
  <w:num w:numId="26">
    <w:abstractNumId w:val="21"/>
  </w:num>
  <w:num w:numId="27">
    <w:abstractNumId w:val="41"/>
  </w:num>
  <w:num w:numId="28">
    <w:abstractNumId w:val="23"/>
  </w:num>
  <w:num w:numId="29">
    <w:abstractNumId w:val="23"/>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5"/>
  </w:num>
  <w:num w:numId="32">
    <w:abstractNumId w:val="32"/>
  </w:num>
  <w:num w:numId="33">
    <w:abstractNumId w:val="11"/>
  </w:num>
  <w:num w:numId="34">
    <w:abstractNumId w:val="31"/>
  </w:num>
  <w:num w:numId="35">
    <w:abstractNumId w:val="14"/>
  </w:num>
  <w:num w:numId="36">
    <w:abstractNumId w:val="9"/>
  </w:num>
  <w:num w:numId="37">
    <w:abstractNumId w:val="25"/>
  </w:num>
  <w:num w:numId="38">
    <w:abstractNumId w:val="4"/>
  </w:num>
  <w:num w:numId="39">
    <w:abstractNumId w:val="30"/>
  </w:num>
  <w:num w:numId="40">
    <w:abstractNumId w:val="13"/>
  </w:num>
  <w:num w:numId="41">
    <w:abstractNumId w:val="44"/>
  </w:num>
  <w:num w:numId="42">
    <w:abstractNumId w:val="26"/>
  </w:num>
  <w:num w:numId="43">
    <w:abstractNumId w:val="18"/>
  </w:num>
  <w:num w:numId="44">
    <w:abstractNumId w:val="20"/>
  </w:num>
  <w:num w:numId="45">
    <w:abstractNumId w:val="43"/>
  </w:num>
  <w:num w:numId="46">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D35"/>
    <w:rsid w:val="00736E17"/>
    <w:rsid w:val="0073746F"/>
    <w:rsid w:val="0073767E"/>
    <w:rsid w:val="007376CF"/>
    <w:rsid w:val="007378B8"/>
    <w:rsid w:val="00737E61"/>
    <w:rsid w:val="00737F1C"/>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B0A"/>
    <w:rsid w:val="00FD2D51"/>
    <w:rsid w:val="00FD30B5"/>
    <w:rsid w:val="00FD32D6"/>
    <w:rsid w:val="00FD3448"/>
    <w:rsid w:val="00FD38F4"/>
    <w:rsid w:val="00FD41FC"/>
    <w:rsid w:val="00FD427C"/>
    <w:rsid w:val="00FD4335"/>
    <w:rsid w:val="00FD4539"/>
    <w:rsid w:val="00FD4F59"/>
    <w:rsid w:val="00FD5080"/>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1FCCFB23-6D01-48C8-9703-A3D4B2C6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13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073.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0" Type="http://schemas.openxmlformats.org/officeDocument/2006/relationships/hyperlink" Target="file:///C:\Users\wanshic\OneDrive%20-%20Qualcomm\Documents\Standards\3GPP%20Standards\Meeting%20Documents\TSGR1_104b\Docs\R1-2102834.zip" TargetMode="External"/><Relationship Id="rId29" Type="http://schemas.openxmlformats.org/officeDocument/2006/relationships/hyperlink" Target="file:///C:\Users\wanshic\OneDrive%20-%20Qualcomm\Documents\Standards\3GPP%20Standards\Meeting%20Documents\TSGR1_104b\Docs\R1-210332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63.zip"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2975.zip" TargetMode="External"/><Relationship Id="rId28" Type="http://schemas.openxmlformats.org/officeDocument/2006/relationships/hyperlink" Target="file:///C:\Users\wanshic\OneDrive%20-%20Qualcomm\Documents\Standards\3GPP%20Standards\Meeting%20Documents\TSGR1_104b\Docs\R1-2103275.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wanshic\OneDrive%20-%20Qualcomm\Documents\Standards\3GPP%20Standards\Meeting%20Documents\TSGR1_104b\Docs\R1-210255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269.zip" TargetMode="External"/><Relationship Id="rId30" Type="http://schemas.openxmlformats.org/officeDocument/2006/relationships/hyperlink" Target="file:///C:\Users\wanshic\OneDrive%20-%20Qualcomm\Documents\Standards\3GPP%20Standards\Meeting%20Documents\TSGR1_104b\Docs\R1-2103530.zip" TargetMode="External"/><Relationship Id="rId35"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FE1B81-03C4-4145-8693-13DAE2E8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19</Pages>
  <Words>7518</Words>
  <Characters>42854</Characters>
  <Application>Microsoft Office Word</Application>
  <DocSecurity>0</DocSecurity>
  <Lines>357</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50272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Carmela Cozzo</cp:lastModifiedBy>
  <cp:revision>34</cp:revision>
  <dcterms:created xsi:type="dcterms:W3CDTF">2021-04-12T11:41:00Z</dcterms:created>
  <dcterms:modified xsi:type="dcterms:W3CDTF">2021-04-12T20:18:00Z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