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lastRenderedPageBreak/>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lastRenderedPageBreak/>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lastRenderedPageBreak/>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xml:space="preserve">. In other words, it should be avoided that the UE checks whether it enters the infinite loop after </w:t>
            </w:r>
            <w:r w:rsidR="003B032D">
              <w:rPr>
                <w:rFonts w:ascii="Calibri" w:eastAsia="맑은 고딕" w:hAnsi="Calibri" w:cs="Calibri"/>
                <w:bCs/>
                <w:sz w:val="22"/>
                <w:szCs w:val="22"/>
                <w:lang w:eastAsia="ko-KR"/>
              </w:rPr>
              <w:t xml:space="preserve">intentionally </w:t>
            </w:r>
            <w:r>
              <w:rPr>
                <w:rFonts w:ascii="Calibri" w:eastAsia="맑은 고딕"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which lead</w:t>
            </w:r>
            <w:r w:rsidR="003B032D">
              <w:rPr>
                <w:rFonts w:ascii="Calibri" w:eastAsia="맑은 고딕" w:hAnsi="Calibri" w:cs="Calibri"/>
                <w:bCs/>
                <w:sz w:val="22"/>
                <w:szCs w:val="22"/>
                <w:lang w:eastAsia="ko-KR"/>
              </w:rPr>
              <w:t>s</w:t>
            </w:r>
            <w:r>
              <w:rPr>
                <w:rFonts w:ascii="Calibri" w:eastAsia="맑은 고딕" w:hAnsi="Calibri" w:cs="Calibri"/>
                <w:bCs/>
                <w:sz w:val="22"/>
                <w:szCs w:val="22"/>
                <w:lang w:eastAsia="ko-KR"/>
              </w:rPr>
              <w:t xml:space="preserve">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맑은 고딕" w:hAnsi="Calibri" w:cs="Calibri"/>
                <w:b/>
                <w:bCs/>
                <w:color w:val="FF0000"/>
                <w:sz w:val="22"/>
                <w:szCs w:val="22"/>
                <w:lang w:eastAsia="ko-KR"/>
              </w:rPr>
            </w:pPr>
          </w:p>
          <w:p w14:paraId="2107E099" w14:textId="77777777" w:rsidR="005B3C76" w:rsidRPr="000F663E" w:rsidRDefault="005B3C76" w:rsidP="005B3C76">
            <w:pPr>
              <w:jc w:val="both"/>
              <w:rPr>
                <w:rFonts w:ascii="Calibri" w:eastAsia="맑은 고딕"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lastRenderedPageBreak/>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lastRenderedPageBreak/>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SimSun"/>
                <w:lang w:val="en-US" w:eastAsia="zh-CN"/>
              </w:rPr>
            </w:pPr>
            <w:r>
              <w:rPr>
                <w:rFonts w:eastAsia="SimSun" w:hint="eastAsia"/>
                <w:lang w:val="en-US" w:eastAsia="zh-CN"/>
              </w:rPr>
              <w:t>ZTE</w:t>
            </w:r>
          </w:p>
        </w:tc>
        <w:tc>
          <w:tcPr>
            <w:tcW w:w="7793" w:type="dxa"/>
          </w:tcPr>
          <w:p w14:paraId="75855893" w14:textId="50E23112" w:rsidR="00A34C10" w:rsidRDefault="00A34C10" w:rsidP="006A13FB">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6A13FB">
            <w:pPr>
              <w:jc w:val="both"/>
              <w:rPr>
                <w:rFonts w:eastAsia="SimSun"/>
                <w:lang w:val="en-US" w:eastAsia="zh-CN"/>
              </w:rPr>
            </w:pPr>
            <w:r>
              <w:rPr>
                <w:rFonts w:eastAsia="SimSun" w:hint="eastAsia"/>
                <w:lang w:val="en-US" w:eastAsia="zh-CN"/>
              </w:rPr>
              <w:t>According TS38.214:</w:t>
            </w:r>
          </w:p>
          <w:p w14:paraId="64C98A2D" w14:textId="77777777" w:rsidR="00A34C10" w:rsidRDefault="00A34C10" w:rsidP="006A13FB">
            <w:pPr>
              <w:pStyle w:val="B2"/>
              <w:rPr>
                <w:lang w:eastAsia="en-GB"/>
              </w:rPr>
            </w:pPr>
            <w:r>
              <w:rPr>
                <w:rFonts w:eastAsia="맑은 고딕"/>
                <w:lang w:eastAsia="ko-KR"/>
              </w:rPr>
              <w:t>-</w:t>
            </w:r>
            <w:r>
              <w:rPr>
                <w:rFonts w:eastAsia="맑은 고딕"/>
                <w:lang w:eastAsia="ko-KR"/>
              </w:rPr>
              <w:tab/>
              <w:t>selection</w:t>
            </w:r>
            <w:r>
              <w:rPr>
                <w:rFonts w:eastAsia="맑은 고딕"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맑은 고딕" w:hint="eastAsia"/>
                <w:lang w:eastAsia="ko-KR"/>
              </w:rPr>
              <w:t xml:space="preserve"> </w:t>
            </w:r>
            <w:r>
              <w:rPr>
                <w:rFonts w:eastAsia="맑은 고딕"/>
                <w:lang w:eastAsia="ko-KR"/>
              </w:rPr>
              <w:t>is</w:t>
            </w:r>
            <w:r>
              <w:rPr>
                <w:rFonts w:eastAsia="맑은 고딕" w:hint="eastAsia"/>
                <w:lang w:eastAsia="ko-KR"/>
              </w:rPr>
              <w:t xml:space="preserve"> up to UE implementation under </w:t>
            </w:r>
            <m:oMath>
              <m:r>
                <w:rPr>
                  <w:rFonts w:ascii="Cambria Math" w:eastAsia="맑은 고딕"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맑은 고딕"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is defined in slots in Table 8.1.4-2</w:t>
            </w:r>
            <w:r>
              <w:rPr>
                <w:rFonts w:eastAsia="맑은 고딕"/>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맑은 고딕"/>
                <w:lang w:eastAsia="en-GB"/>
              </w:rPr>
              <w:t xml:space="preserve">; </w:t>
            </w:r>
          </w:p>
          <w:p w14:paraId="22C6DD41" w14:textId="77777777" w:rsidR="00A34C10" w:rsidRDefault="00A34C10" w:rsidP="006A13FB">
            <w:pPr>
              <w:pStyle w:val="B2"/>
              <w:rPr>
                <w:rFonts w:eastAsia="맑은 고딕"/>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맑은 고딕"/>
                <w:lang w:eastAsia="en-GB"/>
              </w:rPr>
              <w:t xml:space="preserve"> </w:t>
            </w:r>
            <m:oMath>
              <m:r>
                <w:rPr>
                  <w:rFonts w:ascii="Cambria Math" w:hAnsi="Cambria Math"/>
                  <w:lang w:eastAsia="en-GB"/>
                </w:rPr>
                <m:t>≤</m:t>
              </m:r>
            </m:oMath>
            <w:r>
              <w:rPr>
                <w:rFonts w:eastAsia="맑은 고딕"/>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맑은 고딕"/>
                <w:lang w:eastAsia="en-GB"/>
              </w:rPr>
              <w:t>.</w:t>
            </w:r>
          </w:p>
          <w:p w14:paraId="4222D896" w14:textId="64958748" w:rsidR="00A34C10" w:rsidRDefault="00A34C10" w:rsidP="006A13FB">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rFonts w:hint="eastAsia"/>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맑은 고딕" w:hint="eastAsia"/>
                <w:lang w:eastAsia="ko-KR"/>
              </w:rPr>
            </w:pPr>
            <w:r>
              <w:rPr>
                <w:rFonts w:eastAsia="맑은 고딕" w:hint="eastAsia"/>
                <w:lang w:eastAsia="ko-KR"/>
              </w:rPr>
              <w:t>This conclusion is not necessary</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 xml:space="preserve">Update the specification of identification of candidate resources for Mode-2 resource allocation in section 8.1.4 of TS 38.214 to introduce a loop stopping </w:t>
      </w:r>
      <w:r>
        <w:lastRenderedPageBreak/>
        <w:t>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맑은 고딕" w:hint="eastAsia"/>
                <w:lang w:eastAsia="ko-KR"/>
              </w:rPr>
            </w:pPr>
            <w:r>
              <w:rPr>
                <w:rFonts w:eastAsia="맑은 고딕"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 xml:space="preserve">We can accept </w:t>
            </w:r>
            <w:bookmarkStart w:id="5" w:name="_GoBack"/>
            <w:bookmarkEnd w:id="5"/>
            <w:r>
              <w:rPr>
                <w:rFonts w:eastAsiaTheme="minorEastAsia"/>
                <w:lang w:eastAsia="zh-CN"/>
              </w:rPr>
              <w:t xml:space="preserve">if the majority </w:t>
            </w:r>
            <w:r>
              <w:rPr>
                <w:rFonts w:eastAsiaTheme="minorEastAsia"/>
                <w:lang w:eastAsia="zh-CN"/>
              </w:rPr>
              <w:t>support this proposal.</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lastRenderedPageBreak/>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lastRenderedPageBreak/>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맑은 고딕" w:hint="eastAsia"/>
                <w:lang w:eastAsia="ko-KR"/>
              </w:rPr>
            </w:pPr>
            <w:r>
              <w:rPr>
                <w:rFonts w:eastAsia="맑은 고딕" w:hint="eastAsia"/>
                <w:lang w:eastAsia="ko-KR"/>
              </w:rPr>
              <w:lastRenderedPageBreak/>
              <w:t>Samsung</w:t>
            </w:r>
          </w:p>
        </w:tc>
        <w:tc>
          <w:tcPr>
            <w:tcW w:w="1418" w:type="dxa"/>
          </w:tcPr>
          <w:p w14:paraId="4E9046EC" w14:textId="0A7A6D11" w:rsidR="00D353DC" w:rsidRDefault="00D353DC" w:rsidP="004A7D42">
            <w:pPr>
              <w:jc w:val="both"/>
              <w:rPr>
                <w:rFonts w:eastAsiaTheme="minorEastAsia" w:hint="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맑은 고딕" w:hint="eastAsia"/>
                <w:lang w:eastAsia="ko-KR"/>
              </w:rPr>
            </w:pPr>
            <w:r>
              <w:rPr>
                <w:rFonts w:eastAsia="맑은 고딕" w:hint="eastAsia"/>
                <w:lang w:eastAsia="ko-KR"/>
              </w:rPr>
              <w:t xml:space="preserve">We are not clear step 5 </w:t>
            </w:r>
            <w:r>
              <w:rPr>
                <w:rFonts w:eastAsia="맑은 고딕"/>
                <w:lang w:eastAsia="ko-KR"/>
              </w:rPr>
              <w:t xml:space="preserve">procedure </w:t>
            </w:r>
            <w:r>
              <w:rPr>
                <w:rFonts w:eastAsia="맑은 고딕" w:hint="eastAsia"/>
                <w:lang w:eastAsia="ko-KR"/>
              </w:rPr>
              <w:t xml:space="preserve">is really beneficial but </w:t>
            </w:r>
            <w:r>
              <w:rPr>
                <w:rFonts w:eastAsia="맑은 고딕"/>
                <w:lang w:eastAsia="ko-KR"/>
              </w:rPr>
              <w:t>it seems that nobody considers removing step 5 as another option. Among the listed options, our preference is Option 1-2.</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5"/>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5"/>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5"/>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E21E1" w14:textId="77777777" w:rsidR="00A96ED3" w:rsidRDefault="00A96ED3">
      <w:r>
        <w:separator/>
      </w:r>
    </w:p>
  </w:endnote>
  <w:endnote w:type="continuationSeparator" w:id="0">
    <w:p w14:paraId="3F2BF7D7" w14:textId="77777777" w:rsidR="00A96ED3" w:rsidRDefault="00A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80DD" w14:textId="77777777" w:rsidR="00A96ED3" w:rsidRDefault="00A96ED3">
      <w:r>
        <w:separator/>
      </w:r>
    </w:p>
  </w:footnote>
  <w:footnote w:type="continuationSeparator" w:id="0">
    <w:p w14:paraId="234075BF" w14:textId="77777777" w:rsidR="00A96ED3" w:rsidRDefault="00A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www.w3.org/XML/1998/namespace"/>
    <ds:schemaRef ds:uri="http://schemas.openxmlformats.org/package/2006/metadata/core-properties"/>
    <ds:schemaRef ds:uri="bcc01d59-85de-4ef9-881e-76d8b6a6f841"/>
    <ds:schemaRef ds:uri="http://purl.org/dc/elements/1.1/"/>
    <ds:schemaRef ds:uri="4b1de6fe-44aa-4e13-b7e7-ab260d1ea5f8"/>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3C415-7859-4F1B-8063-ACE84299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8</Pages>
  <Words>4699</Words>
  <Characters>23725</Characters>
  <Application>Microsoft Office Word</Application>
  <DocSecurity>4</DocSecurity>
  <Lines>197</Lines>
  <Paragraphs>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28368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2</cp:revision>
  <cp:lastPrinted>2013-05-13T15:37:00Z</cp:lastPrinted>
  <dcterms:created xsi:type="dcterms:W3CDTF">2021-04-14T09:18:00Z</dcterms:created>
  <dcterms:modified xsi:type="dcterms:W3CDTF">2021-04-14T09:18:00Z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