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xml:space="preserve">,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 xml:space="preserve">If the sub-set is derived based some predefined rule, e.g., the first X periodicity values as proposed by [1], then </w:t>
            </w:r>
            <w:proofErr w:type="gramStart"/>
            <w:r>
              <w:rPr>
                <w:bCs/>
                <w:iCs/>
              </w:rPr>
              <w:t>it’s</w:t>
            </w:r>
            <w:proofErr w:type="gramEnd"/>
            <w:r>
              <w:rPr>
                <w:bCs/>
                <w:iCs/>
              </w:rPr>
              <w:t xml:space="preserve">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 xml:space="preserve">ption 1-1 will lead to the performance loss because UE </w:t>
            </w:r>
            <w:proofErr w:type="gramStart"/>
            <w:r>
              <w:rPr>
                <w:rFonts w:eastAsiaTheme="minorEastAsia"/>
                <w:lang w:eastAsia="zh-CN"/>
              </w:rPr>
              <w:t>doesn’t</w:t>
            </w:r>
            <w:proofErr w:type="gramEnd"/>
            <w:r>
              <w:rPr>
                <w:rFonts w:eastAsiaTheme="minorEastAsia"/>
                <w:lang w:eastAsia="zh-CN"/>
              </w:rPr>
              <w:t xml:space="preserve">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 xml:space="preserve">Our preference is Option 1-2. The intention of Step 5 is to solve the issue of half-duplex. If it </w:t>
            </w:r>
            <w:proofErr w:type="gramStart"/>
            <w:r>
              <w:rPr>
                <w:rFonts w:eastAsiaTheme="minorEastAsia"/>
                <w:lang w:eastAsia="zh-CN"/>
              </w:rPr>
              <w:t>doesn’t</w:t>
            </w:r>
            <w:proofErr w:type="gramEnd"/>
            <w:r>
              <w:rPr>
                <w:rFonts w:eastAsiaTheme="minorEastAsia"/>
                <w:lang w:eastAsia="zh-CN"/>
              </w:rPr>
              <w:t xml:space="preserve">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proofErr w:type="gramStart"/>
      <w:r>
        <w:t>I’m</w:t>
      </w:r>
      <w:proofErr w:type="gramEnd"/>
      <w:r>
        <w:t xml:space="preserve">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 xml:space="preserve">Q3: Is the above conclusion agreeable? Please indicate other suggestions if you </w:t>
      </w:r>
      <w:proofErr w:type="gramStart"/>
      <w:r>
        <w:rPr>
          <w:b/>
          <w:bCs/>
        </w:rPr>
        <w:t>don’t</w:t>
      </w:r>
      <w:proofErr w:type="gramEnd"/>
      <w:r>
        <w:rPr>
          <w:b/>
          <w:bCs/>
        </w:rPr>
        <w:t xml:space="preserve">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E26CCE">
        <w:tc>
          <w:tcPr>
            <w:tcW w:w="1838" w:type="dxa"/>
          </w:tcPr>
          <w:p w14:paraId="39C3BF19" w14:textId="77777777" w:rsidR="00F95D5E" w:rsidRDefault="00F95D5E" w:rsidP="00E26CCE">
            <w:pPr>
              <w:jc w:val="both"/>
            </w:pPr>
            <w:r>
              <w:t>Source</w:t>
            </w:r>
          </w:p>
        </w:tc>
        <w:tc>
          <w:tcPr>
            <w:tcW w:w="7793" w:type="dxa"/>
          </w:tcPr>
          <w:p w14:paraId="2586E6A5" w14:textId="77777777" w:rsidR="00F95D5E" w:rsidRDefault="00F95D5E" w:rsidP="00E26CCE">
            <w:pPr>
              <w:jc w:val="both"/>
            </w:pPr>
            <w:r>
              <w:t>Comment</w:t>
            </w:r>
          </w:p>
        </w:tc>
      </w:tr>
      <w:tr w:rsidR="00B65A68" w14:paraId="046CA549" w14:textId="77777777" w:rsidTr="00505B49">
        <w:tc>
          <w:tcPr>
            <w:tcW w:w="1838" w:type="dxa"/>
          </w:tcPr>
          <w:p w14:paraId="1300AEAF" w14:textId="77777777" w:rsidR="00B65A68" w:rsidRDefault="00B65A68" w:rsidP="00505B49">
            <w:pPr>
              <w:jc w:val="both"/>
            </w:pPr>
            <w:r>
              <w:t>NTT DOCOMO</w:t>
            </w:r>
          </w:p>
        </w:tc>
        <w:tc>
          <w:tcPr>
            <w:tcW w:w="7793" w:type="dxa"/>
          </w:tcPr>
          <w:p w14:paraId="1C3A1D6F" w14:textId="77777777" w:rsidR="00B65A68" w:rsidRDefault="00B65A68" w:rsidP="00505B49">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505B49">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E26CCE">
        <w:tc>
          <w:tcPr>
            <w:tcW w:w="1838" w:type="dxa"/>
          </w:tcPr>
          <w:p w14:paraId="2FC41C39" w14:textId="07A600DF" w:rsidR="00F95D5E" w:rsidRPr="00B65A68" w:rsidRDefault="00BC6FF7" w:rsidP="00E26CCE">
            <w:pPr>
              <w:jc w:val="both"/>
            </w:pPr>
            <w:r>
              <w:t>Sharp</w:t>
            </w:r>
          </w:p>
        </w:tc>
        <w:tc>
          <w:tcPr>
            <w:tcW w:w="7793" w:type="dxa"/>
          </w:tcPr>
          <w:p w14:paraId="117B8DA1" w14:textId="2AF0E385" w:rsidR="00F95D5E" w:rsidRDefault="00BC6FF7" w:rsidP="00E26CCE">
            <w:pPr>
              <w:jc w:val="both"/>
            </w:pPr>
            <w:r>
              <w:t>The proposed conclusion seems an optimization at this stage</w:t>
            </w:r>
            <w:r w:rsidR="00A145A7">
              <w:t xml:space="preserve"> and thus not needed.</w:t>
            </w:r>
          </w:p>
        </w:tc>
      </w:tr>
      <w:tr w:rsidR="00F95D5E" w14:paraId="125CD59B" w14:textId="77777777" w:rsidTr="00E26CCE">
        <w:tc>
          <w:tcPr>
            <w:tcW w:w="1838" w:type="dxa"/>
          </w:tcPr>
          <w:p w14:paraId="114A4510" w14:textId="12A7F4FD" w:rsidR="00F95D5E" w:rsidRDefault="007E05A2" w:rsidP="00E26CCE">
            <w:pPr>
              <w:jc w:val="both"/>
            </w:pPr>
            <w:r>
              <w:t>FUTUREWEI</w:t>
            </w:r>
          </w:p>
        </w:tc>
        <w:tc>
          <w:tcPr>
            <w:tcW w:w="7793" w:type="dxa"/>
          </w:tcPr>
          <w:p w14:paraId="6948366D" w14:textId="19F8159D" w:rsidR="00F95D5E" w:rsidRDefault="007E05A2" w:rsidP="00E26CCE">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lastRenderedPageBreak/>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505B49">
        <w:tc>
          <w:tcPr>
            <w:tcW w:w="1838" w:type="dxa"/>
          </w:tcPr>
          <w:p w14:paraId="7CFA65B1" w14:textId="77777777" w:rsidR="00B65A68" w:rsidRPr="0062483B" w:rsidRDefault="00B65A68" w:rsidP="00505B49">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505B49">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 xml:space="preserve">We do not support this proposal if the loop stopping condition only include the approach 1 as in the current definitions of approach 1.  </w:t>
            </w:r>
            <w:proofErr w:type="gramStart"/>
            <w:r>
              <w:t>Actually, the</w:t>
            </w:r>
            <w:proofErr w:type="gramEnd"/>
            <w:r>
              <w:t xml:space="preserv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w:t>
      </w:r>
      <w:proofErr w:type="gramStart"/>
      <w:r w:rsidR="00816912">
        <w:t>I’ve</w:t>
      </w:r>
      <w:proofErr w:type="gramEnd"/>
      <w:r w:rsidR="00816912">
        <w:t xml:space="preser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505B49">
        <w:tc>
          <w:tcPr>
            <w:tcW w:w="1838" w:type="dxa"/>
          </w:tcPr>
          <w:p w14:paraId="5590468E" w14:textId="77777777" w:rsidR="00B65A68" w:rsidRPr="00485845" w:rsidRDefault="00B65A68" w:rsidP="00505B49">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505B49">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505B49">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505B49">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505B49">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lastRenderedPageBreak/>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xml:space="preserve">” in the other two options also applies, we suggest </w:t>
            </w:r>
            <w:proofErr w:type="gramStart"/>
            <w:r w:rsidR="002525C2">
              <w:t>to add</w:t>
            </w:r>
            <w:proofErr w:type="gramEnd"/>
            <w:r w:rsidR="002525C2">
              <w:t xml:space="preserve">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4A9A7F5B"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0F0DE3E7" w14:textId="77777777" w:rsidR="00524B63" w:rsidRDefault="00EB14E0" w:rsidP="00786896">
      <w:pPr>
        <w:pStyle w:val="ListParagraph"/>
        <w:numPr>
          <w:ilvl w:val="0"/>
          <w:numId w:val="14"/>
        </w:numPr>
        <w:ind w:leftChars="0"/>
      </w:pPr>
      <w:bookmarkStart w:id="8" w:name="_Ref68706853"/>
      <w:r>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1BDD" w14:textId="77777777" w:rsidR="005B6098" w:rsidRDefault="005B6098">
      <w:r>
        <w:separator/>
      </w:r>
    </w:p>
  </w:endnote>
  <w:endnote w:type="continuationSeparator" w:id="0">
    <w:p w14:paraId="3702F5BF" w14:textId="77777777" w:rsidR="005B6098" w:rsidRDefault="005B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22CA" w14:textId="77777777" w:rsidR="005B6098" w:rsidRDefault="005B6098">
      <w:r>
        <w:separator/>
      </w:r>
    </w:p>
  </w:footnote>
  <w:footnote w:type="continuationSeparator" w:id="0">
    <w:p w14:paraId="2D1072AD" w14:textId="77777777" w:rsidR="005B6098" w:rsidRDefault="005B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8B700DDC-3168-4FBF-A328-7ED28148A6E7}">
  <ds:schemaRefs>
    <ds:schemaRef ds:uri="http://schemas.openxmlformats.org/officeDocument/2006/bibliography"/>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23</TotalTime>
  <Pages>7</Pages>
  <Words>3467</Words>
  <Characters>19767</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23188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Guosen Yue</cp:lastModifiedBy>
  <cp:revision>9</cp:revision>
  <cp:lastPrinted>2013-05-13T15:37:00Z</cp:lastPrinted>
  <dcterms:created xsi:type="dcterms:W3CDTF">2021-04-14T03:22:00Z</dcterms:created>
  <dcterms:modified xsi:type="dcterms:W3CDTF">2021-04-14T03:41:00Z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