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77777777" w:rsidR="00D4393E" w:rsidRDefault="00D4393E" w:rsidP="009B2F9B"/>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wideband operation, The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w:t>
            </w:r>
            <w:proofErr w:type="spellStart"/>
            <w:r w:rsidRPr="009F60E5">
              <w:rPr>
                <w:rFonts w:eastAsia="Malgun Gothic"/>
                <w:szCs w:val="20"/>
              </w:rPr>
              <w:t>on</w:t>
            </w:r>
            <w:proofErr w:type="spellEnd"/>
            <w:r w:rsidRPr="009F60E5">
              <w:rPr>
                <w:rFonts w:eastAsia="Malgun Gothic"/>
                <w:szCs w:val="20"/>
              </w:rPr>
              <w:t xml:space="preserve">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w:t>
            </w:r>
            <w:proofErr w:type="spellStart"/>
            <w:r w:rsidRPr="009F60E5">
              <w:rPr>
                <w:rFonts w:eastAsia="Times New Roman"/>
                <w:szCs w:val="20"/>
              </w:rPr>
              <w:t>een</w:t>
            </w:r>
            <w:proofErr w:type="spellEnd"/>
            <w:r w:rsidRPr="009F60E5">
              <w:rPr>
                <w:rFonts w:eastAsia="Times New Roman"/>
                <w:szCs w:val="20"/>
              </w:rPr>
              <w:t xml:space="preserve"> the DL transmission of the </w:t>
            </w:r>
            <w:proofErr w:type="spellStart"/>
            <w:r w:rsidRPr="009F60E5">
              <w:rPr>
                <w:rFonts w:eastAsia="Times New Roman"/>
                <w:szCs w:val="20"/>
              </w:rPr>
              <w:t>eNB</w:t>
            </w:r>
            <w:proofErr w:type="spellEnd"/>
            <w:r w:rsidRPr="009F60E5">
              <w:rPr>
                <w:rFonts w:eastAsia="Times New Roman"/>
                <w:szCs w:val="20"/>
              </w:rPr>
              <w:t xml:space="preserve">/gNB and UL transmissions scheduled by the </w:t>
            </w:r>
            <w:proofErr w:type="spellStart"/>
            <w:r w:rsidRPr="009F60E5">
              <w:rPr>
                <w:rFonts w:eastAsia="Times New Roman"/>
                <w:szCs w:val="20"/>
              </w:rPr>
              <w:t>eNB</w:t>
            </w:r>
            <w:proofErr w:type="spellEnd"/>
            <w:r w:rsidRPr="009F60E5">
              <w:rPr>
                <w:rFonts w:eastAsia="Times New Roman"/>
                <w:szCs w:val="20"/>
              </w:rPr>
              <w:t xml:space="preserve">/gNB, and between any two UL transmissions scheduled by the </w:t>
            </w:r>
            <w:proofErr w:type="spellStart"/>
            <w:r w:rsidRPr="009F60E5">
              <w:rPr>
                <w:rFonts w:eastAsia="Times New Roman"/>
                <w:szCs w:val="20"/>
              </w:rPr>
              <w:t>eNB</w:t>
            </w:r>
            <w:proofErr w:type="spellEnd"/>
            <w:r w:rsidRPr="009F60E5">
              <w:rPr>
                <w:rFonts w:eastAsia="Times New Roman"/>
                <w:szCs w:val="20"/>
              </w:rPr>
              <w:t xml:space="preserve">/gNB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if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w:t>
              </w:r>
              <w:r>
                <w:rPr>
                  <w:rFonts w:eastAsia="Times New Roman"/>
                  <w:szCs w:val="20"/>
                </w:rPr>
                <w:lastRenderedPageBreak/>
                <w:t>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w:t>
            </w:r>
            <w:proofErr w:type="spellStart"/>
            <w:r w:rsidRPr="009F60E5">
              <w:rPr>
                <w:rFonts w:eastAsia="Times New Roman"/>
                <w:szCs w:val="20"/>
                <w:lang w:eastAsia="x-none"/>
              </w:rPr>
              <w:t>eNB</w:t>
            </w:r>
            <w:proofErr w:type="spellEnd"/>
            <w:r w:rsidRPr="009F60E5">
              <w:rPr>
                <w:rFonts w:eastAsia="Times New Roman"/>
                <w:szCs w:val="20"/>
                <w:lang w:eastAsia="x-none"/>
              </w:rPr>
              <w:t xml:space="preserve">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 xml:space="preserve">acquired the channel using the largest priority class value and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w:t>
            </w:r>
            <w:proofErr w:type="spellStart"/>
            <w:r w:rsidRPr="009F60E5">
              <w:rPr>
                <w:rFonts w:eastAsia="Times New Roman"/>
                <w:szCs w:val="20"/>
              </w:rPr>
              <w:t>eNB</w:t>
            </w:r>
            <w:proofErr w:type="spellEnd"/>
            <w:r w:rsidRPr="009F60E5">
              <w:rPr>
                <w:rFonts w:eastAsia="Times New Roman"/>
                <w:szCs w:val="20"/>
              </w:rPr>
              <w:t xml:space="preserve">/gNB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w:t>
            </w:r>
            <w:proofErr w:type="spellStart"/>
            <w:r w:rsidRPr="009F60E5">
              <w:rPr>
                <w:rFonts w:eastAsia="Times New Roman"/>
                <w:szCs w:val="20"/>
                <w:lang w:val="en-US"/>
              </w:rPr>
              <w:t>eNB</w:t>
            </w:r>
            <w:proofErr w:type="spellEnd"/>
            <w:r w:rsidRPr="009F60E5">
              <w:rPr>
                <w:rFonts w:eastAsia="Times New Roman"/>
                <w:szCs w:val="20"/>
                <w:lang w:val="en-US"/>
              </w:rPr>
              <w:t xml:space="preserve">/gNB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If the </w:t>
            </w:r>
            <w:proofErr w:type="spellStart"/>
            <w:r w:rsidRPr="009F60E5">
              <w:rPr>
                <w:rFonts w:eastAsia="Times New Roman"/>
                <w:szCs w:val="20"/>
                <w:lang w:val="en-US"/>
              </w:rPr>
              <w:t>eNB</w:t>
            </w:r>
            <w:proofErr w:type="spellEnd"/>
            <w:r w:rsidRPr="009F60E5">
              <w:rPr>
                <w:rFonts w:eastAsia="Times New Roman"/>
                <w:szCs w:val="20"/>
                <w:lang w:val="en-US"/>
              </w:rPr>
              <w:t xml:space="preserve">/gNB indicates Type 2 channel access procedure for the UE in the DCI, the </w:t>
            </w:r>
            <w:proofErr w:type="spellStart"/>
            <w:r w:rsidRPr="009F60E5">
              <w:rPr>
                <w:rFonts w:eastAsia="Times New Roman"/>
                <w:szCs w:val="20"/>
                <w:lang w:val="en-US"/>
              </w:rPr>
              <w:t>eNB</w:t>
            </w:r>
            <w:proofErr w:type="spellEnd"/>
            <w:r w:rsidRPr="009F60E5">
              <w:rPr>
                <w:rFonts w:eastAsia="Times New Roman"/>
                <w:szCs w:val="20"/>
                <w:lang w:val="en-US"/>
              </w:rPr>
              <w:t>/gNB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54108B9A" w:rsidR="00515D46" w:rsidRDefault="00515D46"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w:t>
            </w:r>
            <w:r w:rsidRPr="00931BD0">
              <w:rPr>
                <w:rFonts w:eastAsia="Times New Roman"/>
                <w:szCs w:val="20"/>
              </w:rPr>
              <w:lastRenderedPageBreak/>
              <w:t xml:space="preserve">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w:t>
            </w:r>
            <w:proofErr w:type="spellStart"/>
            <w:r w:rsidRPr="00931BD0">
              <w:rPr>
                <w:rFonts w:eastAsia="Times New Roman"/>
                <w:szCs w:val="20"/>
              </w:rPr>
              <w:t>ansmission</w:t>
            </w:r>
            <w:proofErr w:type="spellEnd"/>
            <w:r w:rsidRPr="00931BD0">
              <w:rPr>
                <w:rFonts w:eastAsia="Times New Roman"/>
                <w:szCs w:val="20"/>
              </w:rPr>
              <w:t xml:space="preserve">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The CP extension </w:t>
                        </w:r>
                        <w:proofErr w:type="spellStart"/>
                        <w:r w:rsidRPr="001208CA">
                          <w:rPr>
                            <w:rFonts w:ascii="Arial" w:eastAsia="SimSun" w:hAnsi="Arial"/>
                            <w:b/>
                            <w:sz w:val="18"/>
                            <w:szCs w:val="20"/>
                            <w:lang w:eastAsia="zh-CN"/>
                          </w:rPr>
                          <w:t>T_"ext</w:t>
                        </w:r>
                        <w:proofErr w:type="spellEnd"/>
                        <w:r w:rsidRPr="001208CA">
                          <w:rPr>
                            <w:rFonts w:ascii="Arial" w:eastAsia="SimSun" w:hAnsi="Arial"/>
                            <w:b/>
                            <w:sz w:val="18"/>
                            <w:szCs w:val="20"/>
                            <w:lang w:eastAsia="zh-CN"/>
                          </w:rPr>
                          <w:t>"  index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proofErr w:type="spellStart"/>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proofErr w:type="spellEnd"/>
                        <w:r w:rsidRPr="001208CA">
                          <w:rPr>
                            <w:rFonts w:ascii="Arial" w:eastAsia="SimSun" w:hAnsi="Arial"/>
                            <w:color w:val="1F497D"/>
                            <w:sz w:val="18"/>
                            <w:szCs w:val="20"/>
                            <w:lang w:val="sv-SE"/>
                          </w:rPr>
                          <w:t xml:space="preserve"> </w:t>
                        </w:r>
                        <w:proofErr w:type="spellStart"/>
                        <w:r w:rsidRPr="001208CA">
                          <w:rPr>
                            <w:rFonts w:ascii="Arial" w:eastAsia="SimSun" w:hAnsi="Arial"/>
                            <w:sz w:val="18"/>
                            <w:szCs w:val="20"/>
                            <w:lang w:val="sv-SE"/>
                          </w:rPr>
                          <w:t>within</w:t>
                        </w:r>
                        <w:proofErr w:type="spellEnd"/>
                        <w:r w:rsidRPr="001208CA">
                          <w:rPr>
                            <w:rFonts w:ascii="Arial" w:eastAsia="SimSun" w:hAnsi="Arial"/>
                            <w:sz w:val="18"/>
                            <w:szCs w:val="20"/>
                            <w:lang w:val="sv-SE"/>
                          </w:rPr>
                          <w:t xml:space="preserve"> a 25us </w:t>
                        </w:r>
                        <w:proofErr w:type="spellStart"/>
                        <w:r w:rsidRPr="001208CA">
                          <w:rPr>
                            <w:rFonts w:ascii="Arial" w:eastAsia="SimSun" w:hAnsi="Arial"/>
                            <w:sz w:val="18"/>
                            <w:szCs w:val="20"/>
                            <w:lang w:val="sv-SE"/>
                          </w:rPr>
                          <w:t>interval</w:t>
                        </w:r>
                        <w:proofErr w:type="spellEnd"/>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lastRenderedPageBreak/>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sense the channel for an additional sensing slot duration, and if the additional sensing slot duration is idle, go to step 4; else, go to step 5;</w:t>
            </w:r>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idle</w:t>
            </w:r>
            <w:r w:rsidRPr="00553A2C">
              <w:rPr>
                <w:rFonts w:eastAsia="Times New Roman"/>
                <w:szCs w:val="20"/>
              </w:rPr>
              <w:t>;</w:t>
            </w:r>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go to step 4; else, go to s</w:t>
            </w:r>
            <w:proofErr w:type="spellStart"/>
            <w:r w:rsidRPr="00553A2C">
              <w:rPr>
                <w:rFonts w:eastAsia="Times New Roman"/>
                <w:szCs w:val="20"/>
              </w:rPr>
              <w:t>tep</w:t>
            </w:r>
            <w:proofErr w:type="spellEnd"/>
            <w:r w:rsidRPr="00553A2C">
              <w:rPr>
                <w:rFonts w:eastAsia="Times New Roman"/>
                <w:szCs w:val="20"/>
              </w:rPr>
              <w:t xml:space="preserve"> 5;</w:t>
            </w:r>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w:t>
            </w:r>
            <w:proofErr w:type="spellStart"/>
            <w:r w:rsidRPr="00553A2C">
              <w:rPr>
                <w:rFonts w:eastAsia="Times New Roman"/>
                <w:szCs w:val="20"/>
              </w:rPr>
              <w:t>rst</w:t>
            </w:r>
            <w:proofErr w:type="spellEnd"/>
            <w:r w:rsidRPr="00553A2C">
              <w:rPr>
                <w:rFonts w:eastAsia="Times New Roman"/>
                <w:szCs w:val="20"/>
              </w:rPr>
              <w:t xml:space="preserve">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sense the channel for an additional slot duration, and if the additional slot duration is idle, go to step 4; else, go to step 5;</w:t>
            </w:r>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idle;</w:t>
            </w:r>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go to step 4; else, go to step 5;</w:t>
            </w:r>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w:t>
            </w:r>
            <w:r w:rsidRPr="00DA3B7C">
              <w:rPr>
                <w:rFonts w:eastAsia="Times New Roman"/>
                <w:szCs w:val="20"/>
                <w:lang w:val="en-US" w:eastAsia="x-none"/>
              </w:rPr>
              <w:lastRenderedPageBreak/>
              <w:t xml:space="preserve">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w:t>
            </w:r>
            <w:proofErr w:type="spellStart"/>
            <w:r w:rsidRPr="00DA3B7C">
              <w:rPr>
                <w:rFonts w:eastAsia="Times New Roman"/>
                <w:szCs w:val="20"/>
                <w:lang w:val="en-US"/>
              </w:rPr>
              <w:t>sion</w:t>
            </w:r>
            <w:proofErr w:type="spellEnd"/>
            <w:r w:rsidRPr="00DA3B7C">
              <w:rPr>
                <w:rFonts w:eastAsia="Times New Roman"/>
                <w:szCs w:val="20"/>
                <w:lang w:val="en-US"/>
              </w:rPr>
              <w:t xml:space="preserve">.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transmit.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 xml:space="preserve">/gNB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w:t>
            </w:r>
            <w:proofErr w:type="spellStart"/>
            <w:r w:rsidRPr="006537A5">
              <w:rPr>
                <w:rFonts w:eastAsia="Times New Roman"/>
                <w:szCs w:val="20"/>
                <w:lang w:val="en-US"/>
              </w:rPr>
              <w:t>f</w:t>
            </w:r>
            <w:proofErr w:type="spellEnd"/>
            <w:r w:rsidRPr="006537A5">
              <w:rPr>
                <w:rFonts w:eastAsia="Times New Roman"/>
                <w:szCs w:val="20"/>
                <w:lang w:val="en-US"/>
              </w:rPr>
              <w:t xml:space="preserve">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w:t>
            </w:r>
            <w:r w:rsidRPr="006C20B5">
              <w:rPr>
                <w:rFonts w:eastAsia="Times New Roman"/>
                <w:szCs w:val="20"/>
              </w:rPr>
              <w:lastRenderedPageBreak/>
              <w:t xml:space="preserve">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channel  within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6B2AD6">
            <w:pPr>
              <w:pStyle w:val="Heading3"/>
              <w:outlineLvl w:val="2"/>
              <w:rPr>
                <w:rFonts w:eastAsia="Yu Mincho"/>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Malgun Gothic"/>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proofErr w:type="spellStart"/>
            <w:r>
              <w:rPr>
                <w:i/>
                <w:iCs/>
                <w:lang w:val="en-US"/>
              </w:rPr>
              <w:t>phy-PriorityIndex</w:t>
            </w:r>
            <w:proofErr w:type="spellEnd"/>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noProof/>
                <w:lang w:eastAsia="zh-CN"/>
              </w:rPr>
              <w:t xml:space="preserve"> </w:t>
            </w:r>
            <w:ins w:id="174" w:author="vivo (Stephen)" w:date="2021-03-31T22:23:00Z">
              <w:r>
                <w:rPr>
                  <w:noProof/>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and an of</w:t>
            </w:r>
            <w:r>
              <w:rPr>
                <w:lang w:eastAsia="zh-CN"/>
              </w:rPr>
              <w:lastRenderedPageBreak/>
              <w:t xml:space="preserve">fset </w:t>
            </w:r>
            <w:r>
              <w:rPr>
                <w:noProof/>
                <w:position w:val="-10"/>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lastRenderedPageBreak/>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57.75pt;height:14.25pt" o:ole="">
                  <v:imagedata r:id="rId37" o:title=""/>
                </v:shape>
                <o:OLEObject Type="Embed" ProgID="Equation.3" ShapeID="_x0000_i1069" DrawAspect="Content" ObjectID="_1679378824" r:id="rId38"/>
              </w:object>
            </w:r>
            <w:r>
              <w:t xml:space="preserve"> bits indicates the positive LRR. An all-zero value for the </w:t>
            </w:r>
            <w:r>
              <w:rPr>
                <w:noProof/>
                <w:position w:val="-10"/>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74" type="#_x0000_t75" style="width:57.75pt;height:14.25pt" o:ole="">
                  <v:imagedata r:id="rId37" o:title=""/>
                </v:shape>
                <o:OLEObject Type="Embed" ProgID="Equation.3" ShapeID="_x0000_i1074" DrawAspect="Content" ObjectID="_1679378825" r:id="rId42"/>
              </w:object>
            </w:r>
            <w:r>
              <w:t xml:space="preserve"> bits indicates the positive LRR. An all-zero value for the </w:t>
            </w:r>
            <w:r>
              <w:rPr>
                <w:noProof/>
                <w:position w:val="-10"/>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lastRenderedPageBreak/>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51E3265D" w14:textId="6613359B" w:rsidR="00515D46" w:rsidRDefault="00515D46" w:rsidP="00EA5E25">
      <w:pPr>
        <w:rPr>
          <w:lang w:eastAsia="en-US"/>
        </w:rPr>
      </w:pPr>
    </w:p>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 </w:t>
      </w:r>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7F09D37E" w:rsidR="00515D46" w:rsidRDefault="00515D46" w:rsidP="00EA5E25">
      <w:pPr>
        <w:rPr>
          <w:lang w:eastAsia="en-US"/>
        </w:rPr>
      </w:pPr>
    </w:p>
    <w:p w14:paraId="37037E30" w14:textId="1C0CC331" w:rsidR="00515D46" w:rsidRDefault="00515D46" w:rsidP="00EA5E25">
      <w:pPr>
        <w:rPr>
          <w:lang w:eastAsia="en-US"/>
        </w:rPr>
      </w:pPr>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Pr>
                <w:rFonts w:eastAsia="Malgun Gothic"/>
                <w:position w:val="-5"/>
                <w:sz w:val="22"/>
              </w:rPr>
              <w:pict w14:anchorId="0130453A">
                <v:shape id="_x0000_i1131"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Pr>
                <w:rFonts w:eastAsia="Malgun Gothic"/>
                <w:position w:val="-5"/>
                <w:sz w:val="22"/>
              </w:rPr>
              <w:pict w14:anchorId="33DC8488">
                <v:shape id="_x0000_i1132" type="#_x0000_t75" style="width:6.75pt;height:12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Pr>
                <w:rFonts w:eastAsia="Malgun Gothic"/>
                <w:position w:val="-6"/>
                <w:sz w:val="22"/>
              </w:rPr>
              <w:pict w14:anchorId="2DD533AB">
                <v:shape id="_x0000_i1133" type="#_x0000_t75" style="width:19.5pt;height:12.7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Pr>
                <w:rFonts w:eastAsia="Malgun Gothic"/>
                <w:position w:val="-6"/>
                <w:sz w:val="22"/>
              </w:rPr>
              <w:pict w14:anchorId="672BF96E">
                <v:shape id="_x0000_i1134" type="#_x0000_t75" style="width:19.5pt;height:12.7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Pr>
                <w:rFonts w:eastAsia="Malgun Gothic"/>
                <w:position w:val="-6"/>
                <w:sz w:val="22"/>
              </w:rPr>
              <w:pict w14:anchorId="1D0CCC0A">
                <v:shape id="_x0000_i1135" type="#_x0000_t75" style="width:19.5pt;height:12.7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Pr>
                <w:rFonts w:eastAsia="Malgun Gothic"/>
                <w:position w:val="-6"/>
                <w:sz w:val="22"/>
              </w:rPr>
              <w:pict w14:anchorId="0EFC59FA">
                <v:shape id="_x0000_i1136" type="#_x0000_t75" style="width:19.5pt;height:12.7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99"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Pr>
                <w:rFonts w:eastAsia="Malgun Gothic"/>
                <w:position w:val="-5"/>
                <w:sz w:val="22"/>
              </w:rPr>
              <w:pict w14:anchorId="02148418">
                <v:shape id="_x0000_i1137"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Pr>
                <w:rFonts w:eastAsia="Malgun Gothic"/>
                <w:position w:val="-5"/>
                <w:sz w:val="22"/>
              </w:rPr>
              <w:pict w14:anchorId="681C5001">
                <v:shape id="_x0000_i1138" type="#_x0000_t75" style="width:6.75pt;height:12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Pr>
                <w:rFonts w:eastAsia="Malgun Gothic"/>
                <w:position w:val="-5"/>
                <w:sz w:val="22"/>
              </w:rPr>
              <w:pict w14:anchorId="2136148D">
                <v:shape id="_x0000_i1139" type="#_x0000_t75" style="width:6.75pt;height:12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Pr>
                <w:rFonts w:eastAsia="Malgun Gothic"/>
                <w:position w:val="-5"/>
                <w:sz w:val="22"/>
              </w:rPr>
              <w:pict w14:anchorId="32BF3C11">
                <v:shape id="_x0000_i1140" type="#_x0000_t75" style="width:6.75pt;height:12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Pr>
                <w:rFonts w:eastAsia="Malgun Gothic"/>
                <w:position w:val="-6"/>
                <w:sz w:val="22"/>
              </w:rPr>
              <w:pict w14:anchorId="6D701FA8">
                <v:shape id="_x0000_i1141" type="#_x0000_t75" style="width:66pt;height:12.75pt" equationxml="&lt;">
                  <v:imagedata r:id="rId62" o:title="" chromakey="white"/>
                </v:shape>
              </w:pict>
            </w:r>
            <w:r>
              <w:rPr>
                <w:rFonts w:eastAsia="Malgun Gothic"/>
                <w:sz w:val="22"/>
              </w:rPr>
              <w:instrText xml:space="preserve"> </w:instrText>
            </w:r>
            <w:r>
              <w:rPr>
                <w:rFonts w:eastAsia="Malgun Gothic"/>
                <w:sz w:val="22"/>
              </w:rPr>
              <w:fldChar w:fldCharType="separate"/>
            </w:r>
            <w:r>
              <w:rPr>
                <w:rFonts w:eastAsia="Malgun Gothic"/>
                <w:position w:val="-6"/>
                <w:sz w:val="22"/>
              </w:rPr>
              <w:pict w14:anchorId="017B54D0">
                <v:shape id="_x0000_i1142" type="#_x0000_t75" style="width:66pt;height:12.7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of </w:t>
      </w:r>
      <w:r>
        <w:rPr>
          <w:lang w:eastAsia="en-US"/>
        </w:rPr>
        <w:t xml:space="preserve"> </w:t>
      </w:r>
      <w:r w:rsidR="0008305C">
        <w:rPr>
          <w:lang w:eastAsia="en-US"/>
        </w:rPr>
        <w:t>UE initiated FFPs is possible in Rel-17. The related proposal and TP is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r w:rsidRPr="000575B3">
              <w:rPr>
                <w:rFonts w:ascii="Arial" w:hAnsi="Arial" w:cs="Arial"/>
                <w:b/>
                <w:i/>
                <w:iCs/>
              </w:rPr>
              <w:t>For the purpose of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Pr="006633EE">
              <w:rPr>
                <w:position w:val="-5"/>
              </w:rPr>
              <w:pict w14:anchorId="2A86F00E">
                <v:shape id="_x0000_i1176" type="#_x0000_t75" style="width:40.5pt;height:12pt" equationxml="&lt;">
                  <v:imagedata r:id="rId63" o:title="" chromakey="white"/>
                </v:shape>
              </w:pict>
            </w:r>
            <w:r w:rsidRPr="006633EE">
              <w:instrText xml:space="preserve"> </w:instrText>
            </w:r>
            <w:r w:rsidRPr="006633EE">
              <w:fldChar w:fldCharType="separate"/>
            </w:r>
            <w:r w:rsidRPr="006633EE">
              <w:rPr>
                <w:position w:val="-5"/>
              </w:rPr>
              <w:pict w14:anchorId="15B424BA">
                <v:shape id="_x0000_i1177" type="#_x0000_t75" style="width:40.5pt;height:12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Pr="006633EE">
              <w:rPr>
                <w:position w:val="-5"/>
              </w:rPr>
              <w:pict w14:anchorId="3AF1ACAB">
                <v:shape id="_x0000_i1178" type="#_x0000_t75" style="width:40.5pt;height:12pt" equationxml="&lt;">
                  <v:imagedata r:id="rId63" o:title="" chromakey="white"/>
                </v:shape>
              </w:pict>
            </w:r>
            <w:r w:rsidRPr="006633EE">
              <w:instrText xml:space="preserve"> </w:instrText>
            </w:r>
            <w:r w:rsidRPr="006633EE">
              <w:fldChar w:fldCharType="separate"/>
            </w:r>
            <w:r w:rsidRPr="006633EE">
              <w:rPr>
                <w:position w:val="-5"/>
              </w:rPr>
              <w:pict w14:anchorId="6479DF54">
                <v:shape id="_x0000_i1179"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Pr="006633EE">
              <w:rPr>
                <w:position w:val="-5"/>
              </w:rPr>
              <w:pict w14:anchorId="32799719">
                <v:shape id="_x0000_i1180" type="#_x0000_t75" style="width:21.75pt;height:12pt" equationxml="&lt;">
                  <v:imagedata r:id="rId64" o:title="" chromakey="white"/>
                </v:shape>
              </w:pict>
            </w:r>
            <w:r w:rsidRPr="006633EE">
              <w:instrText xml:space="preserve"> </w:instrText>
            </w:r>
            <w:r w:rsidRPr="006633EE">
              <w:fldChar w:fldCharType="separate"/>
            </w:r>
            <w:r w:rsidRPr="006633EE">
              <w:rPr>
                <w:position w:val="-5"/>
              </w:rPr>
              <w:pict w14:anchorId="7DA65E0A">
                <v:shape id="_x0000_i1181" type="#_x0000_t75" style="width:21.75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Pr="006633EE">
              <w:rPr>
                <w:position w:val="-5"/>
              </w:rPr>
              <w:pict w14:anchorId="72729C2B">
                <v:shape id="_x0000_i1182" type="#_x0000_t75" style="width:24pt;height:12pt" equationxml="&lt;">
                  <v:imagedata r:id="rId65" o:title="" chromakey="white"/>
                </v:shape>
              </w:pict>
            </w:r>
            <w:r w:rsidRPr="006633EE">
              <w:instrText xml:space="preserve"> </w:instrText>
            </w:r>
            <w:r w:rsidRPr="006633EE">
              <w:fldChar w:fldCharType="separate"/>
            </w:r>
            <w:r w:rsidRPr="006633EE">
              <w:rPr>
                <w:position w:val="-5"/>
              </w:rPr>
              <w:pict w14:anchorId="31DE0540">
                <v:shape id="_x0000_i1183"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Pr="006633EE">
              <w:rPr>
                <w:position w:val="-5"/>
              </w:rPr>
              <w:pict w14:anchorId="2D7C23D2">
                <v:shape id="_x0000_i1184" type="#_x0000_t75" style="width:21.75pt;height:12pt" equationxml="&lt;">
                  <v:imagedata r:id="rId64" o:title="" chromakey="white"/>
                </v:shape>
              </w:pict>
            </w:r>
            <w:r w:rsidRPr="006633EE">
              <w:instrText xml:space="preserve"> </w:instrText>
            </w:r>
            <w:r w:rsidRPr="006633EE">
              <w:fldChar w:fldCharType="separate"/>
            </w:r>
            <w:r w:rsidRPr="006633EE">
              <w:rPr>
                <w:position w:val="-5"/>
              </w:rPr>
              <w:pict w14:anchorId="0E76F247">
                <v:shape id="_x0000_i1185" type="#_x0000_t75" style="width:21.75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Pr="006633EE">
              <w:rPr>
                <w:position w:val="-5"/>
              </w:rPr>
              <w:pict w14:anchorId="0439501C">
                <v:shape id="_x0000_i1186" type="#_x0000_t75" style="width:21.75pt;height:12pt" equationxml="&lt;">
                  <v:imagedata r:id="rId64" o:title="" chromakey="white"/>
                </v:shape>
              </w:pict>
            </w:r>
            <w:r w:rsidRPr="006633EE">
              <w:instrText xml:space="preserve"> </w:instrText>
            </w:r>
            <w:r w:rsidRPr="006633EE">
              <w:fldChar w:fldCharType="separate"/>
            </w:r>
            <w:r w:rsidRPr="006633EE">
              <w:rPr>
                <w:position w:val="-5"/>
              </w:rPr>
              <w:pict w14:anchorId="25C2EC22">
                <v:shape id="_x0000_i1187" type="#_x0000_t75" style="width:21.75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Pr="006633EE">
              <w:rPr>
                <w:position w:val="-5"/>
              </w:rPr>
              <w:pict w14:anchorId="41E9A367">
                <v:shape id="_x0000_i1188" type="#_x0000_t75" style="width:40.5pt;height:12pt" equationxml="&lt;">
                  <v:imagedata r:id="rId63" o:title="" chromakey="white"/>
                </v:shape>
              </w:pict>
            </w:r>
            <w:r w:rsidRPr="006633EE">
              <w:instrText xml:space="preserve"> </w:instrText>
            </w:r>
            <w:r w:rsidRPr="006633EE">
              <w:fldChar w:fldCharType="separate"/>
            </w:r>
            <w:r w:rsidRPr="006633EE">
              <w:rPr>
                <w:position w:val="-5"/>
              </w:rPr>
              <w:pict w14:anchorId="3B2E7219">
                <v:shape id="_x0000_i1189"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Pr="006633EE">
              <w:rPr>
                <w:position w:val="-5"/>
              </w:rPr>
              <w:pict w14:anchorId="7FDBEE16">
                <v:shape id="_x0000_i1190" type="#_x0000_t75" style="width:21.75pt;height:12pt" equationxml="&lt;">
                  <v:imagedata r:id="rId66" o:title="" chromakey="white"/>
                </v:shape>
              </w:pict>
            </w:r>
            <w:r w:rsidRPr="006633EE">
              <w:instrText xml:space="preserve"> </w:instrText>
            </w:r>
            <w:r w:rsidRPr="006633EE">
              <w:fldChar w:fldCharType="separate"/>
            </w:r>
            <w:r w:rsidRPr="006633EE">
              <w:rPr>
                <w:position w:val="-5"/>
              </w:rPr>
              <w:pict w14:anchorId="3349CD5C">
                <v:shape id="_x0000_i1191" type="#_x0000_t75" style="width:21.75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Pr="006633EE">
              <w:rPr>
                <w:position w:val="-5"/>
              </w:rPr>
              <w:pict w14:anchorId="31581691">
                <v:shape id="_x0000_i1192" type="#_x0000_t75" style="width:40.5pt;height:12pt" equationxml="&lt;">
                  <v:imagedata r:id="rId63" o:title="" chromakey="white"/>
                </v:shape>
              </w:pict>
            </w:r>
            <w:r w:rsidRPr="006633EE">
              <w:instrText xml:space="preserve"> </w:instrText>
            </w:r>
            <w:r w:rsidRPr="006633EE">
              <w:fldChar w:fldCharType="separate"/>
            </w:r>
            <w:r w:rsidRPr="006633EE">
              <w:rPr>
                <w:position w:val="-5"/>
              </w:rPr>
              <w:pict w14:anchorId="1B6691D8">
                <v:shape id="_x0000_i1193"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Pr="006633EE">
              <w:rPr>
                <w:position w:val="-5"/>
              </w:rPr>
              <w:pict w14:anchorId="5B26DDE6">
                <v:shape id="_x0000_i1197" type="#_x0000_t75" style="width:21.75pt;height:12pt" equationxml="&lt;">
                  <v:imagedata r:id="rId66" o:title="" chromakey="white"/>
                </v:shape>
              </w:pict>
            </w:r>
            <w:r w:rsidRPr="006633EE">
              <w:instrText xml:space="preserve"> </w:instrText>
            </w:r>
            <w:r w:rsidRPr="006633EE">
              <w:fldChar w:fldCharType="separate"/>
            </w:r>
            <w:r w:rsidRPr="006633EE">
              <w:rPr>
                <w:position w:val="-5"/>
              </w:rPr>
              <w:pict w14:anchorId="48F5C4CA">
                <v:shape id="_x0000_i1196" type="#_x0000_t75" style="width:21.75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least </w:t>
            </w:r>
            <w:r w:rsidRPr="006633EE">
              <w:fldChar w:fldCharType="begin"/>
            </w:r>
            <w:r w:rsidRPr="006633EE">
              <w:instrText xml:space="preserve"> QUOTE </w:instrText>
            </w:r>
            <w:r w:rsidRPr="006633EE">
              <w:rPr>
                <w:position w:val="-5"/>
              </w:rPr>
              <w:pict w14:anchorId="178B5180">
                <v:shape id="_x0000_i1194" type="#_x0000_t75" style="width:109.5pt;height:12pt" equationxml="&lt;">
                  <v:imagedata r:id="rId67" o:title="" chromakey="white"/>
                </v:shape>
              </w:pict>
            </w:r>
            <w:r w:rsidRPr="006633EE">
              <w:instrText xml:space="preserve"> </w:instrText>
            </w:r>
            <w:r w:rsidRPr="006633EE">
              <w:fldChar w:fldCharType="separate"/>
            </w:r>
            <w:r w:rsidRPr="006633EE">
              <w:rPr>
                <w:position w:val="-5"/>
              </w:rPr>
              <w:pict w14:anchorId="56C2665A">
                <v:shape id="_x0000_i1195"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If a UE fails to access the channel(s) prior to an intended UL transmission to a gNB,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 xml:space="preserve">Huawei, </w:t>
            </w:r>
            <w:proofErr w:type="spellStart"/>
            <w:r w:rsidRPr="0068061E">
              <w:rPr>
                <w:rFonts w:ascii="Arial" w:eastAsia="Times New Roman" w:hAnsi="Arial" w:cs="Arial"/>
                <w:snapToGrid/>
                <w:kern w:val="0"/>
                <w:sz w:val="16"/>
                <w:szCs w:val="16"/>
                <w:lang w:val="en-US" w:eastAsia="en-US"/>
              </w:rPr>
              <w:t>HiSilicon</w:t>
            </w:r>
            <w:proofErr w:type="spellEnd"/>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909" w14:textId="77777777" w:rsidR="009624BD" w:rsidRDefault="009624BD" w:rsidP="00C418D9">
      <w:r>
        <w:separator/>
      </w:r>
    </w:p>
    <w:p w14:paraId="1B50B54C" w14:textId="77777777" w:rsidR="009624BD" w:rsidRDefault="009624BD"/>
    <w:p w14:paraId="0247F529" w14:textId="77777777" w:rsidR="009624BD" w:rsidRDefault="009624BD" w:rsidP="00A73185"/>
  </w:endnote>
  <w:endnote w:type="continuationSeparator" w:id="0">
    <w:p w14:paraId="73E7F1B9" w14:textId="77777777" w:rsidR="009624BD" w:rsidRDefault="009624BD" w:rsidP="00C418D9">
      <w:r>
        <w:continuationSeparator/>
      </w:r>
    </w:p>
    <w:p w14:paraId="243149B5" w14:textId="77777777" w:rsidR="009624BD" w:rsidRDefault="009624BD"/>
    <w:p w14:paraId="11E57634" w14:textId="77777777" w:rsidR="009624BD" w:rsidRDefault="009624BD" w:rsidP="00A73185"/>
  </w:endnote>
  <w:endnote w:type="continuationNotice" w:id="1">
    <w:p w14:paraId="7E14D676" w14:textId="77777777" w:rsidR="009624BD" w:rsidRDefault="009624BD" w:rsidP="00C418D9"/>
    <w:p w14:paraId="00745DDD" w14:textId="77777777" w:rsidR="009624BD" w:rsidRDefault="009624BD"/>
    <w:p w14:paraId="0B419778" w14:textId="77777777" w:rsidR="009624BD" w:rsidRDefault="009624B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9624BD" w:rsidRDefault="009624B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9624BD" w:rsidRDefault="009624BD" w:rsidP="00C418D9">
    <w:pPr>
      <w:pStyle w:val="Footer"/>
    </w:pPr>
  </w:p>
  <w:p w14:paraId="7265A418" w14:textId="77777777" w:rsidR="009624BD" w:rsidRDefault="009624BD"/>
  <w:p w14:paraId="48825022" w14:textId="77777777" w:rsidR="009624BD" w:rsidRDefault="009624BD"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9624BD" w:rsidRDefault="009624B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9624BD" w:rsidRDefault="009624BD" w:rsidP="00C418D9">
    <w:pPr>
      <w:pStyle w:val="Footer"/>
    </w:pPr>
  </w:p>
  <w:p w14:paraId="062CBF9A" w14:textId="77777777" w:rsidR="009624BD" w:rsidRDefault="009624BD"/>
  <w:p w14:paraId="1543B3B4" w14:textId="77777777" w:rsidR="009624BD" w:rsidRDefault="009624BD"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9624BD" w:rsidRDefault="0096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4B4B" w14:textId="77777777" w:rsidR="009624BD" w:rsidRDefault="009624BD" w:rsidP="00C418D9">
      <w:r>
        <w:separator/>
      </w:r>
    </w:p>
    <w:p w14:paraId="6A824A65" w14:textId="77777777" w:rsidR="009624BD" w:rsidRDefault="009624BD"/>
    <w:p w14:paraId="236CEFD7" w14:textId="77777777" w:rsidR="009624BD" w:rsidRDefault="009624BD" w:rsidP="00A73185"/>
  </w:footnote>
  <w:footnote w:type="continuationSeparator" w:id="0">
    <w:p w14:paraId="379B3A66" w14:textId="77777777" w:rsidR="009624BD" w:rsidRDefault="009624BD" w:rsidP="00C418D9">
      <w:r>
        <w:continuationSeparator/>
      </w:r>
    </w:p>
    <w:p w14:paraId="591C3318" w14:textId="77777777" w:rsidR="009624BD" w:rsidRDefault="009624BD"/>
    <w:p w14:paraId="29E109F8" w14:textId="77777777" w:rsidR="009624BD" w:rsidRDefault="009624BD" w:rsidP="00A73185"/>
  </w:footnote>
  <w:footnote w:type="continuationNotice" w:id="1">
    <w:p w14:paraId="22A4A735" w14:textId="77777777" w:rsidR="009624BD" w:rsidRDefault="009624BD" w:rsidP="00C418D9"/>
    <w:p w14:paraId="21AF6FCD" w14:textId="77777777" w:rsidR="009624BD" w:rsidRDefault="009624BD"/>
    <w:p w14:paraId="6260D341" w14:textId="77777777" w:rsidR="009624BD" w:rsidRDefault="009624BD"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9624BD" w:rsidRDefault="00962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9624BD" w:rsidRDefault="0096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9624BD" w:rsidRDefault="0096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19"/>
  </w:num>
  <w:num w:numId="4">
    <w:abstractNumId w:val="20"/>
  </w:num>
  <w:num w:numId="5">
    <w:abstractNumId w:val="21"/>
  </w:num>
  <w:num w:numId="6">
    <w:abstractNumId w:val="7"/>
  </w:num>
  <w:num w:numId="7">
    <w:abstractNumId w:val="14"/>
  </w:num>
  <w:num w:numId="8">
    <w:abstractNumId w:val="9"/>
  </w:num>
  <w:num w:numId="9">
    <w:abstractNumId w:val="15"/>
  </w:num>
  <w:num w:numId="10">
    <w:abstractNumId w:val="13"/>
  </w:num>
  <w:num w:numId="11">
    <w:abstractNumId w:val="17"/>
  </w:num>
  <w:num w:numId="12">
    <w:abstractNumId w:val="3"/>
  </w:num>
  <w:num w:numId="13">
    <w:abstractNumId w:val="16"/>
  </w:num>
  <w:num w:numId="14">
    <w:abstractNumId w:val="0"/>
  </w:num>
  <w:num w:numId="15">
    <w:abstractNumId w:val="6"/>
  </w:num>
  <w:num w:numId="16">
    <w:abstractNumId w:val="10"/>
  </w:num>
  <w:num w:numId="17">
    <w:abstractNumId w:val="5"/>
  </w:num>
  <w:num w:numId="18">
    <w:abstractNumId w:val="2"/>
  </w:num>
  <w:num w:numId="19">
    <w:abstractNumId w:val="12"/>
  </w:num>
  <w:num w:numId="20">
    <w:abstractNumId w:val="1"/>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oleObject" Target="embeddings/oleObject2.bin"/><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image" Target="media/image41.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7.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2.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92A7BF69-92E5-4502-8EEB-6766876C15B6}">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10</Pages>
  <Words>5182</Words>
  <Characters>27897</Characters>
  <Application>Microsoft Office Word</Application>
  <DocSecurity>0</DocSecurity>
  <Lines>232</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12</cp:revision>
  <cp:lastPrinted>2019-01-10T09:30:00Z</cp:lastPrinted>
  <dcterms:created xsi:type="dcterms:W3CDTF">2021-04-07T18:50:00Z</dcterms:created>
  <dcterms:modified xsi:type="dcterms:W3CDTF">2021-04-08T05:49:00Z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